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C19EE" w14:textId="77777777" w:rsidR="00616DE2" w:rsidRPr="00616DE2" w:rsidRDefault="00BC63F8" w:rsidP="00BC63F8"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616DE2">
        <w:rPr>
          <w:rFonts w:ascii="宋体" w:hAnsi="宋体" w:hint="eastAsia"/>
          <w:b/>
          <w:bCs/>
          <w:iCs/>
          <w:color w:val="000000"/>
          <w:sz w:val="28"/>
          <w:szCs w:val="28"/>
        </w:rPr>
        <w:t>上海宣泰医药科技股份有限公司</w:t>
      </w:r>
    </w:p>
    <w:p w14:paraId="415B952E" w14:textId="77777777" w:rsidR="00BC63F8" w:rsidRDefault="00BC63F8" w:rsidP="00745855">
      <w:pPr>
        <w:ind w:firstLine="562"/>
        <w:jc w:val="center"/>
        <w:rPr>
          <w:rFonts w:ascii="宋体" w:hAnsi="宋体"/>
          <w:b/>
          <w:bCs/>
          <w:iCs/>
          <w:color w:val="000000"/>
          <w:sz w:val="28"/>
          <w:szCs w:val="28"/>
        </w:rPr>
      </w:pPr>
      <w:r w:rsidRPr="00616DE2"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176D7C1" w14:textId="6F0700FA" w:rsidR="00745855" w:rsidRPr="00600507" w:rsidRDefault="00745855" w:rsidP="00745855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color w:val="000000"/>
          <w:szCs w:val="22"/>
        </w:rPr>
      </w:pPr>
      <w:r w:rsidRPr="00600507">
        <w:rPr>
          <w:rFonts w:ascii="宋体" w:hAnsi="宋体" w:hint="eastAsia"/>
          <w:bCs/>
          <w:iCs/>
          <w:color w:val="000000"/>
          <w:szCs w:val="22"/>
        </w:rPr>
        <w:t>证券代码：</w:t>
      </w:r>
      <w:r>
        <w:rPr>
          <w:rFonts w:ascii="宋体" w:hAnsi="宋体"/>
          <w:bCs/>
          <w:iCs/>
          <w:color w:val="000000"/>
          <w:szCs w:val="22"/>
        </w:rPr>
        <w:t>688247</w:t>
      </w:r>
      <w:r w:rsidRPr="00600507">
        <w:rPr>
          <w:rFonts w:ascii="宋体" w:hAnsi="宋体" w:hint="eastAsia"/>
          <w:bCs/>
          <w:iCs/>
          <w:color w:val="000000"/>
          <w:szCs w:val="22"/>
        </w:rPr>
        <w:t xml:space="preserve">          </w:t>
      </w:r>
      <w:r>
        <w:rPr>
          <w:rFonts w:ascii="宋体" w:hAnsi="宋体"/>
          <w:bCs/>
          <w:iCs/>
          <w:color w:val="000000"/>
          <w:szCs w:val="22"/>
        </w:rPr>
        <w:t xml:space="preserve"> </w:t>
      </w:r>
      <w:r w:rsidRPr="00600507">
        <w:rPr>
          <w:rFonts w:ascii="宋体" w:hAnsi="宋体" w:hint="eastAsia"/>
          <w:bCs/>
          <w:iCs/>
          <w:color w:val="000000"/>
          <w:szCs w:val="22"/>
        </w:rPr>
        <w:t>证券简称：</w:t>
      </w:r>
      <w:proofErr w:type="gramStart"/>
      <w:r>
        <w:rPr>
          <w:rFonts w:ascii="宋体" w:hAnsi="宋体" w:hint="eastAsia"/>
          <w:bCs/>
          <w:iCs/>
          <w:color w:val="000000"/>
          <w:szCs w:val="22"/>
        </w:rPr>
        <w:t>宣泰医药</w:t>
      </w:r>
      <w:proofErr w:type="gramEnd"/>
      <w:r>
        <w:rPr>
          <w:rFonts w:ascii="宋体" w:hAnsi="宋体"/>
          <w:bCs/>
          <w:iCs/>
          <w:color w:val="000000"/>
          <w:szCs w:val="22"/>
        </w:rPr>
        <w:t xml:space="preserve">         </w:t>
      </w:r>
      <w:r w:rsidRPr="00BB1B05">
        <w:rPr>
          <w:rFonts w:ascii="宋体" w:hAnsi="宋体" w:hint="eastAsia"/>
          <w:bCs/>
          <w:iCs/>
          <w:color w:val="000000"/>
        </w:rPr>
        <w:t>编号：</w:t>
      </w:r>
      <w:r>
        <w:rPr>
          <w:rFonts w:ascii="宋体" w:hAnsi="宋体" w:hint="eastAsia"/>
          <w:bCs/>
          <w:iCs/>
          <w:color w:val="000000"/>
        </w:rPr>
        <w:t>2</w:t>
      </w:r>
      <w:r>
        <w:rPr>
          <w:rFonts w:ascii="宋体" w:hAnsi="宋体"/>
          <w:bCs/>
          <w:iCs/>
          <w:color w:val="000000"/>
        </w:rPr>
        <w:t>02</w:t>
      </w:r>
      <w:r w:rsidR="006E7632">
        <w:rPr>
          <w:rFonts w:ascii="宋体" w:hAnsi="宋体"/>
          <w:bCs/>
          <w:iCs/>
          <w:color w:val="000000"/>
        </w:rPr>
        <w:t>6</w:t>
      </w:r>
      <w:r>
        <w:rPr>
          <w:rFonts w:ascii="宋体" w:hAnsi="宋体" w:hint="eastAsia"/>
          <w:bCs/>
          <w:iCs/>
          <w:color w:val="000000"/>
        </w:rPr>
        <w:t>-</w:t>
      </w:r>
      <w:r>
        <w:rPr>
          <w:rFonts w:ascii="宋体" w:hAnsi="宋体"/>
          <w:bCs/>
          <w:iCs/>
          <w:color w:val="000000"/>
        </w:rPr>
        <w:t>00</w:t>
      </w:r>
      <w:r w:rsidR="006E7632">
        <w:rPr>
          <w:rFonts w:ascii="宋体" w:hAnsi="宋体"/>
          <w:bCs/>
          <w:iCs/>
          <w:color w:val="000000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6436"/>
      </w:tblGrid>
      <w:tr w:rsidR="00BC63F8" w:rsidRPr="00BB1B05" w14:paraId="3DCEDE65" w14:textId="77777777" w:rsidTr="006464D6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0357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6DCD2719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C14" w14:textId="7EAE9FDE" w:rsidR="00BC63F8" w:rsidRPr="00BB1B05" w:rsidRDefault="000E780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BC63F8" w:rsidRPr="00BB1B05">
              <w:rPr>
                <w:rFonts w:ascii="宋体" w:hAnsi="宋体" w:hint="eastAsia"/>
              </w:rPr>
              <w:t xml:space="preserve">特定对象调研     </w:t>
            </w:r>
            <w:r w:rsidR="00BC63F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BC63F8" w:rsidRPr="00BB1B05">
              <w:rPr>
                <w:rFonts w:ascii="宋体" w:hAnsi="宋体" w:hint="eastAsia"/>
              </w:rPr>
              <w:t>分析师会议</w:t>
            </w:r>
          </w:p>
          <w:p w14:paraId="31AAC12A" w14:textId="710A4D73" w:rsidR="00BC63F8" w:rsidRPr="00BB1B05" w:rsidRDefault="00BC63F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</w:t>
            </w:r>
            <w:r w:rsidR="00D02925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7EC13282" w14:textId="5BD7306C" w:rsidR="00BC63F8" w:rsidRPr="00BB1B05" w:rsidRDefault="00BC63F8" w:rsidP="005D106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新闻发布会       </w:t>
            </w:r>
            <w:r w:rsidR="000E7808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路演活动</w:t>
            </w:r>
          </w:p>
          <w:p w14:paraId="54BBA5A7" w14:textId="693C3D6C" w:rsidR="00BC63F8" w:rsidRPr="00BB1B05" w:rsidRDefault="00BC63F8" w:rsidP="00CA30AC">
            <w:pPr>
              <w:tabs>
                <w:tab w:val="left" w:pos="2330"/>
                <w:tab w:val="center" w:pos="3199"/>
              </w:tabs>
              <w:spacing w:line="480" w:lineRule="atLeast"/>
              <w:ind w:left="2400" w:hangingChars="1000" w:hanging="240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现场参观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tab/>
            </w:r>
            <w:r w:rsidR="00D02925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Pr="00BB1B05">
              <w:rPr>
                <w:rFonts w:ascii="宋体" w:hAnsi="宋体" w:hint="eastAsia"/>
              </w:rPr>
              <w:t>其他（</w:t>
            </w:r>
            <w:r w:rsidR="00D02925">
              <w:rPr>
                <w:rFonts w:ascii="宋体" w:hAnsi="宋体" w:hint="eastAsia"/>
                <w:u w:val="single"/>
              </w:rPr>
              <w:t>2</w:t>
            </w:r>
            <w:r w:rsidR="00D02925">
              <w:rPr>
                <w:rFonts w:ascii="宋体" w:hAnsi="宋体"/>
                <w:u w:val="single"/>
              </w:rPr>
              <w:t>025</w:t>
            </w:r>
            <w:r w:rsidR="00D02925">
              <w:rPr>
                <w:rFonts w:ascii="宋体" w:hAnsi="宋体" w:hint="eastAsia"/>
                <w:u w:val="single"/>
              </w:rPr>
              <w:t>年度</w:t>
            </w:r>
            <w:r w:rsidR="006E7632">
              <w:rPr>
                <w:rFonts w:ascii="宋体" w:hAnsi="宋体" w:hint="eastAsia"/>
                <w:u w:val="single"/>
              </w:rPr>
              <w:t>及2</w:t>
            </w:r>
            <w:r w:rsidR="006E7632">
              <w:rPr>
                <w:rFonts w:ascii="宋体" w:hAnsi="宋体"/>
                <w:u w:val="single"/>
              </w:rPr>
              <w:t>026</w:t>
            </w:r>
            <w:r w:rsidR="006E7632">
              <w:rPr>
                <w:rFonts w:ascii="宋体" w:hAnsi="宋体" w:hint="eastAsia"/>
                <w:u w:val="single"/>
              </w:rPr>
              <w:t>年一季度</w:t>
            </w:r>
            <w:r w:rsidR="00D02925">
              <w:rPr>
                <w:rFonts w:ascii="宋体" w:hAnsi="宋体" w:hint="eastAsia"/>
                <w:u w:val="single"/>
              </w:rPr>
              <w:t>业绩电话会</w:t>
            </w:r>
            <w:r w:rsidRPr="00BB1B05">
              <w:rPr>
                <w:rFonts w:ascii="宋体" w:hAnsi="宋体" w:hint="eastAsia"/>
                <w:u w:val="single"/>
              </w:rPr>
              <w:t>）</w:t>
            </w:r>
          </w:p>
        </w:tc>
      </w:tr>
      <w:tr w:rsidR="00BC63F8" w:rsidRPr="00BB1B05" w14:paraId="1C50C604" w14:textId="77777777" w:rsidTr="000138E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A3A8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参与单位名称及人员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2B22" w14:textId="4C06F165" w:rsidR="00BC63F8" w:rsidRPr="00BB1B05" w:rsidRDefault="00C3127E" w:rsidP="000138E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1</w:t>
            </w:r>
            <w:r w:rsidR="006E7632">
              <w:rPr>
                <w:rFonts w:ascii="宋体" w:hAnsi="宋体"/>
                <w:bCs/>
                <w:iCs/>
                <w:color w:val="000000"/>
              </w:rPr>
              <w:t>8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家机构，详见附件清单</w:t>
            </w:r>
            <w:r w:rsidR="00794266">
              <w:rPr>
                <w:rFonts w:ascii="宋体" w:hAnsi="宋体" w:hint="eastAsia"/>
                <w:bCs/>
                <w:iCs/>
                <w:color w:val="000000"/>
              </w:rPr>
              <w:t>（排名不分先后）</w:t>
            </w:r>
          </w:p>
        </w:tc>
      </w:tr>
      <w:tr w:rsidR="00BC63F8" w:rsidRPr="00BB1B05" w14:paraId="61BA3881" w14:textId="77777777" w:rsidTr="008E10B1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5B4C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5645" w14:textId="5E6EFC32" w:rsidR="00BC63F8" w:rsidRPr="00BB1B05" w:rsidRDefault="00BC63F8" w:rsidP="008E10B1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</w:rPr>
              <w:t>02</w:t>
            </w:r>
            <w:r w:rsidR="006E7632">
              <w:rPr>
                <w:rFonts w:ascii="宋体" w:hAnsi="宋体"/>
                <w:bCs/>
                <w:iCs/>
                <w:color w:val="000000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6E7632">
              <w:rPr>
                <w:rFonts w:ascii="宋体" w:hAnsi="宋体" w:hint="eastAsia"/>
                <w:bCs/>
                <w:iCs/>
                <w:color w:val="000000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6E7632">
              <w:rPr>
                <w:rFonts w:ascii="宋体" w:hAnsi="宋体" w:hint="eastAsia"/>
                <w:bCs/>
                <w:iCs/>
                <w:color w:val="000000"/>
              </w:rPr>
              <w:t>8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</w:t>
            </w:r>
            <w:r w:rsidR="008E10B1">
              <w:rPr>
                <w:rFonts w:ascii="宋体" w:hAnsi="宋体" w:hint="eastAsia"/>
                <w:bCs/>
                <w:iCs/>
                <w:color w:val="000000"/>
              </w:rPr>
              <w:t xml:space="preserve"> 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1</w:t>
            </w:r>
            <w:r w:rsidR="004D51AA">
              <w:rPr>
                <w:rFonts w:ascii="宋体" w:hAnsi="宋体"/>
                <w:bCs/>
                <w:iCs/>
                <w:color w:val="000000"/>
              </w:rPr>
              <w:t>0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:</w:t>
            </w:r>
            <w:r w:rsidR="004D51AA">
              <w:rPr>
                <w:rFonts w:ascii="宋体" w:hAnsi="宋体"/>
                <w:bCs/>
                <w:iCs/>
                <w:color w:val="000000"/>
              </w:rPr>
              <w:t>00-11:00</w:t>
            </w:r>
          </w:p>
        </w:tc>
      </w:tr>
      <w:tr w:rsidR="00BC63F8" w:rsidRPr="00BB1B05" w14:paraId="544332EC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A9D8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9C69" w14:textId="2DF152E2" w:rsidR="00BC63F8" w:rsidRPr="00BB1B05" w:rsidRDefault="004D51AA" w:rsidP="004D51AA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BC63F8" w:rsidRPr="00BB1B05" w14:paraId="22D36CC5" w14:textId="77777777" w:rsidTr="000138E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6C37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43B6" w14:textId="46D0D50F" w:rsidR="00150BF5" w:rsidRPr="00150BF5" w:rsidRDefault="000E7808" w:rsidP="0065730B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总经理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</w:rPr>
              <w:t>郭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明洁，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 w:rsidR="002172BA">
              <w:rPr>
                <w:rFonts w:ascii="宋体" w:hAnsi="宋体" w:hint="eastAsia"/>
                <w:bCs/>
                <w:iCs/>
                <w:color w:val="000000"/>
              </w:rPr>
              <w:t>财务负责人吴一鸣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="004D51AA">
              <w:rPr>
                <w:rFonts w:ascii="宋体" w:hAnsi="宋体" w:hint="eastAsia"/>
                <w:bCs/>
                <w:iCs/>
                <w:color w:val="000000"/>
              </w:rPr>
              <w:t>副总经理兼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董事会秘书李方立</w:t>
            </w:r>
          </w:p>
        </w:tc>
      </w:tr>
      <w:tr w:rsidR="006464D6" w:rsidRPr="00BB1B05" w14:paraId="45963AC0" w14:textId="77777777" w:rsidTr="006464D6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7844" w14:textId="77777777" w:rsidR="006464D6" w:rsidRPr="00BB1B05" w:rsidRDefault="006464D6" w:rsidP="006464D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4112931B" w14:textId="77777777" w:rsidR="006464D6" w:rsidRPr="00BB1B05" w:rsidRDefault="006464D6" w:rsidP="006464D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654F" w14:textId="77777777" w:rsidR="004F2065" w:rsidRPr="004F2065" w:rsidRDefault="004F2065" w:rsidP="004F2065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/>
                <w:bCs/>
                <w:iCs/>
                <w:color w:val="000000"/>
              </w:rPr>
              <w:t>请问公司在研发端的投入布局及核心进展主要有哪些？</w:t>
            </w:r>
          </w:p>
          <w:p w14:paraId="4C1E8295" w14:textId="4C899CEE" w:rsidR="004F2065" w:rsidRPr="004F2065" w:rsidRDefault="004F2065" w:rsidP="004F2065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Cs/>
                <w:iCs/>
                <w:color w:val="000000"/>
              </w:rPr>
              <w:t>公司始终坚持“研发驱动”战略，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保持较高研发投入水平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t>。2025年，公司主要在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研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项目共计20项，研发费用达7,493.96万元，占营业收入的16.78%。2026年第一季度，研发投入1,197.30万元，研发投入占营业收入比例的12.66%。</w:t>
            </w:r>
          </w:p>
          <w:p w14:paraId="498463C6" w14:textId="77777777" w:rsidR="004F2065" w:rsidRPr="004F2065" w:rsidRDefault="004F2065" w:rsidP="004F2065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Cs/>
                <w:iCs/>
                <w:color w:val="000000"/>
              </w:rPr>
              <w:t>知识产权方面，2025年公司新增知识产权6项，累计已取得各类知识产权92项，其中发明专利31项、实用新型专利53项、软件著作权8项。</w:t>
            </w:r>
          </w:p>
          <w:p w14:paraId="76F46E01" w14:textId="4E5C5A9E" w:rsidR="004F2065" w:rsidRPr="004F2065" w:rsidRDefault="004F2065" w:rsidP="004F2065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Cs/>
                <w:iCs/>
                <w:color w:val="000000"/>
              </w:rPr>
              <w:t>产品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获批与注册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层面，公司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新增多项国内外批准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t>：西格列汀二甲双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胍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缓释片新增50mg/500mg规格、注射用硫酸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艾沙康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唑获得NMPA批准上市，西格列汀二甲双胍缓释片、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达格列净二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甲双胍缓释片获得FDA暂时批准，恩扎卢胺片获得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NMPA批准及FDA暂时批准，枸橼酸托法替布缓释片、维生素K1片获得FDA正式批准。此外，公司11项产品在7个国家递交注册申请。</w:t>
            </w:r>
          </w:p>
          <w:p w14:paraId="1A2D1CB8" w14:textId="4BF10B31" w:rsidR="004F2065" w:rsidRPr="004F2065" w:rsidRDefault="004F2065" w:rsidP="004F2065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Cs/>
                <w:iCs/>
                <w:color w:val="000000"/>
              </w:rPr>
              <w:t>创新研发管线方面，公司首个自主研发的改良型新药项目XT-0043已在II期临床试验中展现出优异的安全性与有效性，并顺利达到临床终点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t>III期临床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已正式启动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t>，标志着公司向“仿创结合”型特色制药企业转型迈出了关键一步。</w:t>
            </w:r>
          </w:p>
          <w:p w14:paraId="6E559621" w14:textId="33DCF1FB" w:rsidR="004F2065" w:rsidRPr="004F2065" w:rsidRDefault="004F2065" w:rsidP="004F2065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4F2065">
              <w:rPr>
                <w:rFonts w:ascii="宋体" w:hAnsi="宋体" w:hint="eastAsia"/>
                <w:bCs/>
                <w:iCs/>
                <w:color w:val="000000"/>
              </w:rPr>
              <w:t>在技术迭代的同时，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r w:rsidRPr="004F2065">
              <w:rPr>
                <w:rFonts w:ascii="宋体" w:hAnsi="宋体" w:hint="eastAsia"/>
                <w:bCs/>
                <w:iCs/>
                <w:color w:val="000000"/>
              </w:rPr>
              <w:t>稳步推进产能升级。目前，复杂制剂车间的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预充针生产线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已具备正常运行能力，生产速度和性能基本达到预期，并成功完成试生产；西林瓶（</w:t>
            </w:r>
            <w:proofErr w:type="gramStart"/>
            <w:r w:rsidRPr="004F2065">
              <w:rPr>
                <w:rFonts w:ascii="宋体" w:hAnsi="宋体" w:hint="eastAsia"/>
                <w:bCs/>
                <w:iCs/>
                <w:color w:val="000000"/>
              </w:rPr>
              <w:t>含冻干</w:t>
            </w:r>
            <w:proofErr w:type="gramEnd"/>
            <w:r w:rsidRPr="004F2065">
              <w:rPr>
                <w:rFonts w:ascii="宋体" w:hAnsi="宋体" w:hint="eastAsia"/>
                <w:bCs/>
                <w:iCs/>
                <w:color w:val="000000"/>
              </w:rPr>
              <w:t>）生产线已完成安装确认，具备开展验证和验收的条件；复杂注射剂配制系统中试平台已建成投用，为公司进军高端注射剂市场提供了有力保障。</w:t>
            </w:r>
          </w:p>
          <w:p w14:paraId="1540037E" w14:textId="23C59799" w:rsidR="000E7808" w:rsidRPr="008E10B1" w:rsidRDefault="005F104D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集采续约对公司的影响如何展望？核心品种熊去氧胆酸胶囊后续的放量情况如何？</w:t>
            </w:r>
          </w:p>
          <w:p w14:paraId="47987978" w14:textId="77777777" w:rsidR="005F104D" w:rsidRPr="005F104D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整体而言，在国内市场，依靠核心产品持续放量、集采中标品种销售保持稳健，公司经营保持平稳发展。其中，熊去氧胆酸胶囊、西格列汀二甲双</w:t>
            </w:r>
            <w:proofErr w:type="gramStart"/>
            <w:r w:rsidRPr="005F104D">
              <w:rPr>
                <w:rFonts w:ascii="宋体" w:hAnsi="宋体" w:hint="eastAsia"/>
                <w:bCs/>
                <w:iCs/>
                <w:color w:val="000000"/>
              </w:rPr>
              <w:t>胍</w:t>
            </w:r>
            <w:proofErr w:type="gramEnd"/>
            <w:r w:rsidRPr="005F104D">
              <w:rPr>
                <w:rFonts w:ascii="宋体" w:hAnsi="宋体" w:hint="eastAsia"/>
                <w:bCs/>
                <w:iCs/>
                <w:color w:val="000000"/>
              </w:rPr>
              <w:t>缓释片等核心产品销量稳步攀升，盐酸安非他酮缓释片、盐酸帕罗西汀肠溶缓释片等品种也实现了同比大幅增长。</w:t>
            </w:r>
          </w:p>
          <w:p w14:paraId="3F78C87C" w14:textId="77777777" w:rsidR="005F104D" w:rsidRPr="005F104D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集</w:t>
            </w:r>
            <w:proofErr w:type="gramStart"/>
            <w:r w:rsidRPr="005F104D">
              <w:rPr>
                <w:rFonts w:ascii="宋体" w:hAnsi="宋体" w:hint="eastAsia"/>
                <w:bCs/>
                <w:iCs/>
                <w:color w:val="000000"/>
              </w:rPr>
              <w:t>采顺利</w:t>
            </w:r>
            <w:proofErr w:type="gramEnd"/>
            <w:r w:rsidRPr="005F104D">
              <w:rPr>
                <w:rFonts w:ascii="宋体" w:hAnsi="宋体" w:hint="eastAsia"/>
                <w:bCs/>
                <w:iCs/>
                <w:color w:val="000000"/>
              </w:rPr>
              <w:t>续约，不仅有助于公司进一步做大销售规模、提升市场占有率与品牌影响力，也将对后续经营业绩形成坚实正向支撑。与此同时，公司持续优化生产工艺、提升产能利用效率、强化供应链精细化管理，有效控制生产成本、稳固产品合理毛利率水平。</w:t>
            </w:r>
          </w:p>
          <w:p w14:paraId="17B0195C" w14:textId="3E3C048C" w:rsidR="005F104D" w:rsidRPr="005F104D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公司熊去氧胆酸胶囊于2023年4月首次中标第八批国家集采，并于2026年2月顺利拟中选国家集采接续采购，为产品中长期稳定供货、持续市场放量奠定了坚实政策基础。</w:t>
            </w:r>
          </w:p>
          <w:p w14:paraId="59C9AFDE" w14:textId="3ED2F067" w:rsidR="005F104D" w:rsidRPr="005F104D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从市场需求来看，熊去氧胆酸胶囊是肝胆疾病领域主流利</w:t>
            </w:r>
            <w:proofErr w:type="gramStart"/>
            <w:r w:rsidRPr="005F104D">
              <w:rPr>
                <w:rFonts w:ascii="宋体" w:hAnsi="宋体" w:hint="eastAsia"/>
                <w:bCs/>
                <w:iCs/>
                <w:color w:val="000000"/>
              </w:rPr>
              <w:t>胆</w:t>
            </w:r>
            <w:proofErr w:type="gramEnd"/>
            <w:r w:rsidRPr="005F104D">
              <w:rPr>
                <w:rFonts w:ascii="宋体" w:hAnsi="宋体" w:hint="eastAsia"/>
                <w:bCs/>
                <w:iCs/>
                <w:color w:val="000000"/>
              </w:rPr>
              <w:t>用药，</w:t>
            </w:r>
            <w:proofErr w:type="gramStart"/>
            <w:r w:rsidRPr="005F104D">
              <w:rPr>
                <w:rFonts w:ascii="宋体" w:hAnsi="宋体" w:hint="eastAsia"/>
                <w:bCs/>
                <w:iCs/>
                <w:color w:val="000000"/>
              </w:rPr>
              <w:t>临床刚需属</w:t>
            </w:r>
            <w:proofErr w:type="gramEnd"/>
            <w:r w:rsidRPr="005F104D">
              <w:rPr>
                <w:rFonts w:ascii="宋体" w:hAnsi="宋体" w:hint="eastAsia"/>
                <w:bCs/>
                <w:iCs/>
                <w:color w:val="000000"/>
              </w:rPr>
              <w:t>性强、需求持续稳定。本次成功中标全国接续采购，将</w:t>
            </w:r>
            <w:r w:rsidR="004F2065">
              <w:rPr>
                <w:rFonts w:ascii="宋体" w:hAnsi="宋体" w:hint="eastAsia"/>
                <w:bCs/>
                <w:iCs/>
                <w:color w:val="000000"/>
              </w:rPr>
              <w:t>有望</w:t>
            </w:r>
            <w:r w:rsidRPr="005F104D">
              <w:rPr>
                <w:rFonts w:ascii="宋体" w:hAnsi="宋体" w:hint="eastAsia"/>
                <w:bCs/>
                <w:iCs/>
                <w:color w:val="000000"/>
              </w:rPr>
              <w:t>进一步提升产品医院终端覆盖率与配送渗透率，持续拉动产品销量稳步增长。</w:t>
            </w:r>
          </w:p>
          <w:p w14:paraId="2A37F2CA" w14:textId="3D5D6540" w:rsidR="000E7808" w:rsidRPr="00F56DEF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2025年</w:t>
            </w:r>
            <w:r w:rsidR="004F2065"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Pr="005F104D">
              <w:rPr>
                <w:rFonts w:ascii="宋体" w:hAnsi="宋体" w:hint="eastAsia"/>
                <w:bCs/>
                <w:iCs/>
                <w:color w:val="000000"/>
              </w:rPr>
              <w:t>公司核心产品盈利韧性已充分得到验证，也将在新一轮接续采购周期内持续贡献稳定营收和利润，保障公司主营业务稳健向好发展。</w:t>
            </w:r>
          </w:p>
          <w:p w14:paraId="63AB647F" w14:textId="0B2BBF11" w:rsidR="000E7808" w:rsidRPr="00650F96" w:rsidRDefault="005F104D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5F104D">
              <w:rPr>
                <w:rFonts w:hint="eastAsia"/>
                <w:b/>
                <w:bCs/>
                <w:iCs/>
                <w:color w:val="000000"/>
              </w:rPr>
              <w:t>奥拉帕利片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2026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年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2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月执行集采以来，</w:t>
            </w:r>
            <w:r w:rsidR="004F2065">
              <w:rPr>
                <w:rFonts w:hint="eastAsia"/>
                <w:b/>
                <w:bCs/>
                <w:iCs/>
                <w:color w:val="000000"/>
              </w:rPr>
              <w:t>预计其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2026</w:t>
            </w:r>
            <w:r w:rsidRPr="005F104D">
              <w:rPr>
                <w:rFonts w:hint="eastAsia"/>
                <w:b/>
                <w:bCs/>
                <w:iCs/>
                <w:color w:val="000000"/>
              </w:rPr>
              <w:t>年全年能带来多少收入增量？</w:t>
            </w:r>
          </w:p>
          <w:p w14:paraId="5C307813" w14:textId="77777777" w:rsidR="005F104D" w:rsidRPr="005F104D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公司奥拉帕利片于2026年2月起正式执行第十一批国家集采中选结果。鉴于该品种为公司首次中标集采、且于2026年2月才开始执行，全年实际运营周期较短；同时，首年医疗机构实际采购量、终端配送覆盖及临床放量节奏仍存在一定不确定性。</w:t>
            </w:r>
          </w:p>
          <w:p w14:paraId="08E362BC" w14:textId="284DB7EF" w:rsidR="0019712B" w:rsidRPr="00650F96" w:rsidRDefault="005F104D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Cs/>
                <w:iCs/>
                <w:color w:val="000000"/>
              </w:rPr>
              <w:t>从积极方面来看，本次中选国家集采，将有效提升奥拉帕利片在全国公立医疗机构的覆盖率与可及性，为后续销量稳步增长奠定基础。公司将全力保障产品质量与稳定供应，加快终端准入与学术推广，推动该品种尽快实现商业化放量。</w:t>
            </w:r>
          </w:p>
          <w:p w14:paraId="79E5DB36" w14:textId="48960D9C" w:rsidR="00650F96" w:rsidRDefault="005F104D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公司在仿制药和改良新药（比如XT</w:t>
            </w:r>
            <w:r w:rsidR="004F2065">
              <w:rPr>
                <w:rFonts w:ascii="宋体" w:hAnsi="宋体"/>
                <w:b/>
                <w:bCs/>
                <w:iCs/>
                <w:color w:val="000000"/>
              </w:rPr>
              <w:t>-</w:t>
            </w: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0043）上的资源投入优先级如何平衡？</w:t>
            </w:r>
          </w:p>
          <w:p w14:paraId="7CD41CFA" w14:textId="03A1FD8D" w:rsidR="00637839" w:rsidRDefault="00637839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637839">
              <w:rPr>
                <w:rFonts w:ascii="宋体" w:hAnsi="宋体" w:hint="eastAsia"/>
                <w:bCs/>
                <w:iCs/>
                <w:color w:val="000000"/>
              </w:rPr>
              <w:t>公司根据产品阶段与临床价值动态配置资源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。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改良新药是公司重点项目，会优先匹配相应资源投入，其中重点产品XT</w:t>
            </w:r>
            <w:r w:rsidR="004F2065">
              <w:rPr>
                <w:rFonts w:ascii="宋体" w:hAnsi="宋体"/>
                <w:bCs/>
                <w:iCs/>
                <w:color w:val="000000"/>
              </w:rPr>
              <w:t>-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0043的三期临床准备工作已于2025年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第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四季度全部完成，</w:t>
            </w:r>
            <w:r w:rsidRPr="00637839">
              <w:rPr>
                <w:rFonts w:ascii="宋体" w:hAnsi="宋体" w:hint="eastAsia"/>
                <w:bCs/>
                <w:iCs/>
                <w:color w:val="000000"/>
              </w:rPr>
              <w:t>并已落实充足资金保障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，是公司接下来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的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重点推进方向。</w:t>
            </w:r>
          </w:p>
          <w:p w14:paraId="590A18C9" w14:textId="4E8E6A81" w:rsidR="003E6381" w:rsidRPr="003E6381" w:rsidRDefault="00637839" w:rsidP="00794266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同时，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仿制药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作为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proofErr w:type="gramStart"/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成熟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业务</w:t>
            </w:r>
            <w:proofErr w:type="gramEnd"/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领域，</w:t>
            </w:r>
            <w:r w:rsidRPr="00637839">
              <w:rPr>
                <w:rFonts w:ascii="宋体" w:hAnsi="宋体" w:hint="eastAsia"/>
                <w:bCs/>
                <w:iCs/>
                <w:color w:val="000000"/>
              </w:rPr>
              <w:t>公司将继续巩固其市场优势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。对于未来市场前景好、临床优势突出的复杂制剂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及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改良型新药产品，公司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会保持较高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研发投入，近年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来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每年研发费用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占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营业收入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比重稳定在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20%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左右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的水平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。并且公</w:t>
            </w: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司的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股权激励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计划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也对研发费用设置了较高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考核</w:t>
            </w:r>
            <w:r w:rsidR="005F104D" w:rsidRPr="005F104D">
              <w:rPr>
                <w:rFonts w:ascii="宋体" w:hAnsi="宋体" w:hint="eastAsia"/>
                <w:bCs/>
                <w:iCs/>
                <w:color w:val="000000"/>
              </w:rPr>
              <w:t>要求，</w:t>
            </w:r>
            <w:r w:rsidRPr="00637839">
              <w:rPr>
                <w:rFonts w:ascii="宋体" w:hAnsi="宋体" w:hint="eastAsia"/>
                <w:bCs/>
                <w:iCs/>
                <w:color w:val="000000"/>
              </w:rPr>
              <w:t>持续驱动高壁垒、高潜力产品管线的推进。</w:t>
            </w:r>
          </w:p>
          <w:p w14:paraId="2DE9F52A" w14:textId="101CE932" w:rsidR="003E6381" w:rsidRDefault="005F104D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恩扎鲁胺片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获得</w:t>
            </w: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FDA</w:t>
            </w:r>
            <w:r>
              <w:rPr>
                <w:rFonts w:ascii="宋体" w:hAnsi="宋体" w:hint="eastAsia"/>
                <w:b/>
                <w:bCs/>
                <w:iCs/>
                <w:color w:val="000000"/>
              </w:rPr>
              <w:t>暂时</w:t>
            </w: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批准，相关专利诉讼进展如何？</w:t>
            </w:r>
          </w:p>
          <w:p w14:paraId="507F07A2" w14:textId="750ACFC5" w:rsidR="00AA3B44" w:rsidRPr="00AA3B44" w:rsidRDefault="00AA3B44" w:rsidP="00AA3B44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AA3B44">
              <w:rPr>
                <w:rFonts w:ascii="宋体" w:hAnsi="宋体" w:hint="eastAsia"/>
                <w:bCs/>
                <w:iCs/>
                <w:color w:val="000000"/>
              </w:rPr>
              <w:t>恩扎</w:t>
            </w:r>
            <w:proofErr w:type="gramStart"/>
            <w:r w:rsidRPr="00AA3B44">
              <w:rPr>
                <w:rFonts w:ascii="宋体" w:hAnsi="宋体" w:hint="eastAsia"/>
                <w:bCs/>
                <w:iCs/>
                <w:color w:val="000000"/>
              </w:rPr>
              <w:t>卢</w:t>
            </w:r>
            <w:proofErr w:type="gramEnd"/>
            <w:r w:rsidRPr="00AA3B44">
              <w:rPr>
                <w:rFonts w:ascii="宋体" w:hAnsi="宋体" w:hint="eastAsia"/>
                <w:bCs/>
                <w:iCs/>
                <w:color w:val="000000"/>
              </w:rPr>
              <w:t>胺片于2025年6月获得美国FDA暂定批准，已满足仿制药全部审评要求。产品规格为40mg和80mg，对应去势抵抗性前列腺癌、转移性去势敏感性前列腺癌两大适应症。相较于原</w:t>
            </w:r>
            <w:proofErr w:type="gramStart"/>
            <w:r w:rsidRPr="00AA3B44">
              <w:rPr>
                <w:rFonts w:ascii="宋体" w:hAnsi="宋体" w:hint="eastAsia"/>
                <w:bCs/>
                <w:iCs/>
                <w:color w:val="000000"/>
              </w:rPr>
              <w:t>研</w:t>
            </w:r>
            <w:proofErr w:type="gramEnd"/>
            <w:r w:rsidRPr="00AA3B44">
              <w:rPr>
                <w:rFonts w:ascii="宋体" w:hAnsi="宋体" w:hint="eastAsia"/>
                <w:bCs/>
                <w:iCs/>
                <w:color w:val="000000"/>
              </w:rPr>
              <w:t>软胶囊剂型，本品在稳定性、储运便利性及患者依从性方面具备</w:t>
            </w:r>
            <w:r w:rsidR="00C63663">
              <w:rPr>
                <w:rFonts w:ascii="宋体" w:hAnsi="宋体" w:hint="eastAsia"/>
                <w:bCs/>
                <w:iCs/>
                <w:color w:val="000000"/>
              </w:rPr>
              <w:t>潜在</w:t>
            </w:r>
            <w:r w:rsidRPr="00AA3B44">
              <w:rPr>
                <w:rFonts w:ascii="宋体" w:hAnsi="宋体" w:hint="eastAsia"/>
                <w:bCs/>
                <w:iCs/>
                <w:color w:val="000000"/>
              </w:rPr>
              <w:t>优势。在专利层面，公司针对原研相关专利发起了挑战，目前已经与原研公司达成和解。</w:t>
            </w:r>
          </w:p>
          <w:p w14:paraId="19AC09A8" w14:textId="34549F8E" w:rsidR="00E46A68" w:rsidRPr="00E46A68" w:rsidRDefault="00AA3B44" w:rsidP="00AA3B44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AA3B44">
              <w:rPr>
                <w:rFonts w:ascii="宋体" w:hAnsi="宋体" w:hint="eastAsia"/>
                <w:bCs/>
                <w:iCs/>
                <w:color w:val="000000"/>
              </w:rPr>
              <w:t>此外，该产品已于2026年3月获得NMPA批准上市。</w:t>
            </w:r>
          </w:p>
          <w:p w14:paraId="2D7B8D3C" w14:textId="5F53E1FC" w:rsidR="00E46A68" w:rsidRDefault="005F104D" w:rsidP="00794266">
            <w:pPr>
              <w:pStyle w:val="a7"/>
              <w:numPr>
                <w:ilvl w:val="0"/>
                <w:numId w:val="4"/>
              </w:numPr>
              <w:spacing w:line="480" w:lineRule="atLeast"/>
              <w:ind w:left="0" w:firstLine="482"/>
              <w:rPr>
                <w:rFonts w:ascii="宋体" w:hAnsi="宋体"/>
                <w:b/>
                <w:bCs/>
                <w:iCs/>
                <w:color w:val="000000"/>
              </w:rPr>
            </w:pPr>
            <w:r w:rsidRPr="005F104D">
              <w:rPr>
                <w:rFonts w:ascii="宋体" w:hAnsi="宋体" w:hint="eastAsia"/>
                <w:b/>
                <w:bCs/>
                <w:iCs/>
                <w:color w:val="000000"/>
              </w:rPr>
              <w:t>公司获批保健类产品的后续销售规划是怎样的？</w:t>
            </w:r>
          </w:p>
          <w:p w14:paraId="1523BBBC" w14:textId="230F76FB" w:rsidR="00AA3B44" w:rsidRPr="00AA3B44" w:rsidRDefault="00AA3B44" w:rsidP="00E42752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AA3B44">
              <w:rPr>
                <w:rFonts w:ascii="宋体" w:hAnsi="宋体" w:hint="eastAsia"/>
                <w:bCs/>
                <w:iCs/>
                <w:color w:val="000000"/>
              </w:rPr>
              <w:t>在深耕医药主业的基础上，公司正依托核心制剂技术优势，</w:t>
            </w:r>
            <w:r w:rsidR="00E42752">
              <w:rPr>
                <w:rFonts w:ascii="宋体" w:hAnsi="宋体" w:hint="eastAsia"/>
                <w:bCs/>
                <w:iCs/>
                <w:color w:val="000000"/>
              </w:rPr>
              <w:t>向</w:t>
            </w:r>
            <w:r w:rsidRPr="00AA3B44">
              <w:rPr>
                <w:rFonts w:ascii="宋体" w:hAnsi="宋体" w:hint="eastAsia"/>
                <w:bCs/>
                <w:iCs/>
                <w:color w:val="000000"/>
              </w:rPr>
              <w:t>大健康</w:t>
            </w:r>
            <w:r w:rsidR="00E42752">
              <w:rPr>
                <w:rFonts w:ascii="宋体" w:hAnsi="宋体" w:hint="eastAsia"/>
                <w:bCs/>
                <w:iCs/>
                <w:color w:val="000000"/>
              </w:rPr>
              <w:t>领域延伸</w:t>
            </w:r>
            <w:r w:rsidRPr="00AA3B44">
              <w:rPr>
                <w:rFonts w:ascii="宋体" w:hAnsi="宋体" w:hint="eastAsia"/>
                <w:bCs/>
                <w:iCs/>
                <w:color w:val="000000"/>
              </w:rPr>
              <w:t>。我们将药品研发中的难溶药物</w:t>
            </w:r>
            <w:proofErr w:type="gramStart"/>
            <w:r w:rsidRPr="00AA3B44">
              <w:rPr>
                <w:rFonts w:ascii="宋体" w:hAnsi="宋体" w:hint="eastAsia"/>
                <w:bCs/>
                <w:iCs/>
                <w:color w:val="000000"/>
              </w:rPr>
              <w:t>增溶等</w:t>
            </w:r>
            <w:proofErr w:type="gramEnd"/>
            <w:r w:rsidRPr="00AA3B44">
              <w:rPr>
                <w:rFonts w:ascii="宋体" w:hAnsi="宋体" w:hint="eastAsia"/>
                <w:bCs/>
                <w:iCs/>
                <w:color w:val="000000"/>
              </w:rPr>
              <w:t>核心技术延伸至营养保健产品开发，目前已推出番茄红素、多种维生素片、褪黑素片等</w:t>
            </w:r>
            <w:r w:rsidR="00E42752">
              <w:rPr>
                <w:rFonts w:ascii="宋体" w:hAnsi="宋体" w:hint="eastAsia"/>
                <w:bCs/>
                <w:iCs/>
                <w:color w:val="000000"/>
              </w:rPr>
              <w:t>多款</w:t>
            </w:r>
            <w:r w:rsidRPr="00AA3B44">
              <w:rPr>
                <w:rFonts w:ascii="宋体" w:hAnsi="宋体" w:hint="eastAsia"/>
                <w:bCs/>
                <w:iCs/>
                <w:color w:val="000000"/>
              </w:rPr>
              <w:t>产品。</w:t>
            </w:r>
            <w:r w:rsidR="00E42752">
              <w:rPr>
                <w:rFonts w:ascii="宋体" w:hAnsi="宋体" w:hint="eastAsia"/>
                <w:bCs/>
                <w:iCs/>
                <w:color w:val="000000"/>
              </w:rPr>
              <w:t>近期获批的</w:t>
            </w:r>
            <w:r w:rsidRPr="00AA3B44">
              <w:rPr>
                <w:rFonts w:ascii="宋体" w:hAnsi="宋体" w:hint="eastAsia"/>
                <w:bCs/>
                <w:iCs/>
                <w:color w:val="000000"/>
              </w:rPr>
              <w:t>宣泰®番茄红葡萄</w:t>
            </w:r>
            <w:proofErr w:type="gramStart"/>
            <w:r w:rsidRPr="00AA3B44">
              <w:rPr>
                <w:rFonts w:ascii="宋体" w:hAnsi="宋体" w:hint="eastAsia"/>
                <w:bCs/>
                <w:iCs/>
                <w:color w:val="000000"/>
              </w:rPr>
              <w:t>籽</w:t>
            </w:r>
            <w:proofErr w:type="gramEnd"/>
            <w:r w:rsidRPr="00AA3B44">
              <w:rPr>
                <w:rFonts w:ascii="宋体" w:hAnsi="宋体" w:hint="eastAsia"/>
                <w:bCs/>
                <w:iCs/>
                <w:color w:val="000000"/>
              </w:rPr>
              <w:t>提取物片历经十余年技术深耕，预计将于今年6–7月正式上市。</w:t>
            </w:r>
          </w:p>
          <w:p w14:paraId="42017361" w14:textId="35257DE4" w:rsidR="00E46A68" w:rsidRDefault="00E42752" w:rsidP="00AA3B44">
            <w:pPr>
              <w:pStyle w:val="a7"/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  <w:r w:rsidRPr="00E42752">
              <w:rPr>
                <w:rFonts w:ascii="宋体" w:hAnsi="宋体" w:hint="eastAsia"/>
                <w:bCs/>
                <w:iCs/>
                <w:color w:val="000000"/>
              </w:rPr>
              <w:t>未来，公司将依托三大核心技术平台，围绕不同人群与场景需求，持续丰富膳食营养补充剂产品管线。业务上，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公司</w:t>
            </w:r>
            <w:r w:rsidRPr="00E42752">
              <w:rPr>
                <w:rFonts w:ascii="宋体" w:hAnsi="宋体" w:hint="eastAsia"/>
                <w:bCs/>
                <w:iCs/>
                <w:color w:val="000000"/>
              </w:rPr>
              <w:t>同步推进自有品牌建设与OEM贴牌合作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，</w:t>
            </w:r>
            <w:r w:rsidRPr="00E42752">
              <w:rPr>
                <w:rFonts w:ascii="宋体" w:hAnsi="宋体" w:hint="eastAsia"/>
                <w:bCs/>
                <w:iCs/>
                <w:color w:val="000000"/>
              </w:rPr>
              <w:t>已与童年故事等品牌合作。同时，公司</w:t>
            </w:r>
            <w:r w:rsidR="00762DB1">
              <w:rPr>
                <w:rFonts w:ascii="宋体" w:hAnsi="宋体" w:hint="eastAsia"/>
                <w:bCs/>
                <w:iCs/>
                <w:color w:val="000000"/>
              </w:rPr>
              <w:t>正在</w:t>
            </w:r>
            <w:bookmarkStart w:id="0" w:name="_GoBack"/>
            <w:bookmarkEnd w:id="0"/>
            <w:r w:rsidR="00762DB1">
              <w:rPr>
                <w:rFonts w:ascii="宋体" w:hAnsi="宋体" w:hint="eastAsia"/>
                <w:bCs/>
                <w:iCs/>
                <w:color w:val="000000"/>
              </w:rPr>
              <w:t>对</w:t>
            </w:r>
            <w:r w:rsidRPr="00E42752">
              <w:rPr>
                <w:rFonts w:ascii="宋体" w:hAnsi="宋体" w:hint="eastAsia"/>
                <w:bCs/>
                <w:iCs/>
                <w:color w:val="000000"/>
              </w:rPr>
              <w:t>保健食品车间</w:t>
            </w:r>
            <w:r w:rsidR="00762DB1">
              <w:rPr>
                <w:rFonts w:ascii="宋体" w:hAnsi="宋体" w:hint="eastAsia"/>
                <w:bCs/>
                <w:iCs/>
                <w:color w:val="000000"/>
              </w:rPr>
              <w:t>进行</w:t>
            </w:r>
            <w:r w:rsidRPr="00E42752">
              <w:rPr>
                <w:rFonts w:ascii="宋体" w:hAnsi="宋体" w:hint="eastAsia"/>
                <w:bCs/>
                <w:iCs/>
                <w:color w:val="000000"/>
              </w:rPr>
              <w:t>扩建升级，为后续增长提供产能保障。</w:t>
            </w:r>
          </w:p>
          <w:p w14:paraId="5A713F4C" w14:textId="086B98AD" w:rsidR="004B67DE" w:rsidRPr="004B67DE" w:rsidRDefault="004B67DE" w:rsidP="005F104D">
            <w:pPr>
              <w:spacing w:line="480" w:lineRule="atLeast"/>
              <w:ind w:firstLine="480"/>
              <w:rPr>
                <w:rFonts w:ascii="宋体" w:hAnsi="宋体"/>
                <w:bCs/>
                <w:iCs/>
                <w:color w:val="000000"/>
              </w:rPr>
            </w:pPr>
          </w:p>
        </w:tc>
      </w:tr>
      <w:tr w:rsidR="00D40CB1" w:rsidRPr="00BB1B05" w14:paraId="23E0AD05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A00F" w14:textId="77777777" w:rsidR="00D40CB1" w:rsidRPr="00BB1B05" w:rsidRDefault="00D40CB1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1DC9" w14:textId="77777777" w:rsidR="00D40CB1" w:rsidRDefault="00D40CB1" w:rsidP="00E46A68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BC63F8" w:rsidRPr="00BB1B05" w14:paraId="215283BC" w14:textId="77777777" w:rsidTr="004D51AA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5C2C" w14:textId="77777777" w:rsidR="00BC63F8" w:rsidRPr="00BB1B05" w:rsidRDefault="00BC63F8" w:rsidP="005D106F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附件清单（如</w:t>
            </w:r>
            <w:r w:rsidRPr="00BB1B05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0F81" w14:textId="4B8FA4FA" w:rsidR="00BC63F8" w:rsidRPr="00BB1B05" w:rsidRDefault="004D51AA" w:rsidP="004D51AA">
            <w:pPr>
              <w:spacing w:line="240" w:lineRule="auto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lastRenderedPageBreak/>
              <w:t>与会清单</w:t>
            </w:r>
          </w:p>
        </w:tc>
      </w:tr>
    </w:tbl>
    <w:p w14:paraId="75947BCA" w14:textId="77777777" w:rsidR="00CC7488" w:rsidRDefault="00CC7488" w:rsidP="00616DE2">
      <w:pPr>
        <w:ind w:firstLineChars="0" w:firstLine="0"/>
      </w:pPr>
    </w:p>
    <w:p w14:paraId="2CCFADB3" w14:textId="1162D605" w:rsidR="00794266" w:rsidRDefault="00794266" w:rsidP="00616DE2">
      <w:pPr>
        <w:ind w:firstLineChars="0" w:firstLine="0"/>
      </w:pPr>
    </w:p>
    <w:p w14:paraId="6D13336B" w14:textId="3C26BCCE" w:rsidR="00DF7EA7" w:rsidRDefault="00794266" w:rsidP="00616DE2">
      <w:pPr>
        <w:ind w:firstLineChars="0" w:firstLine="0"/>
      </w:pPr>
      <w:r>
        <w:rPr>
          <w:rFonts w:hint="eastAsia"/>
        </w:rPr>
        <w:t>附件：</w:t>
      </w:r>
      <w:r w:rsidR="00DF7EA7">
        <w:rPr>
          <w:rFonts w:hint="eastAsia"/>
        </w:rPr>
        <w:t>与会清单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C3127E" w14:paraId="38D84413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3217A5E4" w14:textId="056409D7" w:rsidR="00C3127E" w:rsidRDefault="00C3127E" w:rsidP="00C7389F">
            <w:pPr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国泰海通</w:t>
            </w:r>
            <w:proofErr w:type="gramEnd"/>
          </w:p>
        </w:tc>
        <w:tc>
          <w:tcPr>
            <w:tcW w:w="4111" w:type="dxa"/>
            <w:vAlign w:val="center"/>
          </w:tcPr>
          <w:p w14:paraId="5043F7C4" w14:textId="1B0151A4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华安证券</w:t>
            </w:r>
          </w:p>
        </w:tc>
      </w:tr>
      <w:tr w:rsidR="00C3127E" w14:paraId="162CFA46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5BB8659E" w14:textId="594BCA07" w:rsidR="00C3127E" w:rsidRDefault="00C3127E" w:rsidP="00C7389F">
            <w:pPr>
              <w:ind w:firstLineChars="0" w:firstLine="0"/>
              <w:jc w:val="center"/>
            </w:pPr>
            <w:r>
              <w:rPr>
                <w:rFonts w:hint="eastAsia"/>
              </w:rPr>
              <w:t>华西证券</w:t>
            </w:r>
          </w:p>
        </w:tc>
        <w:tc>
          <w:tcPr>
            <w:tcW w:w="4111" w:type="dxa"/>
            <w:vAlign w:val="center"/>
          </w:tcPr>
          <w:p w14:paraId="4C1F3AA2" w14:textId="40E8C8B0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东北证券</w:t>
            </w:r>
          </w:p>
        </w:tc>
      </w:tr>
      <w:tr w:rsidR="00C3127E" w14:paraId="2EDA1B26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568A0347" w14:textId="072197C3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招商证券</w:t>
            </w:r>
          </w:p>
        </w:tc>
        <w:tc>
          <w:tcPr>
            <w:tcW w:w="4111" w:type="dxa"/>
            <w:vAlign w:val="center"/>
          </w:tcPr>
          <w:p w14:paraId="07ACAF4F" w14:textId="2A025922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方正证券</w:t>
            </w:r>
          </w:p>
        </w:tc>
      </w:tr>
      <w:tr w:rsidR="00C3127E" w14:paraId="1D767171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00503AF4" w14:textId="41AB0F1E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信</w:t>
            </w:r>
            <w:proofErr w:type="gramStart"/>
            <w:r w:rsidRPr="006E7632">
              <w:rPr>
                <w:rFonts w:hint="eastAsia"/>
              </w:rPr>
              <w:t>达证券</w:t>
            </w:r>
            <w:proofErr w:type="gramEnd"/>
          </w:p>
        </w:tc>
        <w:tc>
          <w:tcPr>
            <w:tcW w:w="4111" w:type="dxa"/>
            <w:vAlign w:val="center"/>
          </w:tcPr>
          <w:p w14:paraId="20F25452" w14:textId="02AD77CF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兴业证券</w:t>
            </w:r>
          </w:p>
        </w:tc>
      </w:tr>
      <w:tr w:rsidR="00C3127E" w14:paraId="5DBB5450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63EABC7D" w14:textId="07EC2F54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诚通证券</w:t>
            </w:r>
            <w:proofErr w:type="gramEnd"/>
          </w:p>
        </w:tc>
        <w:tc>
          <w:tcPr>
            <w:tcW w:w="4111" w:type="dxa"/>
            <w:vAlign w:val="center"/>
          </w:tcPr>
          <w:p w14:paraId="3F4DE958" w14:textId="4C5DDB52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翼虎投资</w:t>
            </w:r>
            <w:proofErr w:type="gramEnd"/>
          </w:p>
        </w:tc>
      </w:tr>
      <w:tr w:rsidR="00C3127E" w14:paraId="1475F80D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769E77BF" w14:textId="6FFD5841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歌</w:t>
            </w:r>
            <w:proofErr w:type="gramStart"/>
            <w:r w:rsidRPr="006E7632">
              <w:rPr>
                <w:rFonts w:hint="eastAsia"/>
              </w:rPr>
              <w:t>斐资管</w:t>
            </w:r>
            <w:proofErr w:type="gramEnd"/>
          </w:p>
        </w:tc>
        <w:tc>
          <w:tcPr>
            <w:tcW w:w="4111" w:type="dxa"/>
            <w:vAlign w:val="center"/>
          </w:tcPr>
          <w:p w14:paraId="3864CFCD" w14:textId="1D0A7235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申万菱</w:t>
            </w:r>
            <w:proofErr w:type="gramEnd"/>
            <w:r w:rsidRPr="006E7632">
              <w:rPr>
                <w:rFonts w:hint="eastAsia"/>
              </w:rPr>
              <w:t>信基金</w:t>
            </w:r>
          </w:p>
        </w:tc>
      </w:tr>
      <w:tr w:rsidR="00C3127E" w14:paraId="3C547C2A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6272BFB1" w14:textId="1BFD8600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创金合</w:t>
            </w:r>
            <w:proofErr w:type="gramEnd"/>
            <w:r w:rsidRPr="006E7632">
              <w:rPr>
                <w:rFonts w:hint="eastAsia"/>
              </w:rPr>
              <w:t>信基金</w:t>
            </w:r>
          </w:p>
        </w:tc>
        <w:tc>
          <w:tcPr>
            <w:tcW w:w="4111" w:type="dxa"/>
            <w:vAlign w:val="center"/>
          </w:tcPr>
          <w:p w14:paraId="6730D233" w14:textId="2FDEB8FA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太平洋资管</w:t>
            </w:r>
            <w:proofErr w:type="gramEnd"/>
          </w:p>
        </w:tc>
      </w:tr>
      <w:tr w:rsidR="00C3127E" w14:paraId="6DEA88CF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132235CF" w14:textId="2CCBF4BC" w:rsidR="00C3127E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杭银理财</w:t>
            </w:r>
            <w:proofErr w:type="gramEnd"/>
          </w:p>
        </w:tc>
        <w:tc>
          <w:tcPr>
            <w:tcW w:w="4111" w:type="dxa"/>
            <w:vAlign w:val="center"/>
          </w:tcPr>
          <w:p w14:paraId="227710E8" w14:textId="0F2CF165" w:rsidR="00C3127E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天</w:t>
            </w:r>
            <w:proofErr w:type="gramStart"/>
            <w:r w:rsidRPr="006E7632">
              <w:rPr>
                <w:rFonts w:hint="eastAsia"/>
              </w:rPr>
              <w:t>治基金</w:t>
            </w:r>
            <w:proofErr w:type="gramEnd"/>
          </w:p>
        </w:tc>
      </w:tr>
      <w:tr w:rsidR="006E7632" w14:paraId="07CE5D7C" w14:textId="77777777" w:rsidTr="00C7389F">
        <w:trPr>
          <w:trHeight w:val="510"/>
        </w:trPr>
        <w:tc>
          <w:tcPr>
            <w:tcW w:w="4106" w:type="dxa"/>
            <w:vAlign w:val="center"/>
          </w:tcPr>
          <w:p w14:paraId="20D86524" w14:textId="4511D09E" w:rsidR="006E7632" w:rsidRPr="006E7632" w:rsidRDefault="006E7632" w:rsidP="00C7389F">
            <w:pPr>
              <w:ind w:firstLineChars="0" w:firstLine="0"/>
              <w:jc w:val="center"/>
            </w:pPr>
            <w:r w:rsidRPr="006E7632">
              <w:rPr>
                <w:rFonts w:hint="eastAsia"/>
              </w:rPr>
              <w:t>招商基金</w:t>
            </w:r>
          </w:p>
        </w:tc>
        <w:tc>
          <w:tcPr>
            <w:tcW w:w="4111" w:type="dxa"/>
            <w:vAlign w:val="center"/>
          </w:tcPr>
          <w:p w14:paraId="28ACCA01" w14:textId="36E80892" w:rsidR="006E7632" w:rsidRPr="006E7632" w:rsidRDefault="006E7632" w:rsidP="00C7389F">
            <w:pPr>
              <w:ind w:firstLineChars="0" w:firstLine="0"/>
              <w:jc w:val="center"/>
            </w:pPr>
            <w:proofErr w:type="gramStart"/>
            <w:r w:rsidRPr="006E7632">
              <w:rPr>
                <w:rFonts w:hint="eastAsia"/>
              </w:rPr>
              <w:t>循远资管</w:t>
            </w:r>
            <w:proofErr w:type="gramEnd"/>
          </w:p>
        </w:tc>
      </w:tr>
    </w:tbl>
    <w:p w14:paraId="0E5140D1" w14:textId="77777777" w:rsidR="00DF7EA7" w:rsidRDefault="00DF7EA7" w:rsidP="00616DE2">
      <w:pPr>
        <w:ind w:firstLineChars="0" w:firstLine="0"/>
      </w:pPr>
    </w:p>
    <w:sectPr w:rsidR="00DF7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D2A3" w14:textId="77777777" w:rsidR="00EE2593" w:rsidRDefault="00EE2593">
      <w:pPr>
        <w:spacing w:line="240" w:lineRule="auto"/>
        <w:ind w:firstLine="480"/>
      </w:pPr>
      <w:r>
        <w:separator/>
      </w:r>
    </w:p>
  </w:endnote>
  <w:endnote w:type="continuationSeparator" w:id="0">
    <w:p w14:paraId="5452AD8A" w14:textId="77777777" w:rsidR="00EE2593" w:rsidRDefault="00EE259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EF1B" w14:textId="77777777" w:rsidR="00F928E1" w:rsidRDefault="00EE25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17DA3" w14:textId="77777777" w:rsidR="00F928E1" w:rsidRDefault="00EE25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3BD13" w14:textId="77777777" w:rsidR="00F928E1" w:rsidRDefault="00EE25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A509" w14:textId="77777777" w:rsidR="00EE2593" w:rsidRDefault="00EE2593">
      <w:pPr>
        <w:spacing w:line="240" w:lineRule="auto"/>
        <w:ind w:firstLine="480"/>
      </w:pPr>
      <w:r>
        <w:separator/>
      </w:r>
    </w:p>
  </w:footnote>
  <w:footnote w:type="continuationSeparator" w:id="0">
    <w:p w14:paraId="72C3295F" w14:textId="77777777" w:rsidR="00EE2593" w:rsidRDefault="00EE259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EAA6" w14:textId="77777777" w:rsidR="00F928E1" w:rsidRDefault="00EE25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369E4" w14:textId="77777777" w:rsidR="00F928E1" w:rsidRDefault="00EE25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0433" w14:textId="77777777" w:rsidR="00F928E1" w:rsidRDefault="00EE25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504B"/>
    <w:multiLevelType w:val="hybridMultilevel"/>
    <w:tmpl w:val="A4D27CFE"/>
    <w:lvl w:ilvl="0" w:tplc="C4C086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921F24"/>
    <w:multiLevelType w:val="hybridMultilevel"/>
    <w:tmpl w:val="A2761B52"/>
    <w:lvl w:ilvl="0" w:tplc="341A3CC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05D01AA"/>
    <w:multiLevelType w:val="hybridMultilevel"/>
    <w:tmpl w:val="67B28928"/>
    <w:lvl w:ilvl="0" w:tplc="34AAB098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2E3EFE"/>
    <w:multiLevelType w:val="hybridMultilevel"/>
    <w:tmpl w:val="94028A1A"/>
    <w:lvl w:ilvl="0" w:tplc="6234E3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F8"/>
    <w:rsid w:val="00000CDB"/>
    <w:rsid w:val="00011CFF"/>
    <w:rsid w:val="000138E7"/>
    <w:rsid w:val="00015207"/>
    <w:rsid w:val="000242ED"/>
    <w:rsid w:val="000265DD"/>
    <w:rsid w:val="00030FE3"/>
    <w:rsid w:val="00033301"/>
    <w:rsid w:val="00034075"/>
    <w:rsid w:val="00040551"/>
    <w:rsid w:val="00041120"/>
    <w:rsid w:val="000502F1"/>
    <w:rsid w:val="000573B1"/>
    <w:rsid w:val="00065985"/>
    <w:rsid w:val="000713A9"/>
    <w:rsid w:val="00072791"/>
    <w:rsid w:val="0007489F"/>
    <w:rsid w:val="0007732A"/>
    <w:rsid w:val="000845AE"/>
    <w:rsid w:val="00086C1F"/>
    <w:rsid w:val="0009362F"/>
    <w:rsid w:val="000A556E"/>
    <w:rsid w:val="000B0E2A"/>
    <w:rsid w:val="000B1B27"/>
    <w:rsid w:val="000B2E0A"/>
    <w:rsid w:val="000B4BD6"/>
    <w:rsid w:val="000B6DEE"/>
    <w:rsid w:val="000D02FD"/>
    <w:rsid w:val="000E2A45"/>
    <w:rsid w:val="000E40B4"/>
    <w:rsid w:val="000E7808"/>
    <w:rsid w:val="000F0EF2"/>
    <w:rsid w:val="000F1066"/>
    <w:rsid w:val="000F4A09"/>
    <w:rsid w:val="0010329F"/>
    <w:rsid w:val="00111064"/>
    <w:rsid w:val="00111488"/>
    <w:rsid w:val="00112A1D"/>
    <w:rsid w:val="001171DD"/>
    <w:rsid w:val="001221EC"/>
    <w:rsid w:val="001225A1"/>
    <w:rsid w:val="00122F9A"/>
    <w:rsid w:val="00123D52"/>
    <w:rsid w:val="00131BCF"/>
    <w:rsid w:val="00135B23"/>
    <w:rsid w:val="001365D2"/>
    <w:rsid w:val="00137858"/>
    <w:rsid w:val="001437C8"/>
    <w:rsid w:val="00144030"/>
    <w:rsid w:val="0014678E"/>
    <w:rsid w:val="00150834"/>
    <w:rsid w:val="00150BF5"/>
    <w:rsid w:val="00151A3F"/>
    <w:rsid w:val="00154043"/>
    <w:rsid w:val="00165296"/>
    <w:rsid w:val="00165739"/>
    <w:rsid w:val="001667D9"/>
    <w:rsid w:val="00166BBE"/>
    <w:rsid w:val="00167A61"/>
    <w:rsid w:val="00170320"/>
    <w:rsid w:val="001727EF"/>
    <w:rsid w:val="00174E04"/>
    <w:rsid w:val="00175AAB"/>
    <w:rsid w:val="00180B98"/>
    <w:rsid w:val="00181926"/>
    <w:rsid w:val="0018554F"/>
    <w:rsid w:val="0018674E"/>
    <w:rsid w:val="001908D8"/>
    <w:rsid w:val="001938E7"/>
    <w:rsid w:val="0019712B"/>
    <w:rsid w:val="001A3E54"/>
    <w:rsid w:val="001A49FE"/>
    <w:rsid w:val="001A7904"/>
    <w:rsid w:val="001B0EC4"/>
    <w:rsid w:val="001B6BD8"/>
    <w:rsid w:val="001B7612"/>
    <w:rsid w:val="001C03EB"/>
    <w:rsid w:val="001C07E5"/>
    <w:rsid w:val="001C3B6D"/>
    <w:rsid w:val="001C429E"/>
    <w:rsid w:val="001C4A56"/>
    <w:rsid w:val="001C7E45"/>
    <w:rsid w:val="001D0044"/>
    <w:rsid w:val="001D03CB"/>
    <w:rsid w:val="001D03D5"/>
    <w:rsid w:val="001D099A"/>
    <w:rsid w:val="001D507E"/>
    <w:rsid w:val="001D6204"/>
    <w:rsid w:val="001E1E37"/>
    <w:rsid w:val="001E212F"/>
    <w:rsid w:val="001E61DE"/>
    <w:rsid w:val="001F3F03"/>
    <w:rsid w:val="001F6978"/>
    <w:rsid w:val="00200194"/>
    <w:rsid w:val="00206843"/>
    <w:rsid w:val="00207DE9"/>
    <w:rsid w:val="0021047C"/>
    <w:rsid w:val="00210614"/>
    <w:rsid w:val="00213900"/>
    <w:rsid w:val="00213CFB"/>
    <w:rsid w:val="00214358"/>
    <w:rsid w:val="002158C8"/>
    <w:rsid w:val="002172BA"/>
    <w:rsid w:val="00220A65"/>
    <w:rsid w:val="002213BF"/>
    <w:rsid w:val="00225131"/>
    <w:rsid w:val="002301B6"/>
    <w:rsid w:val="002424AB"/>
    <w:rsid w:val="0024344C"/>
    <w:rsid w:val="00243BC4"/>
    <w:rsid w:val="00246DDF"/>
    <w:rsid w:val="0025550D"/>
    <w:rsid w:val="0025599E"/>
    <w:rsid w:val="00255DCE"/>
    <w:rsid w:val="00263A34"/>
    <w:rsid w:val="00265483"/>
    <w:rsid w:val="00271A9E"/>
    <w:rsid w:val="00280458"/>
    <w:rsid w:val="0028393B"/>
    <w:rsid w:val="00285D98"/>
    <w:rsid w:val="002878DE"/>
    <w:rsid w:val="00291446"/>
    <w:rsid w:val="00292424"/>
    <w:rsid w:val="00292580"/>
    <w:rsid w:val="002A23EC"/>
    <w:rsid w:val="002A5094"/>
    <w:rsid w:val="002B0456"/>
    <w:rsid w:val="002C07D3"/>
    <w:rsid w:val="002C1A83"/>
    <w:rsid w:val="002C32C7"/>
    <w:rsid w:val="002D347A"/>
    <w:rsid w:val="002D40FB"/>
    <w:rsid w:val="002E1F18"/>
    <w:rsid w:val="002F0D23"/>
    <w:rsid w:val="002F1776"/>
    <w:rsid w:val="002F2DC8"/>
    <w:rsid w:val="002F2EF4"/>
    <w:rsid w:val="002F2F3E"/>
    <w:rsid w:val="002F692C"/>
    <w:rsid w:val="00300B33"/>
    <w:rsid w:val="003063BB"/>
    <w:rsid w:val="0030692A"/>
    <w:rsid w:val="0031599B"/>
    <w:rsid w:val="003172E0"/>
    <w:rsid w:val="00322E51"/>
    <w:rsid w:val="00325851"/>
    <w:rsid w:val="00327557"/>
    <w:rsid w:val="00331CC9"/>
    <w:rsid w:val="00332719"/>
    <w:rsid w:val="0034219E"/>
    <w:rsid w:val="003473B9"/>
    <w:rsid w:val="00347841"/>
    <w:rsid w:val="00351E95"/>
    <w:rsid w:val="0036228E"/>
    <w:rsid w:val="0037249B"/>
    <w:rsid w:val="00376A7A"/>
    <w:rsid w:val="00377966"/>
    <w:rsid w:val="00382403"/>
    <w:rsid w:val="00382723"/>
    <w:rsid w:val="00391AB5"/>
    <w:rsid w:val="00393A6C"/>
    <w:rsid w:val="00393B48"/>
    <w:rsid w:val="003A382D"/>
    <w:rsid w:val="003A42B5"/>
    <w:rsid w:val="003A7CC3"/>
    <w:rsid w:val="003A7E9C"/>
    <w:rsid w:val="003B09C7"/>
    <w:rsid w:val="003B3C15"/>
    <w:rsid w:val="003C4509"/>
    <w:rsid w:val="003D5901"/>
    <w:rsid w:val="003E01B5"/>
    <w:rsid w:val="003E1485"/>
    <w:rsid w:val="003E6381"/>
    <w:rsid w:val="003E7201"/>
    <w:rsid w:val="003F6661"/>
    <w:rsid w:val="003F7751"/>
    <w:rsid w:val="00404483"/>
    <w:rsid w:val="00411DC6"/>
    <w:rsid w:val="00411F51"/>
    <w:rsid w:val="004122CF"/>
    <w:rsid w:val="00414D41"/>
    <w:rsid w:val="00420143"/>
    <w:rsid w:val="00421858"/>
    <w:rsid w:val="004241ED"/>
    <w:rsid w:val="00424488"/>
    <w:rsid w:val="00424FF8"/>
    <w:rsid w:val="0043009A"/>
    <w:rsid w:val="004302C8"/>
    <w:rsid w:val="00432928"/>
    <w:rsid w:val="00433AA9"/>
    <w:rsid w:val="004340B1"/>
    <w:rsid w:val="004340D9"/>
    <w:rsid w:val="00442D67"/>
    <w:rsid w:val="00445C4F"/>
    <w:rsid w:val="004460BB"/>
    <w:rsid w:val="00447338"/>
    <w:rsid w:val="004522CE"/>
    <w:rsid w:val="00453D8B"/>
    <w:rsid w:val="004646B7"/>
    <w:rsid w:val="00470E30"/>
    <w:rsid w:val="00471AD6"/>
    <w:rsid w:val="00471D0E"/>
    <w:rsid w:val="00471FCD"/>
    <w:rsid w:val="00474915"/>
    <w:rsid w:val="00482781"/>
    <w:rsid w:val="00484A0D"/>
    <w:rsid w:val="00484D45"/>
    <w:rsid w:val="0048735D"/>
    <w:rsid w:val="004932BF"/>
    <w:rsid w:val="00494135"/>
    <w:rsid w:val="00494B18"/>
    <w:rsid w:val="0049502F"/>
    <w:rsid w:val="004A13A9"/>
    <w:rsid w:val="004A3013"/>
    <w:rsid w:val="004A7A25"/>
    <w:rsid w:val="004B08C5"/>
    <w:rsid w:val="004B5776"/>
    <w:rsid w:val="004B618C"/>
    <w:rsid w:val="004B67DE"/>
    <w:rsid w:val="004C70BE"/>
    <w:rsid w:val="004D4852"/>
    <w:rsid w:val="004D51AA"/>
    <w:rsid w:val="004D5F3B"/>
    <w:rsid w:val="004E01C2"/>
    <w:rsid w:val="004E1C87"/>
    <w:rsid w:val="004E4803"/>
    <w:rsid w:val="004E6660"/>
    <w:rsid w:val="004F02F1"/>
    <w:rsid w:val="004F097D"/>
    <w:rsid w:val="004F2065"/>
    <w:rsid w:val="004F406C"/>
    <w:rsid w:val="004F603C"/>
    <w:rsid w:val="0050093A"/>
    <w:rsid w:val="00501E42"/>
    <w:rsid w:val="0050421F"/>
    <w:rsid w:val="00506221"/>
    <w:rsid w:val="00510B62"/>
    <w:rsid w:val="00515B9B"/>
    <w:rsid w:val="00520BC9"/>
    <w:rsid w:val="00522A2D"/>
    <w:rsid w:val="00523D44"/>
    <w:rsid w:val="0052427D"/>
    <w:rsid w:val="00527760"/>
    <w:rsid w:val="00527CD2"/>
    <w:rsid w:val="00531DF6"/>
    <w:rsid w:val="005327DD"/>
    <w:rsid w:val="00536143"/>
    <w:rsid w:val="00537B25"/>
    <w:rsid w:val="00543C42"/>
    <w:rsid w:val="00543D95"/>
    <w:rsid w:val="00543EF4"/>
    <w:rsid w:val="00544BE8"/>
    <w:rsid w:val="00545FB8"/>
    <w:rsid w:val="00550573"/>
    <w:rsid w:val="00555301"/>
    <w:rsid w:val="00555544"/>
    <w:rsid w:val="00556468"/>
    <w:rsid w:val="00561F16"/>
    <w:rsid w:val="00566902"/>
    <w:rsid w:val="00570334"/>
    <w:rsid w:val="00571C58"/>
    <w:rsid w:val="005721F9"/>
    <w:rsid w:val="005756AD"/>
    <w:rsid w:val="00575A78"/>
    <w:rsid w:val="005772F0"/>
    <w:rsid w:val="0058737F"/>
    <w:rsid w:val="00587AC9"/>
    <w:rsid w:val="0059014D"/>
    <w:rsid w:val="00590D6C"/>
    <w:rsid w:val="005924ED"/>
    <w:rsid w:val="005A2512"/>
    <w:rsid w:val="005A4DDC"/>
    <w:rsid w:val="005A4E79"/>
    <w:rsid w:val="005A593D"/>
    <w:rsid w:val="005B2A4A"/>
    <w:rsid w:val="005B2DE8"/>
    <w:rsid w:val="005B3C67"/>
    <w:rsid w:val="005B4C01"/>
    <w:rsid w:val="005C35BF"/>
    <w:rsid w:val="005C4D8D"/>
    <w:rsid w:val="005C683E"/>
    <w:rsid w:val="005D4743"/>
    <w:rsid w:val="005D4FFE"/>
    <w:rsid w:val="005F104D"/>
    <w:rsid w:val="005F1225"/>
    <w:rsid w:val="005F30D7"/>
    <w:rsid w:val="005F41E5"/>
    <w:rsid w:val="005F47EF"/>
    <w:rsid w:val="0060290C"/>
    <w:rsid w:val="00602A45"/>
    <w:rsid w:val="00604CE2"/>
    <w:rsid w:val="00613C9A"/>
    <w:rsid w:val="00616DE2"/>
    <w:rsid w:val="00624453"/>
    <w:rsid w:val="00631095"/>
    <w:rsid w:val="00632221"/>
    <w:rsid w:val="00633FA8"/>
    <w:rsid w:val="0063607E"/>
    <w:rsid w:val="00637834"/>
    <w:rsid w:val="00637839"/>
    <w:rsid w:val="0064312C"/>
    <w:rsid w:val="00645255"/>
    <w:rsid w:val="006464D6"/>
    <w:rsid w:val="00650F96"/>
    <w:rsid w:val="00653FD5"/>
    <w:rsid w:val="00654C72"/>
    <w:rsid w:val="0065730B"/>
    <w:rsid w:val="00660DD8"/>
    <w:rsid w:val="00662006"/>
    <w:rsid w:val="00671D06"/>
    <w:rsid w:val="00672129"/>
    <w:rsid w:val="00674AC9"/>
    <w:rsid w:val="00680C1F"/>
    <w:rsid w:val="00681F97"/>
    <w:rsid w:val="006842B5"/>
    <w:rsid w:val="00685176"/>
    <w:rsid w:val="00686749"/>
    <w:rsid w:val="0069243B"/>
    <w:rsid w:val="00692985"/>
    <w:rsid w:val="00693DD2"/>
    <w:rsid w:val="00694B31"/>
    <w:rsid w:val="00695CC9"/>
    <w:rsid w:val="006A0927"/>
    <w:rsid w:val="006A5DA8"/>
    <w:rsid w:val="006B5D04"/>
    <w:rsid w:val="006C0337"/>
    <w:rsid w:val="006C14A9"/>
    <w:rsid w:val="006D29BD"/>
    <w:rsid w:val="006D6F41"/>
    <w:rsid w:val="006E60AC"/>
    <w:rsid w:val="006E7632"/>
    <w:rsid w:val="006F1446"/>
    <w:rsid w:val="006F1D95"/>
    <w:rsid w:val="006F3720"/>
    <w:rsid w:val="006F3A48"/>
    <w:rsid w:val="00703101"/>
    <w:rsid w:val="00714E76"/>
    <w:rsid w:val="00720433"/>
    <w:rsid w:val="007213EC"/>
    <w:rsid w:val="0072700F"/>
    <w:rsid w:val="0072776B"/>
    <w:rsid w:val="00731135"/>
    <w:rsid w:val="00741886"/>
    <w:rsid w:val="00745855"/>
    <w:rsid w:val="0075366C"/>
    <w:rsid w:val="00762DB1"/>
    <w:rsid w:val="00770CB9"/>
    <w:rsid w:val="0077736E"/>
    <w:rsid w:val="00783015"/>
    <w:rsid w:val="00783119"/>
    <w:rsid w:val="007861A0"/>
    <w:rsid w:val="007877E2"/>
    <w:rsid w:val="007919C8"/>
    <w:rsid w:val="00794266"/>
    <w:rsid w:val="0079729A"/>
    <w:rsid w:val="007A5D18"/>
    <w:rsid w:val="007A7FF8"/>
    <w:rsid w:val="007B1CC2"/>
    <w:rsid w:val="007B3F2F"/>
    <w:rsid w:val="007B5A6D"/>
    <w:rsid w:val="007C253E"/>
    <w:rsid w:val="007C595D"/>
    <w:rsid w:val="007D6CA0"/>
    <w:rsid w:val="007D7CE7"/>
    <w:rsid w:val="007E3E7A"/>
    <w:rsid w:val="007E3F03"/>
    <w:rsid w:val="007E4337"/>
    <w:rsid w:val="007E6B7E"/>
    <w:rsid w:val="007F7FEF"/>
    <w:rsid w:val="00800FE0"/>
    <w:rsid w:val="00803A04"/>
    <w:rsid w:val="008130F3"/>
    <w:rsid w:val="00820E3F"/>
    <w:rsid w:val="0082187A"/>
    <w:rsid w:val="00821953"/>
    <w:rsid w:val="00823462"/>
    <w:rsid w:val="00824963"/>
    <w:rsid w:val="008254AA"/>
    <w:rsid w:val="008369DD"/>
    <w:rsid w:val="0084484E"/>
    <w:rsid w:val="00844F53"/>
    <w:rsid w:val="00846624"/>
    <w:rsid w:val="00852625"/>
    <w:rsid w:val="008542E7"/>
    <w:rsid w:val="00854E3D"/>
    <w:rsid w:val="00860139"/>
    <w:rsid w:val="00861796"/>
    <w:rsid w:val="00861FAF"/>
    <w:rsid w:val="00861FC5"/>
    <w:rsid w:val="00862FBB"/>
    <w:rsid w:val="00863D28"/>
    <w:rsid w:val="00864F67"/>
    <w:rsid w:val="00866FDA"/>
    <w:rsid w:val="00867482"/>
    <w:rsid w:val="008739B5"/>
    <w:rsid w:val="0087428B"/>
    <w:rsid w:val="00876D16"/>
    <w:rsid w:val="00876EDC"/>
    <w:rsid w:val="008845B5"/>
    <w:rsid w:val="0088521E"/>
    <w:rsid w:val="00893287"/>
    <w:rsid w:val="00894705"/>
    <w:rsid w:val="00895776"/>
    <w:rsid w:val="00896D75"/>
    <w:rsid w:val="00897A67"/>
    <w:rsid w:val="008A0480"/>
    <w:rsid w:val="008A4DF9"/>
    <w:rsid w:val="008A5E74"/>
    <w:rsid w:val="008B04DC"/>
    <w:rsid w:val="008C1045"/>
    <w:rsid w:val="008C629E"/>
    <w:rsid w:val="008C79BC"/>
    <w:rsid w:val="008D1AFE"/>
    <w:rsid w:val="008D1DD9"/>
    <w:rsid w:val="008D313E"/>
    <w:rsid w:val="008D6D24"/>
    <w:rsid w:val="008E10B1"/>
    <w:rsid w:val="008E1CBC"/>
    <w:rsid w:val="008E463E"/>
    <w:rsid w:val="008E77E1"/>
    <w:rsid w:val="008F20B4"/>
    <w:rsid w:val="008F2813"/>
    <w:rsid w:val="008F3E2E"/>
    <w:rsid w:val="008F6185"/>
    <w:rsid w:val="008F6C22"/>
    <w:rsid w:val="008F7363"/>
    <w:rsid w:val="00901498"/>
    <w:rsid w:val="00904DE7"/>
    <w:rsid w:val="00906C2D"/>
    <w:rsid w:val="00912086"/>
    <w:rsid w:val="00912EDB"/>
    <w:rsid w:val="00914524"/>
    <w:rsid w:val="0091779F"/>
    <w:rsid w:val="00925997"/>
    <w:rsid w:val="00926C4B"/>
    <w:rsid w:val="00927278"/>
    <w:rsid w:val="009300D1"/>
    <w:rsid w:val="00932BBB"/>
    <w:rsid w:val="00933267"/>
    <w:rsid w:val="00936F87"/>
    <w:rsid w:val="009409C9"/>
    <w:rsid w:val="00947C42"/>
    <w:rsid w:val="00960187"/>
    <w:rsid w:val="009612E0"/>
    <w:rsid w:val="009701C7"/>
    <w:rsid w:val="009730BF"/>
    <w:rsid w:val="00975165"/>
    <w:rsid w:val="0098322E"/>
    <w:rsid w:val="00985B16"/>
    <w:rsid w:val="00987ED5"/>
    <w:rsid w:val="00992986"/>
    <w:rsid w:val="009A2475"/>
    <w:rsid w:val="009A2FF5"/>
    <w:rsid w:val="009B06B7"/>
    <w:rsid w:val="009B0FCD"/>
    <w:rsid w:val="009E05E0"/>
    <w:rsid w:val="009E133A"/>
    <w:rsid w:val="009E4478"/>
    <w:rsid w:val="009E61CF"/>
    <w:rsid w:val="009F0163"/>
    <w:rsid w:val="009F2111"/>
    <w:rsid w:val="009F408C"/>
    <w:rsid w:val="009F692F"/>
    <w:rsid w:val="00A0176B"/>
    <w:rsid w:val="00A06EF2"/>
    <w:rsid w:val="00A07869"/>
    <w:rsid w:val="00A1192A"/>
    <w:rsid w:val="00A17DB2"/>
    <w:rsid w:val="00A24488"/>
    <w:rsid w:val="00A278F7"/>
    <w:rsid w:val="00A307C3"/>
    <w:rsid w:val="00A30E3D"/>
    <w:rsid w:val="00A32EC1"/>
    <w:rsid w:val="00A41EE9"/>
    <w:rsid w:val="00A43647"/>
    <w:rsid w:val="00A47573"/>
    <w:rsid w:val="00A50829"/>
    <w:rsid w:val="00A52759"/>
    <w:rsid w:val="00A540B2"/>
    <w:rsid w:val="00A57473"/>
    <w:rsid w:val="00A60604"/>
    <w:rsid w:val="00A70F97"/>
    <w:rsid w:val="00A73FED"/>
    <w:rsid w:val="00A76163"/>
    <w:rsid w:val="00A76BD2"/>
    <w:rsid w:val="00A81B51"/>
    <w:rsid w:val="00A846CF"/>
    <w:rsid w:val="00AA006A"/>
    <w:rsid w:val="00AA17B4"/>
    <w:rsid w:val="00AA3B44"/>
    <w:rsid w:val="00AB23DA"/>
    <w:rsid w:val="00AB295E"/>
    <w:rsid w:val="00AB3A32"/>
    <w:rsid w:val="00AB5116"/>
    <w:rsid w:val="00AC1530"/>
    <w:rsid w:val="00AC4C27"/>
    <w:rsid w:val="00AC6C47"/>
    <w:rsid w:val="00AD01FC"/>
    <w:rsid w:val="00AD131A"/>
    <w:rsid w:val="00AD2929"/>
    <w:rsid w:val="00AD7DF3"/>
    <w:rsid w:val="00AE2648"/>
    <w:rsid w:val="00AE78C4"/>
    <w:rsid w:val="00B01B98"/>
    <w:rsid w:val="00B035F7"/>
    <w:rsid w:val="00B0798B"/>
    <w:rsid w:val="00B11485"/>
    <w:rsid w:val="00B12E51"/>
    <w:rsid w:val="00B14073"/>
    <w:rsid w:val="00B146E4"/>
    <w:rsid w:val="00B147D3"/>
    <w:rsid w:val="00B210F9"/>
    <w:rsid w:val="00B21400"/>
    <w:rsid w:val="00B2326B"/>
    <w:rsid w:val="00B236B0"/>
    <w:rsid w:val="00B266D2"/>
    <w:rsid w:val="00B304D5"/>
    <w:rsid w:val="00B31911"/>
    <w:rsid w:val="00B351A9"/>
    <w:rsid w:val="00B37202"/>
    <w:rsid w:val="00B5145A"/>
    <w:rsid w:val="00B51557"/>
    <w:rsid w:val="00B52018"/>
    <w:rsid w:val="00B55E4E"/>
    <w:rsid w:val="00B572ED"/>
    <w:rsid w:val="00B63F36"/>
    <w:rsid w:val="00B716F5"/>
    <w:rsid w:val="00B72676"/>
    <w:rsid w:val="00B72A16"/>
    <w:rsid w:val="00B72DFE"/>
    <w:rsid w:val="00B73B6B"/>
    <w:rsid w:val="00B75B85"/>
    <w:rsid w:val="00B75E45"/>
    <w:rsid w:val="00B77C63"/>
    <w:rsid w:val="00B81DAD"/>
    <w:rsid w:val="00B9252E"/>
    <w:rsid w:val="00B93B5D"/>
    <w:rsid w:val="00B942B4"/>
    <w:rsid w:val="00BA6B39"/>
    <w:rsid w:val="00BB389A"/>
    <w:rsid w:val="00BB4638"/>
    <w:rsid w:val="00BC263A"/>
    <w:rsid w:val="00BC4808"/>
    <w:rsid w:val="00BC5794"/>
    <w:rsid w:val="00BC63F8"/>
    <w:rsid w:val="00BC71DA"/>
    <w:rsid w:val="00BD1DE1"/>
    <w:rsid w:val="00BD508E"/>
    <w:rsid w:val="00BE0002"/>
    <w:rsid w:val="00BE798A"/>
    <w:rsid w:val="00BF622E"/>
    <w:rsid w:val="00BF79F9"/>
    <w:rsid w:val="00C027EE"/>
    <w:rsid w:val="00C10476"/>
    <w:rsid w:val="00C12A17"/>
    <w:rsid w:val="00C2320B"/>
    <w:rsid w:val="00C2435A"/>
    <w:rsid w:val="00C243E6"/>
    <w:rsid w:val="00C304BA"/>
    <w:rsid w:val="00C311F0"/>
    <w:rsid w:val="00C3127E"/>
    <w:rsid w:val="00C318A6"/>
    <w:rsid w:val="00C36A95"/>
    <w:rsid w:val="00C42C78"/>
    <w:rsid w:val="00C4373C"/>
    <w:rsid w:val="00C5184B"/>
    <w:rsid w:val="00C51A8D"/>
    <w:rsid w:val="00C63663"/>
    <w:rsid w:val="00C67107"/>
    <w:rsid w:val="00C728C1"/>
    <w:rsid w:val="00C7389F"/>
    <w:rsid w:val="00C828A4"/>
    <w:rsid w:val="00C83B5D"/>
    <w:rsid w:val="00C84315"/>
    <w:rsid w:val="00C846AC"/>
    <w:rsid w:val="00C90823"/>
    <w:rsid w:val="00C92716"/>
    <w:rsid w:val="00C953D7"/>
    <w:rsid w:val="00C97CF7"/>
    <w:rsid w:val="00CA0C78"/>
    <w:rsid w:val="00CA30AC"/>
    <w:rsid w:val="00CA36C2"/>
    <w:rsid w:val="00CA7B14"/>
    <w:rsid w:val="00CB1D9F"/>
    <w:rsid w:val="00CB235C"/>
    <w:rsid w:val="00CC7488"/>
    <w:rsid w:val="00CC77EB"/>
    <w:rsid w:val="00CD0DC5"/>
    <w:rsid w:val="00CD332D"/>
    <w:rsid w:val="00CD46A4"/>
    <w:rsid w:val="00CD4889"/>
    <w:rsid w:val="00CE10E7"/>
    <w:rsid w:val="00CE1476"/>
    <w:rsid w:val="00CE2648"/>
    <w:rsid w:val="00CE5136"/>
    <w:rsid w:val="00CF1C53"/>
    <w:rsid w:val="00CF39BF"/>
    <w:rsid w:val="00CF3DDE"/>
    <w:rsid w:val="00CF5069"/>
    <w:rsid w:val="00CF55D5"/>
    <w:rsid w:val="00D00DD7"/>
    <w:rsid w:val="00D02925"/>
    <w:rsid w:val="00D06446"/>
    <w:rsid w:val="00D112C7"/>
    <w:rsid w:val="00D23000"/>
    <w:rsid w:val="00D257F9"/>
    <w:rsid w:val="00D272DA"/>
    <w:rsid w:val="00D27671"/>
    <w:rsid w:val="00D378D2"/>
    <w:rsid w:val="00D37B56"/>
    <w:rsid w:val="00D4089B"/>
    <w:rsid w:val="00D40B37"/>
    <w:rsid w:val="00D40CB1"/>
    <w:rsid w:val="00D449C2"/>
    <w:rsid w:val="00D462A1"/>
    <w:rsid w:val="00D464D5"/>
    <w:rsid w:val="00D47719"/>
    <w:rsid w:val="00D52E89"/>
    <w:rsid w:val="00D5360B"/>
    <w:rsid w:val="00D53996"/>
    <w:rsid w:val="00D636CC"/>
    <w:rsid w:val="00D644F8"/>
    <w:rsid w:val="00D65471"/>
    <w:rsid w:val="00D65E48"/>
    <w:rsid w:val="00D70734"/>
    <w:rsid w:val="00D70990"/>
    <w:rsid w:val="00D7449C"/>
    <w:rsid w:val="00D757E5"/>
    <w:rsid w:val="00D81630"/>
    <w:rsid w:val="00D82247"/>
    <w:rsid w:val="00D82D69"/>
    <w:rsid w:val="00D86156"/>
    <w:rsid w:val="00D94B25"/>
    <w:rsid w:val="00DA036C"/>
    <w:rsid w:val="00DA48C5"/>
    <w:rsid w:val="00DA4AC3"/>
    <w:rsid w:val="00DA674D"/>
    <w:rsid w:val="00DA7508"/>
    <w:rsid w:val="00DB01A2"/>
    <w:rsid w:val="00DB1607"/>
    <w:rsid w:val="00DB2661"/>
    <w:rsid w:val="00DB5FCF"/>
    <w:rsid w:val="00DB6801"/>
    <w:rsid w:val="00DC6EDB"/>
    <w:rsid w:val="00DD061B"/>
    <w:rsid w:val="00DD7848"/>
    <w:rsid w:val="00DE2E4A"/>
    <w:rsid w:val="00DE4F55"/>
    <w:rsid w:val="00DF1294"/>
    <w:rsid w:val="00DF73AE"/>
    <w:rsid w:val="00DF7EA7"/>
    <w:rsid w:val="00E079D4"/>
    <w:rsid w:val="00E07A75"/>
    <w:rsid w:val="00E1070B"/>
    <w:rsid w:val="00E10DA2"/>
    <w:rsid w:val="00E15F97"/>
    <w:rsid w:val="00E16255"/>
    <w:rsid w:val="00E21AE8"/>
    <w:rsid w:val="00E2235B"/>
    <w:rsid w:val="00E238B3"/>
    <w:rsid w:val="00E24DCD"/>
    <w:rsid w:val="00E25C95"/>
    <w:rsid w:val="00E33C08"/>
    <w:rsid w:val="00E3428E"/>
    <w:rsid w:val="00E42752"/>
    <w:rsid w:val="00E42D25"/>
    <w:rsid w:val="00E44E90"/>
    <w:rsid w:val="00E46A68"/>
    <w:rsid w:val="00E51EB6"/>
    <w:rsid w:val="00E54926"/>
    <w:rsid w:val="00E54DE6"/>
    <w:rsid w:val="00E623C9"/>
    <w:rsid w:val="00E71025"/>
    <w:rsid w:val="00E726FB"/>
    <w:rsid w:val="00E75245"/>
    <w:rsid w:val="00E7538C"/>
    <w:rsid w:val="00E8237E"/>
    <w:rsid w:val="00E832A7"/>
    <w:rsid w:val="00E8380B"/>
    <w:rsid w:val="00E851CC"/>
    <w:rsid w:val="00E85CE3"/>
    <w:rsid w:val="00E931CA"/>
    <w:rsid w:val="00EA0BCD"/>
    <w:rsid w:val="00EA0BE7"/>
    <w:rsid w:val="00EA1FCA"/>
    <w:rsid w:val="00EA3478"/>
    <w:rsid w:val="00EA68E0"/>
    <w:rsid w:val="00EB00A2"/>
    <w:rsid w:val="00EB2BB0"/>
    <w:rsid w:val="00EB6A6F"/>
    <w:rsid w:val="00EC032D"/>
    <w:rsid w:val="00ED35F9"/>
    <w:rsid w:val="00ED406C"/>
    <w:rsid w:val="00ED4601"/>
    <w:rsid w:val="00EE0411"/>
    <w:rsid w:val="00EE1FB7"/>
    <w:rsid w:val="00EE2593"/>
    <w:rsid w:val="00EE25BA"/>
    <w:rsid w:val="00EE2C63"/>
    <w:rsid w:val="00EE5D53"/>
    <w:rsid w:val="00EE61DA"/>
    <w:rsid w:val="00EE6848"/>
    <w:rsid w:val="00EF7774"/>
    <w:rsid w:val="00F0149A"/>
    <w:rsid w:val="00F034D2"/>
    <w:rsid w:val="00F04458"/>
    <w:rsid w:val="00F1068A"/>
    <w:rsid w:val="00F235CD"/>
    <w:rsid w:val="00F26C8F"/>
    <w:rsid w:val="00F30EA1"/>
    <w:rsid w:val="00F310EE"/>
    <w:rsid w:val="00F32749"/>
    <w:rsid w:val="00F362B3"/>
    <w:rsid w:val="00F418DA"/>
    <w:rsid w:val="00F42476"/>
    <w:rsid w:val="00F43737"/>
    <w:rsid w:val="00F463EB"/>
    <w:rsid w:val="00F4650F"/>
    <w:rsid w:val="00F504B7"/>
    <w:rsid w:val="00F55625"/>
    <w:rsid w:val="00F55E38"/>
    <w:rsid w:val="00F56DEF"/>
    <w:rsid w:val="00F61532"/>
    <w:rsid w:val="00F629FD"/>
    <w:rsid w:val="00F67C97"/>
    <w:rsid w:val="00F74BFD"/>
    <w:rsid w:val="00F82056"/>
    <w:rsid w:val="00F82453"/>
    <w:rsid w:val="00F8390E"/>
    <w:rsid w:val="00F86270"/>
    <w:rsid w:val="00F87BE8"/>
    <w:rsid w:val="00F87E24"/>
    <w:rsid w:val="00F91DD6"/>
    <w:rsid w:val="00F928FA"/>
    <w:rsid w:val="00F9594F"/>
    <w:rsid w:val="00F96210"/>
    <w:rsid w:val="00F97353"/>
    <w:rsid w:val="00FA0A40"/>
    <w:rsid w:val="00FA129C"/>
    <w:rsid w:val="00FA6837"/>
    <w:rsid w:val="00FA77D4"/>
    <w:rsid w:val="00FB0227"/>
    <w:rsid w:val="00FB3270"/>
    <w:rsid w:val="00FB6FF6"/>
    <w:rsid w:val="00FC1DF7"/>
    <w:rsid w:val="00FC5490"/>
    <w:rsid w:val="00FD1E43"/>
    <w:rsid w:val="00FD3E85"/>
    <w:rsid w:val="00FD7A13"/>
    <w:rsid w:val="00FD7F14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FD2FF"/>
  <w15:chartTrackingRefBased/>
  <w15:docId w15:val="{44E310C5-33A3-4F9E-98E0-51993776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3F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3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3F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3F8"/>
    <w:rPr>
      <w:sz w:val="18"/>
      <w:szCs w:val="18"/>
    </w:rPr>
  </w:style>
  <w:style w:type="paragraph" w:styleId="a7">
    <w:name w:val="List Paragraph"/>
    <w:basedOn w:val="a"/>
    <w:uiPriority w:val="34"/>
    <w:qFormat/>
    <w:rsid w:val="00034075"/>
    <w:pPr>
      <w:ind w:firstLine="420"/>
    </w:pPr>
  </w:style>
  <w:style w:type="paragraph" w:styleId="a8">
    <w:name w:val="Balloon Text"/>
    <w:basedOn w:val="a"/>
    <w:link w:val="a9"/>
    <w:uiPriority w:val="99"/>
    <w:semiHidden/>
    <w:unhideWhenUsed/>
    <w:rsid w:val="000138E7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138E7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073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7073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70734"/>
    <w:rPr>
      <w:rFonts w:ascii="Times New Roman" w:eastAsia="宋体" w:hAnsi="Times New Roman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073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70734"/>
    <w:rPr>
      <w:rFonts w:ascii="Times New Roman" w:eastAsia="宋体" w:hAnsi="Times New Roman" w:cs="Times New Roman"/>
      <w:b/>
      <w:bCs/>
      <w:sz w:val="24"/>
      <w:szCs w:val="24"/>
    </w:rPr>
  </w:style>
  <w:style w:type="table" w:styleId="af">
    <w:name w:val="Table Grid"/>
    <w:basedOn w:val="a1"/>
    <w:uiPriority w:val="39"/>
    <w:rsid w:val="00C3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李方立</dc:creator>
  <cp:keywords/>
  <dc:description/>
  <cp:lastModifiedBy>王祯笛</cp:lastModifiedBy>
  <cp:revision>5</cp:revision>
  <cp:lastPrinted>2024-09-19T05:45:00Z</cp:lastPrinted>
  <dcterms:created xsi:type="dcterms:W3CDTF">2026-05-08T08:24:00Z</dcterms:created>
  <dcterms:modified xsi:type="dcterms:W3CDTF">2026-05-09T05:47:00Z</dcterms:modified>
</cp:coreProperties>
</file>