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51E71">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1"/>
        <w:rPr>
          <w:rFonts w:hint="default" w:ascii="Times New Roman" w:hAnsi="Times New Roman" w:eastAsia="宋体" w:cs="Times New Roman"/>
          <w:b/>
          <w:bCs/>
          <w:iCs/>
          <w:sz w:val="24"/>
          <w:szCs w:val="24"/>
          <w:lang w:val="en-US" w:eastAsia="zh-CN"/>
        </w:rPr>
      </w:pPr>
      <w:r>
        <w:rPr>
          <w:rFonts w:hint="default" w:ascii="Times New Roman" w:hAnsi="Times New Roman" w:eastAsia="宋体" w:cs="Times New Roman"/>
          <w:b/>
          <w:bCs/>
          <w:iCs/>
          <w:sz w:val="24"/>
          <w:szCs w:val="24"/>
        </w:rPr>
        <w:t>证券代码：</w:t>
      </w:r>
      <w:r>
        <w:rPr>
          <w:rFonts w:hint="eastAsia" w:cs="Times New Roman"/>
          <w:b/>
          <w:bCs/>
          <w:iCs/>
          <w:sz w:val="24"/>
          <w:szCs w:val="24"/>
          <w:lang w:val="en-US" w:eastAsia="zh-CN"/>
        </w:rPr>
        <w:t>600721</w:t>
      </w:r>
      <w:r>
        <w:rPr>
          <w:rFonts w:hint="default" w:ascii="Times New Roman" w:hAnsi="Times New Roman" w:eastAsia="宋体" w:cs="Times New Roman"/>
          <w:b/>
          <w:bCs/>
          <w:iCs/>
          <w:sz w:val="24"/>
          <w:szCs w:val="24"/>
        </w:rPr>
        <w:t xml:space="preserve">                    </w:t>
      </w:r>
      <w:r>
        <w:rPr>
          <w:rFonts w:hint="eastAsia" w:cs="Times New Roman"/>
          <w:b/>
          <w:bCs/>
          <w:iCs/>
          <w:sz w:val="24"/>
          <w:szCs w:val="24"/>
          <w:lang w:val="en-US" w:eastAsia="zh-CN"/>
        </w:rPr>
        <w:t xml:space="preserve">   </w:t>
      </w:r>
      <w:r>
        <w:rPr>
          <w:rFonts w:hint="default" w:ascii="Times New Roman" w:hAnsi="Times New Roman" w:eastAsia="宋体" w:cs="Times New Roman"/>
          <w:b/>
          <w:bCs/>
          <w:iCs/>
          <w:sz w:val="24"/>
          <w:szCs w:val="24"/>
        </w:rPr>
        <w:t xml:space="preserve">           证券简称：</w:t>
      </w:r>
      <w:r>
        <w:rPr>
          <w:rFonts w:hint="eastAsia" w:cs="Times New Roman"/>
          <w:b/>
          <w:bCs/>
          <w:iCs/>
          <w:sz w:val="24"/>
          <w:szCs w:val="24"/>
          <w:lang w:val="en-US" w:eastAsia="zh-CN"/>
        </w:rPr>
        <w:t>百花医药</w:t>
      </w:r>
    </w:p>
    <w:p w14:paraId="5BE20AE2">
      <w:pPr>
        <w:keepNext/>
        <w:keepLines/>
        <w:spacing w:before="20" w:after="20"/>
        <w:jc w:val="center"/>
        <w:outlineLvl w:val="1"/>
        <w:rPr>
          <w:rFonts w:hint="eastAsia" w:cs="Times New Roman"/>
          <w:b/>
          <w:sz w:val="36"/>
          <w:szCs w:val="36"/>
          <w:lang w:val="en-US" w:eastAsia="zh-CN"/>
        </w:rPr>
      </w:pPr>
      <w:r>
        <w:rPr>
          <w:rFonts w:hint="eastAsia" w:cs="Times New Roman"/>
          <w:b/>
          <w:sz w:val="36"/>
          <w:szCs w:val="36"/>
          <w:lang w:val="en-US" w:eastAsia="zh-CN"/>
        </w:rPr>
        <w:t>新疆百花村医药集团股份有限公司</w:t>
      </w:r>
    </w:p>
    <w:p w14:paraId="677E7DD9">
      <w:pPr>
        <w:keepNext/>
        <w:keepLines/>
        <w:spacing w:before="20" w:after="20"/>
        <w:jc w:val="center"/>
        <w:outlineLvl w:val="1"/>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14:paraId="1C26244C">
      <w:pPr>
        <w:spacing w:line="360" w:lineRule="auto"/>
        <w:jc w:val="center"/>
        <w:rPr>
          <w:rFonts w:hint="default" w:ascii="Times New Roman" w:hAnsi="Times New Roman" w:eastAsia="宋体" w:cs="Times New Roman"/>
          <w:b/>
          <w:iCs/>
          <w:sz w:val="24"/>
          <w:szCs w:val="24"/>
        </w:rPr>
      </w:pPr>
      <w:r>
        <w:rPr>
          <w:rFonts w:hint="default" w:ascii="Times New Roman" w:hAnsi="Times New Roman" w:eastAsia="宋体" w:cs="Times New Roman"/>
          <w:b/>
          <w:iCs/>
          <w:sz w:val="24"/>
          <w:szCs w:val="24"/>
        </w:rPr>
        <w:t>（202</w:t>
      </w:r>
      <w:r>
        <w:rPr>
          <w:rFonts w:hint="eastAsia" w:cs="Times New Roman"/>
          <w:b/>
          <w:iCs/>
          <w:sz w:val="24"/>
          <w:szCs w:val="24"/>
          <w:lang w:val="en-US" w:eastAsia="zh-CN"/>
        </w:rPr>
        <w:t>6</w:t>
      </w:r>
      <w:r>
        <w:rPr>
          <w:rFonts w:hint="default" w:ascii="Times New Roman" w:hAnsi="Times New Roman" w:eastAsia="宋体" w:cs="Times New Roman"/>
          <w:b/>
          <w:iCs/>
          <w:sz w:val="24"/>
          <w:szCs w:val="24"/>
        </w:rPr>
        <w:t>年</w:t>
      </w:r>
      <w:r>
        <w:rPr>
          <w:rFonts w:hint="eastAsia" w:cs="Times New Roman"/>
          <w:b/>
          <w:iCs/>
          <w:sz w:val="24"/>
          <w:szCs w:val="24"/>
          <w:lang w:val="en-US" w:eastAsia="zh-CN"/>
        </w:rPr>
        <w:t>5</w:t>
      </w:r>
      <w:r>
        <w:rPr>
          <w:rFonts w:hint="default" w:ascii="Times New Roman" w:hAnsi="Times New Roman" w:eastAsia="宋体" w:cs="Times New Roman"/>
          <w:b/>
          <w:iCs/>
          <w:sz w:val="24"/>
          <w:szCs w:val="24"/>
        </w:rPr>
        <w:t>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14:paraId="3AFC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2667B12E">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投资者关系活动类别</w:t>
            </w:r>
          </w:p>
        </w:tc>
        <w:tc>
          <w:tcPr>
            <w:tcW w:w="6936" w:type="dxa"/>
            <w:noWrap w:val="0"/>
            <w:vAlign w:val="top"/>
          </w:tcPr>
          <w:p w14:paraId="557A7608">
            <w:pPr>
              <w:spacing w:line="360" w:lineRule="auto"/>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sym w:font="Wingdings 2" w:char="00A3"/>
            </w:r>
            <w:r>
              <w:rPr>
                <w:rFonts w:hint="default" w:ascii="Times New Roman" w:hAnsi="Times New Roman" w:eastAsia="宋体" w:cs="Times New Roman"/>
                <w:sz w:val="24"/>
                <w:szCs w:val="24"/>
                <w:highlight w:val="none"/>
              </w:rPr>
              <w:t xml:space="preserve">特定对象调研        </w:t>
            </w:r>
            <w:r>
              <w:rPr>
                <w:rFonts w:hint="default" w:ascii="Times New Roman" w:hAnsi="Times New Roman" w:eastAsia="宋体" w:cs="Times New Roman"/>
                <w:bCs/>
                <w:iCs/>
                <w:sz w:val="24"/>
                <w:szCs w:val="24"/>
                <w:highlight w:val="none"/>
              </w:rPr>
              <w:sym w:font="Wingdings 2" w:char="00A3"/>
            </w:r>
            <w:r>
              <w:rPr>
                <w:rFonts w:hint="default" w:ascii="Times New Roman" w:hAnsi="Times New Roman" w:eastAsia="宋体" w:cs="Times New Roman"/>
                <w:sz w:val="24"/>
                <w:szCs w:val="24"/>
                <w:highlight w:val="none"/>
              </w:rPr>
              <w:t>分析师会议</w:t>
            </w:r>
          </w:p>
          <w:p w14:paraId="37F00A95">
            <w:pPr>
              <w:spacing w:line="360" w:lineRule="auto"/>
              <w:rPr>
                <w:rFonts w:hint="default" w:ascii="Times New Roman" w:hAnsi="Times New Roman" w:eastAsia="宋体" w:cs="Times New Roman"/>
                <w:bCs/>
                <w:iCs/>
                <w:sz w:val="24"/>
                <w:szCs w:val="24"/>
                <w:highlight w:val="none"/>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 xml:space="preserve">媒体采访            </w:t>
            </w:r>
            <w:r>
              <w:rPr>
                <w:rFonts w:hint="default" w:ascii="Times New Roman" w:hAnsi="Times New Roman" w:eastAsia="宋体" w:cs="Times New Roman"/>
                <w:bCs/>
                <w:iCs/>
                <w:sz w:val="24"/>
                <w:szCs w:val="24"/>
                <w:highlight w:val="none"/>
              </w:rPr>
              <w:sym w:font="Wingdings 2" w:char="0052"/>
            </w:r>
            <w:r>
              <w:rPr>
                <w:rFonts w:hint="default" w:ascii="Times New Roman" w:hAnsi="Times New Roman" w:eastAsia="宋体" w:cs="Times New Roman"/>
                <w:sz w:val="24"/>
                <w:szCs w:val="24"/>
                <w:highlight w:val="none"/>
              </w:rPr>
              <w:t>业绩说明会</w:t>
            </w:r>
          </w:p>
          <w:p w14:paraId="2FEDE750">
            <w:pPr>
              <w:spacing w:line="360" w:lineRule="auto"/>
              <w:rPr>
                <w:rFonts w:hint="default" w:ascii="Times New Roman" w:hAnsi="Times New Roman" w:eastAsia="宋体" w:cs="Times New Roman"/>
                <w:bCs/>
                <w:iCs/>
                <w:sz w:val="24"/>
                <w:szCs w:val="24"/>
                <w:highlight w:val="none"/>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 xml:space="preserve">新闻发布会          </w:t>
            </w: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路演活动</w:t>
            </w:r>
          </w:p>
          <w:p w14:paraId="57B449AB">
            <w:pPr>
              <w:tabs>
                <w:tab w:val="left" w:pos="3045"/>
                <w:tab w:val="center" w:pos="3199"/>
              </w:tabs>
              <w:spacing w:line="360" w:lineRule="auto"/>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sym w:font="Wingdings 2" w:char="F0A3"/>
            </w:r>
            <w:r>
              <w:rPr>
                <w:rFonts w:hint="default" w:ascii="Times New Roman" w:hAnsi="Times New Roman" w:eastAsia="宋体" w:cs="Times New Roman"/>
                <w:sz w:val="24"/>
                <w:szCs w:val="24"/>
                <w:highlight w:val="none"/>
              </w:rPr>
              <w:t>现场参观</w:t>
            </w:r>
            <w:r>
              <w:rPr>
                <w:rFonts w:hint="default" w:ascii="Times New Roman" w:hAnsi="Times New Roman" w:eastAsia="宋体" w:cs="Times New Roman"/>
                <w:bCs/>
                <w:iCs/>
                <w:sz w:val="24"/>
                <w:szCs w:val="24"/>
                <w:highlight w:val="none"/>
              </w:rPr>
              <w:tab/>
            </w:r>
          </w:p>
          <w:p w14:paraId="0BD453D3">
            <w:pPr>
              <w:tabs>
                <w:tab w:val="center" w:pos="3199"/>
              </w:tabs>
              <w:spacing w:line="360" w:lineRule="auto"/>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sym w:font="Wingdings 2" w:char="F0A3"/>
            </w:r>
            <w:r>
              <w:rPr>
                <w:rFonts w:hint="default" w:ascii="Times New Roman" w:hAnsi="Times New Roman" w:eastAsia="宋体" w:cs="Times New Roman"/>
                <w:sz w:val="24"/>
                <w:szCs w:val="24"/>
                <w:highlight w:val="none"/>
              </w:rPr>
              <w:t>其他（电话会议）</w:t>
            </w:r>
          </w:p>
        </w:tc>
      </w:tr>
      <w:tr w14:paraId="1E5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37B4E4CE">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时间</w:t>
            </w:r>
          </w:p>
        </w:tc>
        <w:tc>
          <w:tcPr>
            <w:tcW w:w="6936" w:type="dxa"/>
            <w:noWrap w:val="0"/>
            <w:vAlign w:val="top"/>
          </w:tcPr>
          <w:p w14:paraId="4F3EE6D4">
            <w:pPr>
              <w:spacing w:line="360" w:lineRule="auto"/>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202</w:t>
            </w:r>
            <w:r>
              <w:rPr>
                <w:rFonts w:hint="eastAsia" w:cs="Times New Roman"/>
                <w:bCs/>
                <w:iCs/>
                <w:sz w:val="24"/>
                <w:szCs w:val="24"/>
                <w:highlight w:val="none"/>
                <w:lang w:val="en-US" w:eastAsia="zh-CN"/>
              </w:rPr>
              <w:t>6</w:t>
            </w:r>
            <w:r>
              <w:rPr>
                <w:rFonts w:hint="default" w:ascii="Times New Roman" w:hAnsi="Times New Roman" w:eastAsia="宋体" w:cs="Times New Roman"/>
                <w:bCs/>
                <w:iCs/>
                <w:sz w:val="24"/>
                <w:szCs w:val="24"/>
                <w:highlight w:val="none"/>
              </w:rPr>
              <w:t>年</w:t>
            </w:r>
            <w:r>
              <w:rPr>
                <w:rFonts w:hint="default" w:cs="Times New Roman"/>
                <w:bCs/>
                <w:iCs/>
                <w:sz w:val="24"/>
                <w:szCs w:val="24"/>
                <w:highlight w:val="none"/>
                <w:lang w:val="en-US" w:eastAsia="zh-CN"/>
              </w:rPr>
              <w:t>5</w:t>
            </w:r>
            <w:r>
              <w:rPr>
                <w:rFonts w:hint="default" w:ascii="Times New Roman" w:hAnsi="Times New Roman" w:eastAsia="宋体" w:cs="Times New Roman"/>
                <w:bCs/>
                <w:iCs/>
                <w:sz w:val="24"/>
                <w:szCs w:val="24"/>
                <w:highlight w:val="none"/>
              </w:rPr>
              <w:t>月</w:t>
            </w:r>
            <w:r>
              <w:rPr>
                <w:rFonts w:hint="default" w:cs="Times New Roman"/>
                <w:bCs/>
                <w:iCs/>
                <w:sz w:val="24"/>
                <w:szCs w:val="24"/>
                <w:highlight w:val="none"/>
                <w:lang w:val="en-US" w:eastAsia="zh-CN"/>
              </w:rPr>
              <w:t>12</w:t>
            </w:r>
            <w:r>
              <w:rPr>
                <w:rFonts w:hint="default" w:ascii="Times New Roman" w:hAnsi="Times New Roman" w:eastAsia="宋体" w:cs="Times New Roman"/>
                <w:bCs/>
                <w:iCs/>
                <w:sz w:val="24"/>
                <w:szCs w:val="24"/>
                <w:highlight w:val="none"/>
              </w:rPr>
              <w:t>日</w:t>
            </w:r>
            <w:r>
              <w:rPr>
                <w:rFonts w:hint="default" w:ascii="Times New Roman" w:hAnsi="Times New Roman" w:eastAsia="宋体" w:cs="Times New Roman"/>
                <w:bCs/>
                <w:iCs/>
                <w:sz w:val="24"/>
                <w:szCs w:val="24"/>
                <w:highlight w:val="none"/>
                <w:lang w:val="en-US" w:eastAsia="zh-CN"/>
              </w:rPr>
              <w:t xml:space="preserve"> 13</w:t>
            </w:r>
            <w:r>
              <w:rPr>
                <w:rFonts w:hint="default" w:cs="Times New Roman"/>
                <w:bCs/>
                <w:iCs/>
                <w:sz w:val="24"/>
                <w:szCs w:val="24"/>
                <w:highlight w:val="none"/>
                <w:lang w:val="en-US"/>
              </w:rPr>
              <w:t>:</w:t>
            </w:r>
            <w:r>
              <w:rPr>
                <w:rFonts w:hint="default" w:ascii="Times New Roman" w:hAnsi="Times New Roman" w:eastAsia="宋体" w:cs="Times New Roman"/>
                <w:bCs/>
                <w:iCs/>
                <w:sz w:val="24"/>
                <w:szCs w:val="24"/>
                <w:highlight w:val="none"/>
              </w:rPr>
              <w:t>00-</w:t>
            </w:r>
            <w:r>
              <w:rPr>
                <w:rFonts w:hint="default" w:ascii="Times New Roman" w:hAnsi="Times New Roman" w:eastAsia="宋体" w:cs="Times New Roman"/>
                <w:bCs/>
                <w:iCs/>
                <w:sz w:val="24"/>
                <w:szCs w:val="24"/>
                <w:highlight w:val="none"/>
                <w:lang w:val="en-US" w:eastAsia="zh-CN"/>
              </w:rPr>
              <w:t>14</w:t>
            </w:r>
            <w:r>
              <w:rPr>
                <w:rFonts w:hint="default" w:cs="Times New Roman"/>
                <w:bCs/>
                <w:iCs/>
                <w:sz w:val="24"/>
                <w:szCs w:val="24"/>
                <w:highlight w:val="none"/>
                <w:lang w:val="en-US"/>
              </w:rPr>
              <w:t>:</w:t>
            </w:r>
            <w:r>
              <w:rPr>
                <w:rFonts w:hint="default" w:cs="Times New Roman"/>
                <w:bCs/>
                <w:iCs/>
                <w:sz w:val="24"/>
                <w:szCs w:val="24"/>
                <w:highlight w:val="none"/>
                <w:lang w:val="en-US" w:eastAsia="zh-CN"/>
              </w:rPr>
              <w:t>3</w:t>
            </w:r>
            <w:r>
              <w:rPr>
                <w:rFonts w:hint="default" w:ascii="Times New Roman" w:hAnsi="Times New Roman" w:eastAsia="宋体" w:cs="Times New Roman"/>
                <w:bCs/>
                <w:iCs/>
                <w:sz w:val="24"/>
                <w:szCs w:val="24"/>
                <w:highlight w:val="none"/>
              </w:rPr>
              <w:t>0</w:t>
            </w:r>
          </w:p>
        </w:tc>
      </w:tr>
      <w:tr w14:paraId="3D6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6D2F892E">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地点</w:t>
            </w:r>
          </w:p>
        </w:tc>
        <w:tc>
          <w:tcPr>
            <w:tcW w:w="6936" w:type="dxa"/>
            <w:noWrap w:val="0"/>
            <w:vAlign w:val="top"/>
          </w:tcPr>
          <w:p w14:paraId="3D1C1993">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上证路演中心</w:t>
            </w:r>
          </w:p>
        </w:tc>
      </w:tr>
      <w:tr w14:paraId="29A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50C576D2">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上市公司接待人员姓名</w:t>
            </w:r>
          </w:p>
        </w:tc>
        <w:tc>
          <w:tcPr>
            <w:tcW w:w="6936" w:type="dxa"/>
            <w:noWrap w:val="0"/>
            <w:vAlign w:val="center"/>
          </w:tcPr>
          <w:p w14:paraId="18453000">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 xml:space="preserve">谷  莉   </w:t>
            </w:r>
            <w:r>
              <w:rPr>
                <w:rFonts w:hint="default" w:ascii="Times New Roman" w:hAnsi="Times New Roman" w:eastAsia="宋体" w:cs="Times New Roman"/>
                <w:sz w:val="24"/>
                <w:highlight w:val="none"/>
              </w:rPr>
              <w:t>独立董事</w:t>
            </w:r>
          </w:p>
          <w:p w14:paraId="379BA365">
            <w:pPr>
              <w:spacing w:line="360" w:lineRule="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郑彩红   董事长</w:t>
            </w:r>
          </w:p>
          <w:p w14:paraId="1E2D40ED">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 xml:space="preserve">黄  辉   </w:t>
            </w:r>
            <w:r>
              <w:rPr>
                <w:rFonts w:hint="default" w:ascii="Times New Roman" w:hAnsi="Times New Roman" w:eastAsia="宋体" w:cs="Times New Roman"/>
                <w:sz w:val="24"/>
                <w:highlight w:val="none"/>
              </w:rPr>
              <w:t>轮值总经理</w:t>
            </w:r>
          </w:p>
          <w:p w14:paraId="2DEC40D4">
            <w:pPr>
              <w:spacing w:line="360" w:lineRule="auto"/>
              <w:rPr>
                <w:rFonts w:hint="default" w:cs="Times New Roman"/>
                <w:sz w:val="24"/>
                <w:highlight w:val="none"/>
                <w:lang w:val="en-US" w:eastAsia="zh-CN"/>
              </w:rPr>
            </w:pPr>
            <w:r>
              <w:rPr>
                <w:rFonts w:hint="eastAsia" w:cs="Times New Roman"/>
                <w:sz w:val="24"/>
                <w:highlight w:val="none"/>
                <w:lang w:val="en-US" w:eastAsia="zh-CN"/>
              </w:rPr>
              <w:t>吕政田   常务副总经理</w:t>
            </w:r>
          </w:p>
          <w:p w14:paraId="5EEE2494">
            <w:pPr>
              <w:spacing w:line="360" w:lineRule="auto"/>
              <w:rPr>
                <w:rFonts w:hint="default" w:cs="Times New Roman"/>
                <w:sz w:val="24"/>
                <w:highlight w:val="none"/>
                <w:lang w:val="en-US" w:eastAsia="zh-CN"/>
              </w:rPr>
            </w:pPr>
            <w:r>
              <w:rPr>
                <w:rFonts w:hint="eastAsia" w:cs="Times New Roman"/>
                <w:sz w:val="24"/>
                <w:highlight w:val="none"/>
                <w:lang w:val="en-US" w:eastAsia="zh-CN"/>
              </w:rPr>
              <w:t>夏  燕   副总经理</w:t>
            </w:r>
          </w:p>
          <w:p w14:paraId="5B24AA4F">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蔡子云</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财务总监</w:t>
            </w:r>
          </w:p>
          <w:p w14:paraId="49EE9813">
            <w:pPr>
              <w:spacing w:line="360" w:lineRule="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sz w:val="24"/>
                <w:highlight w:val="none"/>
                <w:lang w:val="en-US" w:eastAsia="zh-CN"/>
              </w:rPr>
              <w:t xml:space="preserve">赵琴琴   </w:t>
            </w:r>
            <w:r>
              <w:rPr>
                <w:rFonts w:hint="default" w:ascii="Times New Roman" w:hAnsi="Times New Roman" w:eastAsia="宋体" w:cs="Times New Roman"/>
                <w:sz w:val="24"/>
                <w:highlight w:val="none"/>
              </w:rPr>
              <w:t>董事会秘书</w:t>
            </w:r>
          </w:p>
        </w:tc>
      </w:tr>
      <w:tr w14:paraId="59A3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1C73FC29">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投资者关系活动主要内容介绍</w:t>
            </w:r>
          </w:p>
        </w:tc>
        <w:tc>
          <w:tcPr>
            <w:tcW w:w="6936" w:type="dxa"/>
            <w:noWrap w:val="0"/>
            <w:vAlign w:val="top"/>
          </w:tcPr>
          <w:p w14:paraId="45C94339">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公司在上海证券交易所、上证所信息网络有限公司的支持下，在上证路演中心</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http://roadshow.sseinfo.com</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召开了</w:t>
            </w:r>
            <w:r>
              <w:rPr>
                <w:rFonts w:hint="eastAsia" w:cs="Times New Roman"/>
                <w:sz w:val="24"/>
                <w:szCs w:val="24"/>
                <w:highlight w:val="none"/>
                <w:lang w:val="en-US" w:eastAsia="zh-CN"/>
              </w:rPr>
              <w:t>《新疆百花村医药集团股份有限公司2025年度暨2026年第一季度业绩暨现金分红说明会》</w:t>
            </w:r>
            <w:r>
              <w:rPr>
                <w:rFonts w:hint="default" w:ascii="Times New Roman" w:hAnsi="Times New Roman" w:eastAsia="宋体" w:cs="Times New Roman"/>
                <w:sz w:val="24"/>
                <w:szCs w:val="24"/>
                <w:highlight w:val="none"/>
              </w:rPr>
              <w:t>。</w:t>
            </w:r>
          </w:p>
          <w:p w14:paraId="1D0E62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问答环节情况如下：</w:t>
            </w:r>
          </w:p>
          <w:p w14:paraId="6DFAC72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1</w:t>
            </w:r>
            <w:r>
              <w:rPr>
                <w:rFonts w:hint="eastAsia"/>
                <w:b/>
                <w:bCs/>
                <w:sz w:val="24"/>
                <w:szCs w:val="24"/>
                <w:highlight w:val="none"/>
                <w:lang w:val="en-US" w:eastAsia="zh-CN"/>
              </w:rPr>
              <w:t>.</w:t>
            </w:r>
            <w:r>
              <w:rPr>
                <w:rFonts w:hint="eastAsia"/>
                <w:b/>
                <w:bCs/>
                <w:sz w:val="24"/>
                <w:szCs w:val="24"/>
                <w:highlight w:val="none"/>
              </w:rPr>
              <w:t>请问，公司在</w:t>
            </w:r>
            <w:r>
              <w:rPr>
                <w:rFonts w:hint="default" w:ascii="Times New Roman" w:hAnsi="Times New Roman" w:cs="Times New Roman"/>
                <w:b/>
                <w:bCs/>
                <w:sz w:val="24"/>
                <w:szCs w:val="24"/>
                <w:highlight w:val="none"/>
              </w:rPr>
              <w:t>2026</w:t>
            </w:r>
            <w:r>
              <w:rPr>
                <w:rFonts w:hint="eastAsia"/>
                <w:b/>
                <w:bCs/>
                <w:sz w:val="24"/>
                <w:szCs w:val="24"/>
                <w:highlight w:val="none"/>
              </w:rPr>
              <w:t>年的发力点是哪些？</w:t>
            </w:r>
          </w:p>
          <w:p w14:paraId="3D93D55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0266C3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尊敬的投资者，您好！百花医药在</w:t>
            </w:r>
            <w:r>
              <w:rPr>
                <w:rFonts w:hint="default" w:ascii="Times New Roman" w:hAnsi="Times New Roman" w:cs="Times New Roman"/>
                <w:sz w:val="24"/>
                <w:szCs w:val="24"/>
                <w:highlight w:val="none"/>
              </w:rPr>
              <w:t>2026</w:t>
            </w:r>
            <w:r>
              <w:rPr>
                <w:rFonts w:hint="eastAsia"/>
                <w:sz w:val="24"/>
                <w:szCs w:val="24"/>
                <w:highlight w:val="none"/>
              </w:rPr>
              <w:t>年主要聚焦高附加值服务、全力打造高技术壁垒，通过深化技术优势与优化服务，持续提升公司综合竞争力。具体来看，公司的主要发力点集中体现在以下方面：</w:t>
            </w:r>
          </w:p>
          <w:p w14:paraId="300CC5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一、聚焦核心业务升级，构筑差异化战略优势</w:t>
            </w:r>
          </w:p>
          <w:p w14:paraId="4684B5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公司将聚焦高端、难仿、复杂制剂领域，推动各业务板块向价值链高端迈进，持续夯实药学板块高端仿制药技术平台建设，积极培育检测业务新增长点，加速</w:t>
            </w:r>
            <w:r>
              <w:rPr>
                <w:rFonts w:hint="default" w:ascii="Times New Roman" w:hAnsi="Times New Roman" w:cs="Times New Roman"/>
                <w:sz w:val="24"/>
                <w:szCs w:val="24"/>
                <w:highlight w:val="none"/>
              </w:rPr>
              <w:t>MAH</w:t>
            </w:r>
            <w:r>
              <w:rPr>
                <w:rFonts w:hint="eastAsia"/>
                <w:sz w:val="24"/>
                <w:szCs w:val="24"/>
                <w:highlight w:val="none"/>
              </w:rPr>
              <w:t>业务商业化能力建设，打造临床板块专业化品牌影响力，形成多业务协同发展的战略格局，不断增强公司核心竞争力和品牌优势。</w:t>
            </w:r>
          </w:p>
          <w:p w14:paraId="370BA7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二、发挥协同优势，强化一站式服务平台建设</w:t>
            </w:r>
          </w:p>
          <w:p w14:paraId="084404D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公司作为“药学研究+临床服务+生物分析检测”的综合</w:t>
            </w:r>
            <w:r>
              <w:rPr>
                <w:rFonts w:hint="eastAsia"/>
                <w:sz w:val="24"/>
                <w:szCs w:val="24"/>
                <w:highlight w:val="none"/>
                <w:lang w:eastAsia="zh-CN"/>
              </w:rPr>
              <w:t>服务型</w:t>
            </w:r>
            <w:r>
              <w:rPr>
                <w:rFonts w:hint="default" w:ascii="Times New Roman" w:hAnsi="Times New Roman" w:cs="Times New Roman"/>
                <w:sz w:val="24"/>
                <w:szCs w:val="24"/>
                <w:highlight w:val="none"/>
              </w:rPr>
              <w:t>CRO</w:t>
            </w:r>
            <w:r>
              <w:rPr>
                <w:rFonts w:hint="eastAsia"/>
                <w:sz w:val="24"/>
                <w:szCs w:val="24"/>
                <w:highlight w:val="none"/>
              </w:rPr>
              <w:t>公司，可以充分利用业务的协同效应和全流程服务的优势，为客户提供从药物发现、药学</w:t>
            </w:r>
            <w:r>
              <w:rPr>
                <w:rFonts w:hint="default" w:ascii="Times New Roman" w:hAnsi="Times New Roman" w:cs="Times New Roman"/>
                <w:sz w:val="24"/>
                <w:szCs w:val="24"/>
                <w:highlight w:val="none"/>
              </w:rPr>
              <w:t>CMC</w:t>
            </w:r>
            <w:r>
              <w:rPr>
                <w:rFonts w:hint="eastAsia"/>
                <w:sz w:val="24"/>
                <w:szCs w:val="24"/>
                <w:highlight w:val="none"/>
              </w:rPr>
              <w:t>开发、临床试验与申报注册的全过程一站式外包和技术成果转化服务。通过完善的临床试验中心网络，打造专业的临床</w:t>
            </w:r>
            <w:r>
              <w:rPr>
                <w:rFonts w:hint="default" w:ascii="Times New Roman" w:hAnsi="Times New Roman" w:cs="Times New Roman"/>
                <w:sz w:val="24"/>
                <w:szCs w:val="24"/>
                <w:highlight w:val="none"/>
              </w:rPr>
              <w:t>CRO</w:t>
            </w:r>
            <w:r>
              <w:rPr>
                <w:rFonts w:hint="eastAsia"/>
                <w:sz w:val="24"/>
                <w:szCs w:val="24"/>
                <w:highlight w:val="none"/>
              </w:rPr>
              <w:t>服务体系，不断延伸细分服务领域，强化“药学-临床-注册”全链条协同优势，从而增强客户黏性。</w:t>
            </w:r>
          </w:p>
          <w:p w14:paraId="6BF7F4B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三、持续提升组织运营效能，提高市场拓展能力</w:t>
            </w:r>
          </w:p>
          <w:p w14:paraId="7B5352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公司将深化“大商务”体系建设，整合内部资源构建敏捷高效的市场响应机制。在巩固商务资源基本盘的同时，持续拓展优质新客户资源，提升</w:t>
            </w:r>
            <w:r>
              <w:rPr>
                <w:rFonts w:hint="eastAsia"/>
                <w:sz w:val="24"/>
                <w:szCs w:val="24"/>
                <w:highlight w:val="none"/>
                <w:lang w:eastAsia="zh-CN"/>
              </w:rPr>
              <w:t>客户黏性与</w:t>
            </w:r>
            <w:r>
              <w:rPr>
                <w:rFonts w:hint="eastAsia"/>
                <w:sz w:val="24"/>
                <w:szCs w:val="24"/>
                <w:highlight w:val="none"/>
              </w:rPr>
              <w:t>市场占有率，为公司业绩稳健增长提供坚实支撑；强化高精专研发人才建设，作为技术突破的根本保障；通过加强项目管理、优化内部流程等手段提升经营质量，向管理要效益。公司将着力于以技术创新驱动业务拓展，以效能提升支撑价值增长。感谢您的关注！</w:t>
            </w:r>
          </w:p>
          <w:p w14:paraId="05BF39B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2</w:t>
            </w:r>
            <w:r>
              <w:rPr>
                <w:rFonts w:hint="eastAsia"/>
                <w:b/>
                <w:bCs/>
                <w:sz w:val="24"/>
                <w:szCs w:val="24"/>
                <w:highlight w:val="none"/>
                <w:lang w:val="en-US" w:eastAsia="zh-CN"/>
              </w:rPr>
              <w:t>.</w:t>
            </w:r>
            <w:r>
              <w:rPr>
                <w:rFonts w:hint="eastAsia"/>
                <w:b/>
                <w:bCs/>
                <w:sz w:val="24"/>
                <w:szCs w:val="24"/>
                <w:highlight w:val="none"/>
              </w:rPr>
              <w:t>公司时隔多年重启分红，分红政策考虑因素是什么？</w:t>
            </w:r>
          </w:p>
          <w:p w14:paraId="288412A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21588A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尊敬的投资者，您好！公司</w:t>
            </w:r>
            <w:r>
              <w:rPr>
                <w:rFonts w:hint="default" w:ascii="Times New Roman" w:hAnsi="Times New Roman" w:cs="Times New Roman"/>
                <w:sz w:val="24"/>
                <w:szCs w:val="24"/>
                <w:highlight w:val="none"/>
              </w:rPr>
              <w:t>2025</w:t>
            </w:r>
            <w:r>
              <w:rPr>
                <w:rFonts w:hint="eastAsia"/>
                <w:sz w:val="24"/>
                <w:szCs w:val="24"/>
                <w:highlight w:val="none"/>
              </w:rPr>
              <w:t>年度拟向全体股东每股派发现金红利</w:t>
            </w:r>
            <w:r>
              <w:rPr>
                <w:rFonts w:hint="default" w:ascii="Times New Roman" w:hAnsi="Times New Roman" w:cs="Times New Roman"/>
                <w:sz w:val="24"/>
                <w:szCs w:val="24"/>
                <w:highlight w:val="none"/>
              </w:rPr>
              <w:t>0</w:t>
            </w:r>
            <w:r>
              <w:rPr>
                <w:rFonts w:hint="eastAsia"/>
                <w:sz w:val="24"/>
                <w:szCs w:val="24"/>
                <w:highlight w:val="none"/>
              </w:rPr>
              <w:t>.</w:t>
            </w:r>
            <w:r>
              <w:rPr>
                <w:rFonts w:hint="default" w:ascii="Times New Roman" w:hAnsi="Times New Roman" w:cs="Times New Roman"/>
                <w:sz w:val="24"/>
                <w:szCs w:val="24"/>
                <w:highlight w:val="none"/>
              </w:rPr>
              <w:t>04</w:t>
            </w:r>
            <w:r>
              <w:rPr>
                <w:rFonts w:hint="eastAsia"/>
                <w:sz w:val="24"/>
                <w:szCs w:val="24"/>
                <w:highlight w:val="none"/>
              </w:rPr>
              <w:t>元（含税），主要基于以下考虑：一是公司连续三年扣非净利润增长，经营状况持续改善；二是为回报股东长期支持，增强投资者信心；三是公司货币资金充裕，能够支持分红。未来公司将根据经营业绩和现金流状况，制定合理的分红政策。感谢您的关注！</w:t>
            </w:r>
          </w:p>
          <w:p w14:paraId="159AC9B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3</w:t>
            </w:r>
            <w:r>
              <w:rPr>
                <w:rFonts w:hint="eastAsia"/>
                <w:b/>
                <w:bCs/>
                <w:sz w:val="24"/>
                <w:szCs w:val="24"/>
                <w:highlight w:val="none"/>
                <w:lang w:val="en-US" w:eastAsia="zh-CN"/>
              </w:rPr>
              <w:t>.</w:t>
            </w:r>
            <w:r>
              <w:rPr>
                <w:rFonts w:hint="default" w:ascii="Times New Roman" w:hAnsi="Times New Roman" w:cs="Times New Roman"/>
                <w:b/>
                <w:bCs/>
                <w:sz w:val="24"/>
                <w:szCs w:val="24"/>
                <w:highlight w:val="none"/>
              </w:rPr>
              <w:t>2026</w:t>
            </w:r>
            <w:r>
              <w:rPr>
                <w:rFonts w:hint="eastAsia"/>
                <w:b/>
                <w:bCs/>
                <w:sz w:val="24"/>
                <w:szCs w:val="24"/>
                <w:highlight w:val="none"/>
              </w:rPr>
              <w:t>年一季度营收、净利润同比下滑幅度较大，原因是什么？</w:t>
            </w:r>
          </w:p>
          <w:p w14:paraId="1C67294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1D303D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w:t>
            </w:r>
            <w:r>
              <w:rPr>
                <w:rFonts w:hint="default" w:ascii="Times New Roman" w:hAnsi="Times New Roman" w:cs="Times New Roman"/>
                <w:sz w:val="24"/>
                <w:szCs w:val="24"/>
                <w:highlight w:val="none"/>
              </w:rPr>
              <w:t>2026</w:t>
            </w:r>
            <w:r>
              <w:rPr>
                <w:rFonts w:hint="eastAsia"/>
                <w:sz w:val="24"/>
                <w:szCs w:val="24"/>
                <w:highlight w:val="none"/>
              </w:rPr>
              <w:t>年一季度公司营收、净利润同比下滑的主要原因为：受理审查标准升级，研发项目各阶段工作量增加；同时，难仿复杂制剂项目占比较高，研发难度加大，导致同期推进的在研项目工期延长，达到收入确认节点的项目相应减少。此外，行业竞争导致合同单价有所下降。上述因素综合影响了一季度业绩表现。感谢您的关注！</w:t>
            </w:r>
          </w:p>
          <w:p w14:paraId="6FA87B0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i w:val="0"/>
                <w:iCs w:val="0"/>
                <w:sz w:val="24"/>
                <w:szCs w:val="24"/>
                <w:highlight w:val="none"/>
              </w:rPr>
            </w:pPr>
            <w:r>
              <w:rPr>
                <w:rFonts w:hint="default" w:ascii="Times New Roman" w:hAnsi="Times New Roman" w:cs="Times New Roman"/>
                <w:b/>
                <w:bCs/>
                <w:i w:val="0"/>
                <w:iCs w:val="0"/>
                <w:sz w:val="24"/>
                <w:szCs w:val="24"/>
                <w:highlight w:val="none"/>
                <w:lang w:val="en-US" w:eastAsia="zh-CN"/>
              </w:rPr>
              <w:t>4</w:t>
            </w:r>
            <w:r>
              <w:rPr>
                <w:rFonts w:hint="eastAsia"/>
                <w:b/>
                <w:bCs/>
                <w:i w:val="0"/>
                <w:iCs w:val="0"/>
                <w:sz w:val="24"/>
                <w:szCs w:val="24"/>
                <w:highlight w:val="none"/>
                <w:lang w:val="en-US" w:eastAsia="zh-CN"/>
              </w:rPr>
              <w:t>.</w:t>
            </w:r>
            <w:r>
              <w:rPr>
                <w:rFonts w:hint="eastAsia"/>
                <w:b/>
                <w:bCs/>
                <w:i w:val="0"/>
                <w:iCs w:val="0"/>
                <w:sz w:val="24"/>
                <w:szCs w:val="24"/>
                <w:highlight w:val="none"/>
              </w:rPr>
              <w:t>公司面临的主要经营风险有哪些？如何应对？</w:t>
            </w:r>
          </w:p>
          <w:p w14:paraId="797D351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i w:val="0"/>
                <w:iCs w:val="0"/>
                <w:sz w:val="24"/>
                <w:szCs w:val="24"/>
                <w:highlight w:val="none"/>
                <w:lang w:val="en-US" w:eastAsia="zh-CN"/>
              </w:rPr>
            </w:pPr>
            <w:r>
              <w:rPr>
                <w:rFonts w:hint="eastAsia"/>
                <w:b/>
                <w:bCs/>
                <w:i w:val="0"/>
                <w:iCs w:val="0"/>
                <w:sz w:val="24"/>
                <w:szCs w:val="24"/>
                <w:highlight w:val="none"/>
                <w:lang w:val="en-US" w:eastAsia="zh-CN"/>
              </w:rPr>
              <w:t>回复：</w:t>
            </w:r>
          </w:p>
          <w:p w14:paraId="4BE2C8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公司面临的主要风险包括：市场竞争加剧风险、行业政策变动风险、长周期合同执行风险、研发成本增加的风险等。应对措施包括：集聚优势资源深耕主营业务，加强技术创新和差异化竞争力，全面提升综合运营服务能力；密切关注行业政策变化，优化项目管理和风险控制，发挥自身技术优势主动适应新形势下监管要求，提升交付履约能力；坚持效益导向，加大资源整合、业务协同与市场开拓力度；不断建立完善风险管理体系，以有效识别和应对各类风险。感谢您的关注！</w:t>
            </w:r>
          </w:p>
          <w:p w14:paraId="709FE48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5</w:t>
            </w:r>
            <w:r>
              <w:rPr>
                <w:rFonts w:hint="eastAsia"/>
                <w:b/>
                <w:bCs/>
                <w:sz w:val="24"/>
                <w:szCs w:val="24"/>
                <w:highlight w:val="none"/>
                <w:lang w:val="en-US" w:eastAsia="zh-CN"/>
              </w:rPr>
              <w:t>.</w:t>
            </w:r>
            <w:r>
              <w:rPr>
                <w:rFonts w:hint="eastAsia"/>
                <w:b/>
                <w:bCs/>
                <w:sz w:val="24"/>
                <w:szCs w:val="24"/>
                <w:highlight w:val="none"/>
              </w:rPr>
              <w:t>请问金华市国资委入主后，将如何赋能上市公司的发展？</w:t>
            </w:r>
          </w:p>
          <w:p w14:paraId="7AE3A71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1C88DF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本次控股权变更事项完成后，公司控股股东将变更为金华市聚新企业管理合伙企业（有限合伙），实际控制人将变更为金华市国资委，新的控股股东将充分发挥产业协同，为上市公司业务发展赋能，按照有利于上市公司可持续发展、有利于全体股东权益的原则，进一步增强上市公司产业竞争力与盈利能力，提升上市公司价值（详见公司指定信披媒体及上交所网站（</w:t>
            </w:r>
            <w:r>
              <w:rPr>
                <w:rFonts w:hint="default" w:ascii="Times New Roman" w:hAnsi="Times New Roman" w:cs="Times New Roman"/>
                <w:sz w:val="24"/>
                <w:szCs w:val="24"/>
                <w:highlight w:val="none"/>
              </w:rPr>
              <w:t>www</w:t>
            </w:r>
            <w:r>
              <w:rPr>
                <w:rFonts w:hint="eastAsia"/>
                <w:sz w:val="24"/>
                <w:szCs w:val="24"/>
                <w:highlight w:val="none"/>
              </w:rPr>
              <w:t>.</w:t>
            </w:r>
            <w:r>
              <w:rPr>
                <w:rFonts w:hint="default" w:ascii="Times New Roman" w:hAnsi="Times New Roman" w:cs="Times New Roman"/>
                <w:sz w:val="24"/>
                <w:szCs w:val="24"/>
                <w:highlight w:val="none"/>
              </w:rPr>
              <w:t>sse</w:t>
            </w:r>
            <w:r>
              <w:rPr>
                <w:rFonts w:hint="eastAsia"/>
                <w:sz w:val="24"/>
                <w:szCs w:val="24"/>
                <w:highlight w:val="none"/>
              </w:rPr>
              <w:t>.</w:t>
            </w:r>
            <w:r>
              <w:rPr>
                <w:rFonts w:hint="default" w:ascii="Times New Roman" w:hAnsi="Times New Roman" w:cs="Times New Roman"/>
                <w:sz w:val="24"/>
                <w:szCs w:val="24"/>
                <w:highlight w:val="none"/>
              </w:rPr>
              <w:t>com</w:t>
            </w:r>
            <w:r>
              <w:rPr>
                <w:rFonts w:hint="eastAsia"/>
                <w:sz w:val="24"/>
                <w:szCs w:val="24"/>
                <w:highlight w:val="none"/>
              </w:rPr>
              <w:t>.</w:t>
            </w:r>
            <w:r>
              <w:rPr>
                <w:rFonts w:hint="default" w:ascii="Times New Roman" w:hAnsi="Times New Roman" w:cs="Times New Roman"/>
                <w:sz w:val="24"/>
                <w:szCs w:val="24"/>
                <w:highlight w:val="none"/>
              </w:rPr>
              <w:t>cn</w:t>
            </w:r>
            <w:r>
              <w:rPr>
                <w:rFonts w:hint="eastAsia"/>
                <w:sz w:val="24"/>
                <w:szCs w:val="24"/>
                <w:highlight w:val="none"/>
              </w:rPr>
              <w:t>）上刊登的《详式权益变动报告书》）。公司控股权变更事项正在办理过程中，待取得上海证券交易所合规性确认后，方能在中国证券登记结算有限责任公司上海分公司办理过户登记手续。本次协议转让事项是否能够最终完成尚存在不确定性。敬请广大投资者关注公司后续公告，并注意投资风险。感谢您的关注！</w:t>
            </w:r>
            <w:bookmarkStart w:id="0" w:name="_GoBack"/>
            <w:bookmarkEnd w:id="0"/>
          </w:p>
          <w:p w14:paraId="439EF6E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6</w:t>
            </w:r>
            <w:r>
              <w:rPr>
                <w:rFonts w:hint="eastAsia"/>
                <w:b/>
                <w:bCs/>
                <w:sz w:val="24"/>
                <w:szCs w:val="24"/>
                <w:highlight w:val="none"/>
                <w:lang w:val="en-US" w:eastAsia="zh-CN"/>
              </w:rPr>
              <w:t>.</w:t>
            </w:r>
            <w:r>
              <w:rPr>
                <w:rFonts w:hint="eastAsia"/>
                <w:b/>
                <w:bCs/>
                <w:sz w:val="24"/>
                <w:szCs w:val="24"/>
                <w:highlight w:val="none"/>
              </w:rPr>
              <w:t>公司研发团队建设及技术储备情况如何？</w:t>
            </w:r>
          </w:p>
          <w:p w14:paraId="3DD597C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0B82BB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尊敬的投资者，您好！公司研发专业技术团队规模达</w:t>
            </w:r>
            <w:r>
              <w:rPr>
                <w:rFonts w:hint="default" w:ascii="Times New Roman" w:hAnsi="Times New Roman" w:cs="Times New Roman"/>
                <w:sz w:val="24"/>
                <w:szCs w:val="24"/>
                <w:highlight w:val="none"/>
              </w:rPr>
              <w:t>541</w:t>
            </w:r>
            <w:r>
              <w:rPr>
                <w:rFonts w:hint="eastAsia"/>
                <w:sz w:val="24"/>
                <w:szCs w:val="24"/>
                <w:highlight w:val="none"/>
              </w:rPr>
              <w:t xml:space="preserve"> 人，占比</w:t>
            </w:r>
            <w:r>
              <w:rPr>
                <w:rFonts w:hint="default" w:ascii="Times New Roman" w:hAnsi="Times New Roman" w:cs="Times New Roman"/>
                <w:sz w:val="24"/>
                <w:szCs w:val="24"/>
                <w:highlight w:val="none"/>
              </w:rPr>
              <w:t>80</w:t>
            </w:r>
            <w:r>
              <w:rPr>
                <w:rFonts w:hint="eastAsia"/>
                <w:sz w:val="24"/>
                <w:szCs w:val="24"/>
                <w:highlight w:val="none"/>
              </w:rPr>
              <w:t>.</w:t>
            </w:r>
            <w:r>
              <w:rPr>
                <w:rFonts w:hint="default" w:ascii="Times New Roman" w:hAnsi="Times New Roman" w:cs="Times New Roman"/>
                <w:sz w:val="24"/>
                <w:szCs w:val="24"/>
                <w:highlight w:val="none"/>
              </w:rPr>
              <w:t>5</w:t>
            </w:r>
            <w:r>
              <w:rPr>
                <w:rFonts w:hint="eastAsia"/>
                <w:sz w:val="24"/>
                <w:szCs w:val="24"/>
                <w:highlight w:val="none"/>
              </w:rPr>
              <w:t xml:space="preserve">%, 其中本科及以上学历占比 </w:t>
            </w:r>
            <w:r>
              <w:rPr>
                <w:rFonts w:hint="default" w:ascii="Times New Roman" w:hAnsi="Times New Roman" w:cs="Times New Roman"/>
                <w:sz w:val="24"/>
                <w:szCs w:val="24"/>
                <w:highlight w:val="none"/>
              </w:rPr>
              <w:t>89</w:t>
            </w:r>
            <w:r>
              <w:rPr>
                <w:rFonts w:hint="eastAsia"/>
                <w:sz w:val="24"/>
                <w:szCs w:val="24"/>
                <w:highlight w:val="none"/>
              </w:rPr>
              <w:t>.</w:t>
            </w:r>
            <w:r>
              <w:rPr>
                <w:rFonts w:hint="default" w:ascii="Times New Roman" w:hAnsi="Times New Roman" w:cs="Times New Roman"/>
                <w:sz w:val="24"/>
                <w:szCs w:val="24"/>
                <w:highlight w:val="none"/>
              </w:rPr>
              <w:t>65</w:t>
            </w:r>
            <w:r>
              <w:rPr>
                <w:rFonts w:hint="eastAsia"/>
                <w:sz w:val="24"/>
                <w:szCs w:val="24"/>
                <w:highlight w:val="none"/>
              </w:rPr>
              <w:t>%，公司中高层技术团队均具备丰富的医药专业知识技术能力和</w:t>
            </w:r>
            <w:r>
              <w:rPr>
                <w:rFonts w:hint="default" w:ascii="Times New Roman" w:hAnsi="Times New Roman" w:cs="Times New Roman"/>
                <w:sz w:val="24"/>
                <w:szCs w:val="24"/>
                <w:highlight w:val="none"/>
              </w:rPr>
              <w:t>CRO</w:t>
            </w:r>
            <w:r>
              <w:rPr>
                <w:rFonts w:hint="eastAsia"/>
                <w:sz w:val="24"/>
                <w:szCs w:val="24"/>
                <w:highlight w:val="none"/>
              </w:rPr>
              <w:t>行业从业经验，拥有药学、药理学和临床等学科领域新药研究高端人才。技术储备方面，公司经过多年的发展，拥有手性药物合成、缓控释制剂、吸入给药、经皮吸收、复杂注射剂等多项药学前沿技术，公司着力打造原料药和制剂产品产业化工程技术平台和品牌优势，凭借近</w:t>
            </w:r>
            <w:r>
              <w:rPr>
                <w:rFonts w:hint="default" w:ascii="Times New Roman" w:hAnsi="Times New Roman" w:cs="Times New Roman"/>
                <w:sz w:val="24"/>
                <w:szCs w:val="24"/>
                <w:highlight w:val="none"/>
              </w:rPr>
              <w:t>25</w:t>
            </w:r>
            <w:r>
              <w:rPr>
                <w:rFonts w:hint="eastAsia"/>
                <w:sz w:val="24"/>
                <w:szCs w:val="24"/>
                <w:highlight w:val="none"/>
              </w:rPr>
              <w:t xml:space="preserve"> 年项目经验和积累，形成较完备的药学研发服务体系，制剂模块已建立“缓控释制剂技术平台、局部外用和经皮给药技术平台、吸入制剂技术平台、复杂注射剂技术平台”等。公司迄今已累计申请发明专利</w:t>
            </w:r>
            <w:r>
              <w:rPr>
                <w:rFonts w:hint="default" w:ascii="Times New Roman" w:hAnsi="Times New Roman" w:cs="Times New Roman"/>
                <w:sz w:val="24"/>
                <w:szCs w:val="24"/>
                <w:highlight w:val="none"/>
              </w:rPr>
              <w:t>201</w:t>
            </w:r>
            <w:r>
              <w:rPr>
                <w:rFonts w:hint="eastAsia"/>
                <w:sz w:val="24"/>
                <w:szCs w:val="24"/>
                <w:highlight w:val="none"/>
              </w:rPr>
              <w:t>件，累计获得发明专利授权</w:t>
            </w:r>
            <w:r>
              <w:rPr>
                <w:rFonts w:hint="default" w:ascii="Times New Roman" w:hAnsi="Times New Roman" w:cs="Times New Roman"/>
                <w:sz w:val="24"/>
                <w:szCs w:val="24"/>
                <w:highlight w:val="none"/>
              </w:rPr>
              <w:t>83</w:t>
            </w:r>
            <w:r>
              <w:rPr>
                <w:rFonts w:hint="eastAsia"/>
                <w:sz w:val="24"/>
                <w:szCs w:val="24"/>
                <w:highlight w:val="none"/>
              </w:rPr>
              <w:t>件，其中转让发明专利</w:t>
            </w:r>
            <w:r>
              <w:rPr>
                <w:rFonts w:hint="default" w:ascii="Times New Roman" w:hAnsi="Times New Roman" w:cs="Times New Roman"/>
                <w:sz w:val="24"/>
                <w:szCs w:val="24"/>
                <w:highlight w:val="none"/>
              </w:rPr>
              <w:t>5</w:t>
            </w:r>
            <w:r>
              <w:rPr>
                <w:rFonts w:hint="eastAsia"/>
                <w:sz w:val="24"/>
                <w:szCs w:val="24"/>
                <w:highlight w:val="none"/>
              </w:rPr>
              <w:t xml:space="preserve"> 件，国内注册取得了生产批件和临床批件等超过四百个，具有一定市场影响及行业优势。感谢您的关注！</w:t>
            </w:r>
          </w:p>
          <w:p w14:paraId="57741BB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7</w:t>
            </w:r>
            <w:r>
              <w:rPr>
                <w:rFonts w:hint="eastAsia"/>
                <w:b/>
                <w:bCs/>
                <w:sz w:val="24"/>
                <w:szCs w:val="24"/>
                <w:highlight w:val="none"/>
                <w:lang w:val="en-US" w:eastAsia="zh-CN"/>
              </w:rPr>
              <w:t>.</w:t>
            </w:r>
            <w:r>
              <w:rPr>
                <w:rFonts w:hint="eastAsia"/>
                <w:b/>
                <w:bCs/>
                <w:sz w:val="24"/>
                <w:szCs w:val="24"/>
                <w:highlight w:val="none"/>
              </w:rPr>
              <w:t>公司业绩增速放缓，主要原因是什么？</w:t>
            </w:r>
          </w:p>
          <w:p w14:paraId="7419BB5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0B0D4D6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w:t>
            </w:r>
            <w:r>
              <w:rPr>
                <w:rFonts w:hint="default" w:ascii="Times New Roman" w:hAnsi="Times New Roman" w:cs="Times New Roman"/>
                <w:sz w:val="24"/>
                <w:szCs w:val="24"/>
                <w:highlight w:val="none"/>
              </w:rPr>
              <w:t>2025</w:t>
            </w:r>
            <w:r>
              <w:rPr>
                <w:rFonts w:hint="eastAsia"/>
                <w:sz w:val="24"/>
                <w:szCs w:val="24"/>
                <w:highlight w:val="none"/>
              </w:rPr>
              <w:t>年公司实现营业收入</w:t>
            </w:r>
            <w:r>
              <w:rPr>
                <w:rFonts w:hint="default" w:ascii="Times New Roman" w:hAnsi="Times New Roman" w:cs="Times New Roman"/>
                <w:sz w:val="24"/>
                <w:szCs w:val="24"/>
                <w:highlight w:val="none"/>
              </w:rPr>
              <w:t>3</w:t>
            </w:r>
            <w:r>
              <w:rPr>
                <w:rFonts w:hint="eastAsia"/>
                <w:sz w:val="24"/>
                <w:szCs w:val="24"/>
                <w:highlight w:val="none"/>
              </w:rPr>
              <w:t>.</w:t>
            </w:r>
            <w:r>
              <w:rPr>
                <w:rFonts w:hint="default" w:ascii="Times New Roman" w:hAnsi="Times New Roman" w:cs="Times New Roman"/>
                <w:sz w:val="24"/>
                <w:szCs w:val="24"/>
                <w:highlight w:val="none"/>
              </w:rPr>
              <w:t>88</w:t>
            </w:r>
            <w:r>
              <w:rPr>
                <w:rFonts w:hint="eastAsia"/>
                <w:sz w:val="24"/>
                <w:szCs w:val="24"/>
                <w:highlight w:val="none"/>
              </w:rPr>
              <w:t>亿元，同比增长</w:t>
            </w:r>
            <w:r>
              <w:rPr>
                <w:rFonts w:hint="default" w:ascii="Times New Roman" w:hAnsi="Times New Roman" w:cs="Times New Roman"/>
                <w:sz w:val="24"/>
                <w:szCs w:val="24"/>
                <w:highlight w:val="none"/>
              </w:rPr>
              <w:t>0</w:t>
            </w:r>
            <w:r>
              <w:rPr>
                <w:rFonts w:hint="eastAsia"/>
                <w:sz w:val="24"/>
                <w:szCs w:val="24"/>
                <w:highlight w:val="none"/>
              </w:rPr>
              <w:t>.</w:t>
            </w:r>
            <w:r>
              <w:rPr>
                <w:rFonts w:hint="default" w:ascii="Times New Roman" w:hAnsi="Times New Roman" w:cs="Times New Roman"/>
                <w:sz w:val="24"/>
                <w:szCs w:val="24"/>
                <w:highlight w:val="none"/>
              </w:rPr>
              <w:t>66</w:t>
            </w:r>
            <w:r>
              <w:rPr>
                <w:rFonts w:hint="eastAsia"/>
                <w:sz w:val="24"/>
                <w:szCs w:val="24"/>
                <w:highlight w:val="none"/>
              </w:rPr>
              <w:t>%。收入增长放缓的主要原因为上一个周期仿制药研发外包需求增速趋缓，行业同质化竞争加剧，导致整体收入增长承压，到</w:t>
            </w:r>
            <w:r>
              <w:rPr>
                <w:rFonts w:hint="default" w:ascii="Times New Roman" w:hAnsi="Times New Roman" w:cs="Times New Roman"/>
                <w:sz w:val="24"/>
                <w:szCs w:val="24"/>
                <w:highlight w:val="none"/>
              </w:rPr>
              <w:t>2025</w:t>
            </w:r>
            <w:r>
              <w:rPr>
                <w:rFonts w:hint="eastAsia"/>
                <w:sz w:val="24"/>
                <w:szCs w:val="24"/>
                <w:highlight w:val="none"/>
              </w:rPr>
              <w:t>年下半年行业趋势逐步回暖，公司全年新签订单同比增长约</w:t>
            </w:r>
            <w:r>
              <w:rPr>
                <w:rFonts w:hint="default" w:ascii="Times New Roman" w:hAnsi="Times New Roman" w:cs="Times New Roman"/>
                <w:sz w:val="24"/>
                <w:szCs w:val="24"/>
                <w:highlight w:val="none"/>
              </w:rPr>
              <w:t>28</w:t>
            </w:r>
            <w:r>
              <w:rPr>
                <w:rFonts w:hint="eastAsia"/>
                <w:sz w:val="24"/>
                <w:szCs w:val="24"/>
                <w:highlight w:val="none"/>
              </w:rPr>
              <w:t>.</w:t>
            </w:r>
            <w:r>
              <w:rPr>
                <w:rFonts w:hint="default" w:ascii="Times New Roman" w:hAnsi="Times New Roman" w:cs="Times New Roman"/>
                <w:sz w:val="24"/>
                <w:szCs w:val="24"/>
                <w:highlight w:val="none"/>
              </w:rPr>
              <w:t>97</w:t>
            </w:r>
            <w:r>
              <w:rPr>
                <w:rFonts w:hint="eastAsia"/>
                <w:sz w:val="24"/>
                <w:szCs w:val="24"/>
                <w:highlight w:val="none"/>
              </w:rPr>
              <w:t>%，但订单结构发生变化，高难度复杂制剂占比提高，此类项目研发周期较长、订单的收入转化周期相应延长。未来公司将持续加强项目全周期管理，不断提升研发的技术投入及管理效率，同时积极拓展优质客户资源，努力提高公司市场竞争力。感谢您的关注！</w:t>
            </w:r>
          </w:p>
          <w:p w14:paraId="6C0D7B0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default" w:ascii="Times New Roman" w:hAnsi="Times New Roman" w:cs="Times New Roman"/>
                <w:b/>
                <w:bCs/>
                <w:sz w:val="24"/>
                <w:szCs w:val="24"/>
                <w:highlight w:val="none"/>
                <w:lang w:val="en-US" w:eastAsia="zh-CN"/>
              </w:rPr>
              <w:t>8</w:t>
            </w:r>
            <w:r>
              <w:rPr>
                <w:rFonts w:hint="eastAsia"/>
                <w:b/>
                <w:bCs/>
                <w:sz w:val="24"/>
                <w:szCs w:val="24"/>
                <w:highlight w:val="none"/>
                <w:lang w:val="en-US" w:eastAsia="zh-CN"/>
              </w:rPr>
              <w:t>.</w:t>
            </w:r>
            <w:r>
              <w:rPr>
                <w:rFonts w:hint="default" w:ascii="Times New Roman" w:hAnsi="Times New Roman" w:cs="Times New Roman"/>
                <w:b/>
                <w:bCs/>
                <w:sz w:val="24"/>
                <w:szCs w:val="24"/>
                <w:highlight w:val="none"/>
              </w:rPr>
              <w:t>2025</w:t>
            </w:r>
            <w:r>
              <w:rPr>
                <w:rFonts w:hint="eastAsia"/>
                <w:b/>
                <w:bCs/>
                <w:sz w:val="24"/>
                <w:szCs w:val="24"/>
                <w:highlight w:val="none"/>
              </w:rPr>
              <w:t>年归母净利润同比下降</w:t>
            </w:r>
            <w:r>
              <w:rPr>
                <w:rFonts w:hint="default" w:ascii="Times New Roman" w:hAnsi="Times New Roman" w:cs="Times New Roman"/>
                <w:b/>
                <w:bCs/>
                <w:sz w:val="24"/>
                <w:szCs w:val="24"/>
                <w:highlight w:val="none"/>
              </w:rPr>
              <w:t>1</w:t>
            </w:r>
            <w:r>
              <w:rPr>
                <w:rFonts w:hint="eastAsia"/>
                <w:b/>
                <w:bCs/>
                <w:sz w:val="24"/>
                <w:szCs w:val="24"/>
                <w:highlight w:val="none"/>
              </w:rPr>
              <w:t>.</w:t>
            </w:r>
            <w:r>
              <w:rPr>
                <w:rFonts w:hint="default" w:ascii="Times New Roman" w:hAnsi="Times New Roman" w:cs="Times New Roman"/>
                <w:b/>
                <w:bCs/>
                <w:sz w:val="24"/>
                <w:szCs w:val="24"/>
                <w:highlight w:val="none"/>
              </w:rPr>
              <w:t>91</w:t>
            </w:r>
            <w:r>
              <w:rPr>
                <w:rFonts w:hint="eastAsia"/>
                <w:b/>
                <w:bCs/>
                <w:sz w:val="24"/>
                <w:szCs w:val="24"/>
                <w:highlight w:val="none"/>
              </w:rPr>
              <w:t>%，但扣非净利润同比增长</w:t>
            </w:r>
            <w:r>
              <w:rPr>
                <w:rFonts w:hint="default" w:ascii="Times New Roman" w:hAnsi="Times New Roman" w:cs="Times New Roman"/>
                <w:b/>
                <w:bCs/>
                <w:sz w:val="24"/>
                <w:szCs w:val="24"/>
                <w:highlight w:val="none"/>
              </w:rPr>
              <w:t>10</w:t>
            </w:r>
            <w:r>
              <w:rPr>
                <w:rFonts w:hint="eastAsia"/>
                <w:b/>
                <w:bCs/>
                <w:sz w:val="24"/>
                <w:szCs w:val="24"/>
                <w:highlight w:val="none"/>
              </w:rPr>
              <w:t>.</w:t>
            </w:r>
            <w:r>
              <w:rPr>
                <w:rFonts w:hint="default" w:ascii="Times New Roman" w:hAnsi="Times New Roman" w:cs="Times New Roman"/>
                <w:b/>
                <w:bCs/>
                <w:sz w:val="24"/>
                <w:szCs w:val="24"/>
                <w:highlight w:val="none"/>
              </w:rPr>
              <w:t>57</w:t>
            </w:r>
            <w:r>
              <w:rPr>
                <w:rFonts w:hint="eastAsia"/>
                <w:b/>
                <w:bCs/>
                <w:sz w:val="24"/>
                <w:szCs w:val="24"/>
                <w:highlight w:val="none"/>
              </w:rPr>
              <w:t>%，这种差异的原因是什么？</w:t>
            </w:r>
          </w:p>
          <w:p w14:paraId="4868C76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highlight w:val="none"/>
                <w:lang w:val="en-US" w:eastAsia="zh-CN"/>
              </w:rPr>
            </w:pPr>
            <w:r>
              <w:rPr>
                <w:rFonts w:hint="eastAsia"/>
                <w:b/>
                <w:bCs/>
                <w:sz w:val="24"/>
                <w:szCs w:val="24"/>
                <w:highlight w:val="none"/>
                <w:lang w:val="en-US" w:eastAsia="zh-CN"/>
              </w:rPr>
              <w:t>回复：</w:t>
            </w:r>
          </w:p>
          <w:p w14:paraId="09E72F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w:t>
            </w:r>
            <w:r>
              <w:rPr>
                <w:rFonts w:hint="default" w:ascii="Times New Roman" w:hAnsi="Times New Roman" w:cs="Times New Roman"/>
                <w:sz w:val="24"/>
                <w:szCs w:val="24"/>
                <w:highlight w:val="none"/>
              </w:rPr>
              <w:t>2025</w:t>
            </w:r>
            <w:r>
              <w:rPr>
                <w:rFonts w:hint="eastAsia"/>
                <w:sz w:val="24"/>
                <w:szCs w:val="24"/>
                <w:highlight w:val="none"/>
              </w:rPr>
              <w:t>年公司归母净利润</w:t>
            </w:r>
            <w:r>
              <w:rPr>
                <w:rFonts w:hint="default" w:ascii="Times New Roman" w:hAnsi="Times New Roman" w:cs="Times New Roman"/>
                <w:sz w:val="24"/>
                <w:szCs w:val="24"/>
                <w:highlight w:val="none"/>
              </w:rPr>
              <w:t>4068</w:t>
            </w:r>
            <w:r>
              <w:rPr>
                <w:rFonts w:hint="eastAsia"/>
                <w:sz w:val="24"/>
                <w:szCs w:val="24"/>
                <w:highlight w:val="none"/>
              </w:rPr>
              <w:t>.</w:t>
            </w:r>
            <w:r>
              <w:rPr>
                <w:rFonts w:hint="default" w:ascii="Times New Roman" w:hAnsi="Times New Roman" w:cs="Times New Roman"/>
                <w:sz w:val="24"/>
                <w:szCs w:val="24"/>
                <w:highlight w:val="none"/>
              </w:rPr>
              <w:t>79</w:t>
            </w:r>
            <w:r>
              <w:rPr>
                <w:rFonts w:hint="eastAsia"/>
                <w:sz w:val="24"/>
                <w:szCs w:val="24"/>
                <w:highlight w:val="none"/>
              </w:rPr>
              <w:t>万元，同比下降</w:t>
            </w:r>
            <w:r>
              <w:rPr>
                <w:rFonts w:hint="default" w:ascii="Times New Roman" w:hAnsi="Times New Roman" w:cs="Times New Roman"/>
                <w:sz w:val="24"/>
                <w:szCs w:val="24"/>
                <w:highlight w:val="none"/>
              </w:rPr>
              <w:t>1</w:t>
            </w:r>
            <w:r>
              <w:rPr>
                <w:rFonts w:hint="eastAsia"/>
                <w:sz w:val="24"/>
                <w:szCs w:val="24"/>
                <w:highlight w:val="none"/>
              </w:rPr>
              <w:t>.</w:t>
            </w:r>
            <w:r>
              <w:rPr>
                <w:rFonts w:hint="default" w:ascii="Times New Roman" w:hAnsi="Times New Roman" w:cs="Times New Roman"/>
                <w:sz w:val="24"/>
                <w:szCs w:val="24"/>
                <w:highlight w:val="none"/>
              </w:rPr>
              <w:t>91</w:t>
            </w:r>
            <w:r>
              <w:rPr>
                <w:rFonts w:hint="eastAsia"/>
                <w:sz w:val="24"/>
                <w:szCs w:val="24"/>
                <w:highlight w:val="none"/>
              </w:rPr>
              <w:t>%，扣非净利润</w:t>
            </w:r>
            <w:r>
              <w:rPr>
                <w:rFonts w:hint="default" w:ascii="Times New Roman" w:hAnsi="Times New Roman" w:cs="Times New Roman"/>
                <w:sz w:val="24"/>
                <w:szCs w:val="24"/>
                <w:highlight w:val="none"/>
              </w:rPr>
              <w:t>3278</w:t>
            </w:r>
            <w:r>
              <w:rPr>
                <w:rFonts w:hint="eastAsia"/>
                <w:sz w:val="24"/>
                <w:szCs w:val="24"/>
                <w:highlight w:val="none"/>
              </w:rPr>
              <w:t>.</w:t>
            </w:r>
            <w:r>
              <w:rPr>
                <w:rFonts w:hint="default" w:ascii="Times New Roman" w:hAnsi="Times New Roman" w:cs="Times New Roman"/>
                <w:sz w:val="24"/>
                <w:szCs w:val="24"/>
                <w:highlight w:val="none"/>
              </w:rPr>
              <w:t>58</w:t>
            </w:r>
            <w:r>
              <w:rPr>
                <w:rFonts w:hint="eastAsia"/>
                <w:sz w:val="24"/>
                <w:szCs w:val="24"/>
                <w:highlight w:val="none"/>
              </w:rPr>
              <w:t>万元，同比增长</w:t>
            </w:r>
            <w:r>
              <w:rPr>
                <w:rFonts w:hint="default" w:ascii="Times New Roman" w:hAnsi="Times New Roman" w:cs="Times New Roman"/>
                <w:sz w:val="24"/>
                <w:szCs w:val="24"/>
                <w:highlight w:val="none"/>
              </w:rPr>
              <w:t>10</w:t>
            </w:r>
            <w:r>
              <w:rPr>
                <w:rFonts w:hint="eastAsia"/>
                <w:sz w:val="24"/>
                <w:szCs w:val="24"/>
                <w:highlight w:val="none"/>
              </w:rPr>
              <w:t>.</w:t>
            </w:r>
            <w:r>
              <w:rPr>
                <w:rFonts w:hint="default" w:ascii="Times New Roman" w:hAnsi="Times New Roman" w:cs="Times New Roman"/>
                <w:sz w:val="24"/>
                <w:szCs w:val="24"/>
                <w:highlight w:val="none"/>
              </w:rPr>
              <w:t>57</w:t>
            </w:r>
            <w:r>
              <w:rPr>
                <w:rFonts w:hint="eastAsia"/>
                <w:sz w:val="24"/>
                <w:szCs w:val="24"/>
                <w:highlight w:val="none"/>
              </w:rPr>
              <w:t>%，主要受非经常性损益减少影响，报告期内经营业务的实际盈利能力连续三年保持增长。公司持续强化项目全周期管理，提升交付效率，推进费用精细化管控，</w:t>
            </w:r>
            <w:r>
              <w:rPr>
                <w:rFonts w:hint="default" w:ascii="Times New Roman" w:hAnsi="Times New Roman" w:cs="Times New Roman"/>
                <w:sz w:val="24"/>
                <w:szCs w:val="24"/>
                <w:highlight w:val="none"/>
              </w:rPr>
              <w:t>2025</w:t>
            </w:r>
            <w:r>
              <w:rPr>
                <w:rFonts w:hint="eastAsia"/>
                <w:sz w:val="24"/>
                <w:szCs w:val="24"/>
                <w:highlight w:val="none"/>
              </w:rPr>
              <w:t>年全年新签订单约</w:t>
            </w:r>
            <w:r>
              <w:rPr>
                <w:rFonts w:hint="default" w:ascii="Times New Roman" w:hAnsi="Times New Roman" w:cs="Times New Roman"/>
                <w:sz w:val="24"/>
                <w:szCs w:val="24"/>
                <w:highlight w:val="none"/>
              </w:rPr>
              <w:t>3</w:t>
            </w:r>
            <w:r>
              <w:rPr>
                <w:rFonts w:hint="eastAsia"/>
                <w:sz w:val="24"/>
                <w:szCs w:val="24"/>
                <w:highlight w:val="none"/>
              </w:rPr>
              <w:t>.</w:t>
            </w:r>
            <w:r>
              <w:rPr>
                <w:rFonts w:hint="default" w:ascii="Times New Roman" w:hAnsi="Times New Roman" w:cs="Times New Roman"/>
                <w:sz w:val="24"/>
                <w:szCs w:val="24"/>
                <w:highlight w:val="none"/>
              </w:rPr>
              <w:t>29</w:t>
            </w:r>
            <w:r>
              <w:rPr>
                <w:rFonts w:hint="eastAsia"/>
                <w:sz w:val="24"/>
                <w:szCs w:val="24"/>
                <w:highlight w:val="none"/>
              </w:rPr>
              <w:t>亿元，同比增长</w:t>
            </w:r>
            <w:r>
              <w:rPr>
                <w:rFonts w:hint="default" w:ascii="Times New Roman" w:hAnsi="Times New Roman" w:cs="Times New Roman"/>
                <w:sz w:val="24"/>
                <w:szCs w:val="24"/>
                <w:highlight w:val="none"/>
              </w:rPr>
              <w:t>28</w:t>
            </w:r>
            <w:r>
              <w:rPr>
                <w:rFonts w:hint="eastAsia"/>
                <w:sz w:val="24"/>
                <w:szCs w:val="24"/>
                <w:highlight w:val="none"/>
              </w:rPr>
              <w:t>.</w:t>
            </w:r>
            <w:r>
              <w:rPr>
                <w:rFonts w:hint="default" w:ascii="Times New Roman" w:hAnsi="Times New Roman" w:cs="Times New Roman"/>
                <w:sz w:val="24"/>
                <w:szCs w:val="24"/>
                <w:highlight w:val="none"/>
              </w:rPr>
              <w:t>97</w:t>
            </w:r>
            <w:r>
              <w:rPr>
                <w:rFonts w:hint="eastAsia"/>
                <w:sz w:val="24"/>
                <w:szCs w:val="24"/>
                <w:highlight w:val="none"/>
              </w:rPr>
              <w:t>%，着力于提升公司的可持续发展能力和盈利水平。感谢您的关注！</w:t>
            </w:r>
          </w:p>
          <w:p w14:paraId="1AC7C1D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eastAsia" w:ascii="Times New Roman" w:hAnsi="Times New Roman" w:cs="Times New Roman"/>
                <w:b/>
                <w:bCs/>
                <w:sz w:val="24"/>
                <w:szCs w:val="24"/>
                <w:highlight w:val="none"/>
                <w:lang w:val="en-US" w:eastAsia="zh-CN"/>
              </w:rPr>
              <w:t>9</w:t>
            </w:r>
            <w:r>
              <w:rPr>
                <w:rFonts w:hint="eastAsia"/>
                <w:b/>
                <w:bCs/>
                <w:sz w:val="24"/>
                <w:szCs w:val="24"/>
                <w:highlight w:val="none"/>
                <w:lang w:val="en-US" w:eastAsia="zh-CN"/>
              </w:rPr>
              <w:t>.</w:t>
            </w:r>
            <w:r>
              <w:rPr>
                <w:rFonts w:hint="eastAsia"/>
                <w:b/>
                <w:bCs/>
                <w:sz w:val="24"/>
                <w:szCs w:val="24"/>
                <w:highlight w:val="none"/>
              </w:rPr>
              <w:t>公司控股权变更什么进展了？</w:t>
            </w:r>
          </w:p>
          <w:p w14:paraId="15380BF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6754AD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公司控股权变更事项正在办理过程中，待取得上海证券交易所合规性确认后，方能在中国证券登记结算有限责任公司上海分公司办理过户登记手续。本次协议转让事项是否能够最终完成尚存在不确定性。公司将持续关注上述协议转让事项的进展情况，并按照有关法律法规要求及时履行信息披露义务。敬请广大投资者关注公司后续公告，并注意投资风险。感谢您的关注！</w:t>
            </w:r>
          </w:p>
          <w:p w14:paraId="414B60C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eastAsia" w:ascii="Times New Roman" w:hAnsi="Times New Roman" w:cs="Times New Roman"/>
                <w:b/>
                <w:bCs/>
                <w:sz w:val="24"/>
                <w:szCs w:val="24"/>
                <w:highlight w:val="none"/>
                <w:lang w:val="en-US" w:eastAsia="zh-CN"/>
              </w:rPr>
              <w:t>10.</w:t>
            </w:r>
            <w:r>
              <w:rPr>
                <w:rFonts w:hint="eastAsia"/>
                <w:b/>
                <w:bCs/>
                <w:sz w:val="24"/>
                <w:szCs w:val="24"/>
                <w:highlight w:val="none"/>
              </w:rPr>
              <w:t>请问公司主营业务构成如何？</w:t>
            </w:r>
          </w:p>
          <w:p w14:paraId="39874D8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61209E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尊敬的投资者，您好！报告期内，主业实现营业收入</w:t>
            </w:r>
            <w:r>
              <w:rPr>
                <w:rFonts w:hint="default" w:ascii="Times New Roman" w:hAnsi="Times New Roman" w:cs="Times New Roman"/>
                <w:sz w:val="24"/>
                <w:szCs w:val="24"/>
                <w:highlight w:val="none"/>
              </w:rPr>
              <w:t>3</w:t>
            </w:r>
            <w:r>
              <w:rPr>
                <w:rFonts w:hint="eastAsia"/>
                <w:sz w:val="24"/>
                <w:szCs w:val="24"/>
                <w:highlight w:val="none"/>
              </w:rPr>
              <w:t>.</w:t>
            </w:r>
            <w:r>
              <w:rPr>
                <w:rFonts w:hint="default" w:ascii="Times New Roman" w:hAnsi="Times New Roman" w:cs="Times New Roman"/>
                <w:sz w:val="24"/>
                <w:szCs w:val="24"/>
                <w:highlight w:val="none"/>
              </w:rPr>
              <w:t>87</w:t>
            </w:r>
            <w:r>
              <w:rPr>
                <w:rFonts w:hint="eastAsia"/>
                <w:sz w:val="24"/>
                <w:szCs w:val="24"/>
                <w:highlight w:val="none"/>
              </w:rPr>
              <w:t>亿元，其中药学研发板块占</w:t>
            </w:r>
            <w:r>
              <w:rPr>
                <w:rFonts w:hint="default" w:ascii="Times New Roman" w:hAnsi="Times New Roman" w:cs="Times New Roman"/>
                <w:sz w:val="24"/>
                <w:szCs w:val="24"/>
                <w:highlight w:val="none"/>
              </w:rPr>
              <w:t>48</w:t>
            </w:r>
            <w:r>
              <w:rPr>
                <w:rFonts w:hint="eastAsia"/>
                <w:sz w:val="24"/>
                <w:szCs w:val="24"/>
                <w:highlight w:val="none"/>
              </w:rPr>
              <w:t>.</w:t>
            </w:r>
            <w:r>
              <w:rPr>
                <w:rFonts w:hint="default" w:ascii="Times New Roman" w:hAnsi="Times New Roman" w:cs="Times New Roman"/>
                <w:sz w:val="24"/>
                <w:szCs w:val="24"/>
                <w:highlight w:val="none"/>
              </w:rPr>
              <w:t>46</w:t>
            </w:r>
            <w:r>
              <w:rPr>
                <w:rFonts w:hint="eastAsia"/>
                <w:sz w:val="24"/>
                <w:szCs w:val="24"/>
                <w:highlight w:val="none"/>
              </w:rPr>
              <w:t>%，临床试验板块占</w:t>
            </w:r>
            <w:r>
              <w:rPr>
                <w:rFonts w:hint="default" w:ascii="Times New Roman" w:hAnsi="Times New Roman" w:cs="Times New Roman"/>
                <w:sz w:val="24"/>
                <w:szCs w:val="24"/>
                <w:highlight w:val="none"/>
              </w:rPr>
              <w:t>43</w:t>
            </w:r>
            <w:r>
              <w:rPr>
                <w:rFonts w:hint="eastAsia"/>
                <w:sz w:val="24"/>
                <w:szCs w:val="24"/>
                <w:highlight w:val="none"/>
              </w:rPr>
              <w:t>.</w:t>
            </w:r>
            <w:r>
              <w:rPr>
                <w:rFonts w:hint="default" w:ascii="Times New Roman" w:hAnsi="Times New Roman" w:cs="Times New Roman"/>
                <w:sz w:val="24"/>
                <w:szCs w:val="24"/>
                <w:highlight w:val="none"/>
              </w:rPr>
              <w:t>40</w:t>
            </w:r>
            <w:r>
              <w:rPr>
                <w:rFonts w:hint="eastAsia"/>
                <w:sz w:val="24"/>
                <w:szCs w:val="24"/>
                <w:highlight w:val="none"/>
              </w:rPr>
              <w:t>%，其他收入占</w:t>
            </w:r>
            <w:r>
              <w:rPr>
                <w:rFonts w:hint="default" w:ascii="Times New Roman" w:hAnsi="Times New Roman" w:cs="Times New Roman"/>
                <w:sz w:val="24"/>
                <w:szCs w:val="24"/>
                <w:highlight w:val="none"/>
              </w:rPr>
              <w:t>8</w:t>
            </w:r>
            <w:r>
              <w:rPr>
                <w:rFonts w:hint="eastAsia"/>
                <w:sz w:val="24"/>
                <w:szCs w:val="24"/>
                <w:highlight w:val="none"/>
              </w:rPr>
              <w:t>.</w:t>
            </w:r>
            <w:r>
              <w:rPr>
                <w:rFonts w:hint="default" w:ascii="Times New Roman" w:hAnsi="Times New Roman" w:cs="Times New Roman"/>
                <w:sz w:val="24"/>
                <w:szCs w:val="24"/>
                <w:highlight w:val="none"/>
              </w:rPr>
              <w:t>14</w:t>
            </w:r>
            <w:r>
              <w:rPr>
                <w:rFonts w:hint="eastAsia"/>
                <w:sz w:val="24"/>
                <w:szCs w:val="24"/>
                <w:highlight w:val="none"/>
              </w:rPr>
              <w:t>%。主要致力于小分子化学药品研发和注册申报、药物中间体开发，组织实施Ⅰ~Ⅳ期临床试验、生物等效试验、医学科学服务、研发立项咨询服务、数据管理及统计服务、第三方检测（生物样本分析、包材相容性、基毒杂质分析）等药品研发一站式、全流程服务，是提供一体化解决方案的综合性</w:t>
            </w:r>
            <w:r>
              <w:rPr>
                <w:rFonts w:hint="default" w:ascii="Times New Roman" w:hAnsi="Times New Roman" w:cs="Times New Roman"/>
                <w:sz w:val="24"/>
                <w:szCs w:val="24"/>
                <w:highlight w:val="none"/>
              </w:rPr>
              <w:t>CRO</w:t>
            </w:r>
            <w:r>
              <w:rPr>
                <w:rFonts w:hint="eastAsia"/>
                <w:sz w:val="24"/>
                <w:szCs w:val="24"/>
                <w:highlight w:val="none"/>
              </w:rPr>
              <w:t>公司。感谢您的关注！</w:t>
            </w:r>
          </w:p>
          <w:p w14:paraId="44F64AE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rPr>
            </w:pPr>
            <w:r>
              <w:rPr>
                <w:rFonts w:hint="eastAsia" w:ascii="Times New Roman" w:hAnsi="Times New Roman" w:cs="Times New Roman"/>
                <w:b/>
                <w:bCs/>
                <w:sz w:val="24"/>
                <w:szCs w:val="24"/>
                <w:highlight w:val="none"/>
                <w:lang w:val="en-US" w:eastAsia="zh-CN"/>
              </w:rPr>
              <w:t>11.</w:t>
            </w:r>
            <w:r>
              <w:rPr>
                <w:rFonts w:hint="eastAsia"/>
                <w:b/>
                <w:bCs/>
                <w:sz w:val="24"/>
                <w:szCs w:val="24"/>
                <w:highlight w:val="none"/>
              </w:rPr>
              <w:t>请问公司股价表现与基本面是否匹配？未来如何提升市值？</w:t>
            </w:r>
          </w:p>
          <w:p w14:paraId="1A959D6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回复：</w:t>
            </w:r>
          </w:p>
          <w:p w14:paraId="4D9640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尊敬的投资者，您好！公司股价受国际形势、宏观经济、行业周期、市场情绪等多种因素影响，当然也与公司业绩相关，短期波动具有不确定性。请广大投资者注意投资风险。</w:t>
            </w:r>
          </w:p>
          <w:p w14:paraId="651BC8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eastAsia"/>
                <w:sz w:val="24"/>
                <w:szCs w:val="24"/>
                <w:highlight w:val="none"/>
              </w:rPr>
              <w:t>公司始终秉持以提升内在价值为核心的理念，持续通过以下方向维护全体股东权益：</w:t>
            </w:r>
          </w:p>
          <w:p w14:paraId="0364BD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default" w:ascii="Times New Roman" w:hAnsi="Times New Roman" w:cs="Times New Roman"/>
                <w:sz w:val="24"/>
                <w:szCs w:val="24"/>
                <w:highlight w:val="none"/>
              </w:rPr>
              <w:t>1</w:t>
            </w:r>
            <w:r>
              <w:rPr>
                <w:rFonts w:hint="eastAsia"/>
                <w:sz w:val="24"/>
                <w:szCs w:val="24"/>
                <w:highlight w:val="none"/>
              </w:rPr>
              <w:t>.经营质量强化：聚焦主业核心竞争力，优化资源配置，推动技术创新与市场拓展协同发展；</w:t>
            </w:r>
          </w:p>
          <w:p w14:paraId="34E34E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default" w:ascii="Times New Roman" w:hAnsi="Times New Roman" w:cs="Times New Roman"/>
                <w:sz w:val="24"/>
                <w:szCs w:val="24"/>
                <w:highlight w:val="none"/>
              </w:rPr>
              <w:t>2</w:t>
            </w:r>
            <w:r>
              <w:rPr>
                <w:rFonts w:hint="eastAsia"/>
                <w:sz w:val="24"/>
                <w:szCs w:val="24"/>
                <w:highlight w:val="none"/>
              </w:rPr>
              <w:t>.投资者沟通深化：通过定期交流、业绩说明会等多渠道传递公司战略进展，做好投资者关系管理，增强市场认同；</w:t>
            </w:r>
          </w:p>
          <w:p w14:paraId="316001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default" w:ascii="Times New Roman" w:hAnsi="Times New Roman" w:cs="Times New Roman"/>
                <w:sz w:val="24"/>
                <w:szCs w:val="24"/>
                <w:highlight w:val="none"/>
              </w:rPr>
              <w:t>3</w:t>
            </w:r>
            <w:r>
              <w:rPr>
                <w:rFonts w:hint="eastAsia"/>
                <w:sz w:val="24"/>
                <w:szCs w:val="24"/>
                <w:highlight w:val="none"/>
              </w:rPr>
              <w:t>.激励机制优化：通过股权激励计划，结合长期发展目标，推动管理层与股东利益协同，保障战略执行力；</w:t>
            </w:r>
          </w:p>
          <w:p w14:paraId="063069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highlight w:val="none"/>
              </w:rPr>
            </w:pPr>
            <w:r>
              <w:rPr>
                <w:rFonts w:hint="default" w:ascii="Times New Roman" w:hAnsi="Times New Roman" w:cs="Times New Roman"/>
                <w:sz w:val="24"/>
                <w:szCs w:val="24"/>
                <w:highlight w:val="none"/>
              </w:rPr>
              <w:t>4</w:t>
            </w:r>
            <w:r>
              <w:rPr>
                <w:rFonts w:hint="eastAsia"/>
                <w:sz w:val="24"/>
                <w:szCs w:val="24"/>
                <w:highlight w:val="none"/>
              </w:rPr>
              <w:t>.信披投关规范化：严格遵守信息披露要求，提升透明度，为投资者决策提供依据。</w:t>
            </w:r>
          </w:p>
          <w:p w14:paraId="661D08C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s="Times New Roman"/>
                <w:bCs/>
                <w:iCs/>
                <w:sz w:val="24"/>
                <w:szCs w:val="24"/>
                <w:highlight w:val="none"/>
                <w:lang w:val="en-US" w:eastAsia="zh-CN"/>
              </w:rPr>
            </w:pPr>
            <w:r>
              <w:rPr>
                <w:rFonts w:hint="eastAsia"/>
                <w:sz w:val="24"/>
                <w:szCs w:val="24"/>
                <w:highlight w:val="none"/>
              </w:rPr>
              <w:t>公司将持续通过稳健经营夯实价值基础，提高经营效率、盈利能力和市场竞争力，努力提升公司内在价值，实现高质量发展，促进公司市值稳步提升，提高股东回报水平。感谢您的关注！</w:t>
            </w:r>
          </w:p>
        </w:tc>
      </w:tr>
      <w:tr w14:paraId="1005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586" w:type="dxa"/>
            <w:noWrap w:val="0"/>
            <w:vAlign w:val="center"/>
          </w:tcPr>
          <w:p w14:paraId="43CBB9DF">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附件清单</w:t>
            </w:r>
          </w:p>
        </w:tc>
        <w:tc>
          <w:tcPr>
            <w:tcW w:w="6936" w:type="dxa"/>
            <w:noWrap w:val="0"/>
            <w:vAlign w:val="center"/>
          </w:tcPr>
          <w:p w14:paraId="7F4C3FE8">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bCs/>
                <w:iCs/>
                <w:sz w:val="24"/>
                <w:szCs w:val="24"/>
                <w:highlight w:val="none"/>
              </w:rPr>
              <w:t>无</w:t>
            </w:r>
          </w:p>
        </w:tc>
      </w:tr>
      <w:tr w14:paraId="3BB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102D485F">
            <w:pPr>
              <w:spacing w:line="360" w:lineRule="auto"/>
              <w:jc w:val="cente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日期</w:t>
            </w:r>
          </w:p>
        </w:tc>
        <w:tc>
          <w:tcPr>
            <w:tcW w:w="6936" w:type="dxa"/>
            <w:noWrap w:val="0"/>
            <w:vAlign w:val="top"/>
          </w:tcPr>
          <w:p w14:paraId="4E7AC483">
            <w:pPr>
              <w:spacing w:line="360" w:lineRule="auto"/>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202</w:t>
            </w:r>
            <w:r>
              <w:rPr>
                <w:rFonts w:hint="eastAsia" w:cs="Times New Roman"/>
                <w:bCs/>
                <w:iCs/>
                <w:sz w:val="24"/>
                <w:szCs w:val="24"/>
                <w:highlight w:val="none"/>
                <w:lang w:val="en-US" w:eastAsia="zh-CN"/>
              </w:rPr>
              <w:t>6</w:t>
            </w:r>
            <w:r>
              <w:rPr>
                <w:rFonts w:hint="default" w:ascii="Times New Roman" w:hAnsi="Times New Roman" w:eastAsia="宋体" w:cs="Times New Roman"/>
                <w:bCs/>
                <w:iCs/>
                <w:sz w:val="24"/>
                <w:szCs w:val="24"/>
                <w:highlight w:val="none"/>
              </w:rPr>
              <w:t>年</w:t>
            </w:r>
            <w:r>
              <w:rPr>
                <w:rFonts w:hint="eastAsia" w:cs="Times New Roman"/>
                <w:bCs/>
                <w:iCs/>
                <w:sz w:val="24"/>
                <w:szCs w:val="24"/>
                <w:highlight w:val="none"/>
                <w:lang w:val="en-US" w:eastAsia="zh-CN"/>
              </w:rPr>
              <w:t>5</w:t>
            </w:r>
            <w:r>
              <w:rPr>
                <w:rFonts w:hint="default" w:ascii="Times New Roman" w:hAnsi="Times New Roman" w:eastAsia="宋体" w:cs="Times New Roman"/>
                <w:bCs/>
                <w:iCs/>
                <w:sz w:val="24"/>
                <w:szCs w:val="24"/>
                <w:highlight w:val="none"/>
              </w:rPr>
              <w:t>月</w:t>
            </w:r>
            <w:r>
              <w:rPr>
                <w:rFonts w:hint="eastAsia" w:cs="Times New Roman"/>
                <w:bCs/>
                <w:iCs/>
                <w:sz w:val="24"/>
                <w:szCs w:val="24"/>
                <w:highlight w:val="none"/>
                <w:lang w:val="en-US" w:eastAsia="zh-CN"/>
              </w:rPr>
              <w:t>12</w:t>
            </w:r>
            <w:r>
              <w:rPr>
                <w:rFonts w:hint="default" w:ascii="Times New Roman" w:hAnsi="Times New Roman" w:eastAsia="宋体" w:cs="Times New Roman"/>
                <w:bCs/>
                <w:iCs/>
                <w:sz w:val="24"/>
                <w:szCs w:val="24"/>
                <w:highlight w:val="none"/>
              </w:rPr>
              <w:t>日</w:t>
            </w:r>
          </w:p>
        </w:tc>
      </w:tr>
    </w:tbl>
    <w:p w14:paraId="1A0FA206">
      <w:pPr>
        <w:spacing w:line="360" w:lineRule="auto"/>
        <w:rPr>
          <w:rFonts w:hint="default" w:ascii="Times New Roman" w:hAnsi="Times New Roman" w:eastAsia="宋体" w:cs="Times New Roman"/>
          <w:sz w:val="24"/>
          <w:szCs w:val="24"/>
        </w:rPr>
      </w:pPr>
    </w:p>
    <w:p w14:paraId="1B3307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1" w:fontKey="{3AAEF6EF-B96A-4B0C-9970-2CFE37088C3A}"/>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0B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9F1B">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D29F1B">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37E6">
    <w:pPr>
      <w:pStyle w:val="5"/>
      <w:pBdr>
        <w:bottom w:val="single" w:color="auto" w:sz="4" w:space="1"/>
      </w:pBdr>
      <w:bidi w:val="0"/>
      <w:jc w:val="right"/>
    </w:pPr>
    <w:r>
      <w:rPr>
        <w:rFonts w:hint="default" w:ascii="Times New Roman" w:hAnsi="Times New Roman" w:eastAsia="仿宋_GB2312" w:cs="Times New Roman"/>
        <w:color w:val="auto"/>
        <w:sz w:val="32"/>
        <w:szCs w:val="32"/>
        <w:lang w:val="en-US" w:eastAsia="zh-CN"/>
      </w:rPr>
      <w:drawing>
        <wp:inline distT="0" distB="0" distL="114300" distR="114300">
          <wp:extent cx="216535" cy="211455"/>
          <wp:effectExtent l="0" t="0" r="12065" b="17145"/>
          <wp:docPr id="2" name="图片 1" descr="logo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红色"/>
                  <pic:cNvPicPr>
                    <a:picLocks noChangeAspect="1"/>
                  </pic:cNvPicPr>
                </pic:nvPicPr>
                <pic:blipFill>
                  <a:blip r:embed="rId1"/>
                  <a:stretch>
                    <a:fillRect/>
                  </a:stretch>
                </pic:blipFill>
                <pic:spPr>
                  <a:xfrm>
                    <a:off x="0" y="0"/>
                    <a:ext cx="216535" cy="211455"/>
                  </a:xfrm>
                  <a:prstGeom prst="rect">
                    <a:avLst/>
                  </a:prstGeom>
                  <a:noFill/>
                  <a:ln>
                    <a:noFill/>
                  </a:ln>
                </pic:spPr>
              </pic:pic>
            </a:graphicData>
          </a:graphic>
        </wp:inline>
      </w:drawing>
    </w:r>
    <w:r>
      <w:rPr>
        <w:rFonts w:hint="eastAsia" w:cs="Times New Roman"/>
        <w:lang w:val="en-US" w:eastAsia="zh-CN"/>
      </w:rPr>
      <w:t xml:space="preserve">                                                          </w:t>
    </w:r>
    <w:r>
      <w:rPr>
        <w:rFonts w:hint="eastAsia" w:ascii="宋体" w:hAnsi="宋体" w:eastAsia="宋体" w:cs="宋体"/>
        <w:b w:val="0"/>
        <w:bCs/>
        <w:color w:val="auto"/>
        <w:sz w:val="18"/>
        <w:szCs w:val="18"/>
        <w:u w:val="none"/>
      </w:rPr>
      <w:t>新疆百花村</w:t>
    </w:r>
    <w:r>
      <w:rPr>
        <w:rFonts w:hint="eastAsia" w:ascii="宋体" w:hAnsi="宋体" w:cs="宋体"/>
        <w:b w:val="0"/>
        <w:bCs/>
        <w:color w:val="auto"/>
        <w:sz w:val="18"/>
        <w:szCs w:val="18"/>
        <w:u w:val="none"/>
        <w:lang w:val="en-US" w:eastAsia="zh-CN"/>
      </w:rPr>
      <w:t>医药集团</w:t>
    </w:r>
    <w:r>
      <w:rPr>
        <w:rFonts w:hint="eastAsia" w:ascii="宋体" w:hAnsi="宋体" w:eastAsia="宋体" w:cs="宋体"/>
        <w:b w:val="0"/>
        <w:bCs/>
        <w:color w:val="auto"/>
        <w:sz w:val="18"/>
        <w:szCs w:val="18"/>
        <w:u w:val="none"/>
      </w:rPr>
      <w:t>股份有限公司</w:t>
    </w:r>
  </w:p>
  <w:p w14:paraId="0719A0B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D7464"/>
    <w:rsid w:val="00506104"/>
    <w:rsid w:val="00897E16"/>
    <w:rsid w:val="009C74B5"/>
    <w:rsid w:val="00B63C2E"/>
    <w:rsid w:val="00FC03D7"/>
    <w:rsid w:val="010429A7"/>
    <w:rsid w:val="01892CF4"/>
    <w:rsid w:val="018C3621"/>
    <w:rsid w:val="01A10113"/>
    <w:rsid w:val="01A544B3"/>
    <w:rsid w:val="021E6AB0"/>
    <w:rsid w:val="026F5793"/>
    <w:rsid w:val="028B4A56"/>
    <w:rsid w:val="02DE5672"/>
    <w:rsid w:val="0307545A"/>
    <w:rsid w:val="03257161"/>
    <w:rsid w:val="032972FD"/>
    <w:rsid w:val="03437887"/>
    <w:rsid w:val="035C01A6"/>
    <w:rsid w:val="03891999"/>
    <w:rsid w:val="038D2024"/>
    <w:rsid w:val="03D004E6"/>
    <w:rsid w:val="03D75C27"/>
    <w:rsid w:val="04056D0D"/>
    <w:rsid w:val="044076A0"/>
    <w:rsid w:val="044869FD"/>
    <w:rsid w:val="04B1195E"/>
    <w:rsid w:val="04E17FCC"/>
    <w:rsid w:val="04E245DE"/>
    <w:rsid w:val="04EC6B6F"/>
    <w:rsid w:val="055808A9"/>
    <w:rsid w:val="055D2A56"/>
    <w:rsid w:val="05A45437"/>
    <w:rsid w:val="05CF2484"/>
    <w:rsid w:val="0600615C"/>
    <w:rsid w:val="06231B66"/>
    <w:rsid w:val="068D36B6"/>
    <w:rsid w:val="06952D48"/>
    <w:rsid w:val="06960B31"/>
    <w:rsid w:val="06A42F8B"/>
    <w:rsid w:val="06B2423F"/>
    <w:rsid w:val="06D02119"/>
    <w:rsid w:val="07497ABD"/>
    <w:rsid w:val="07511DC1"/>
    <w:rsid w:val="07892641"/>
    <w:rsid w:val="07AA4342"/>
    <w:rsid w:val="07B15919"/>
    <w:rsid w:val="07B37C0F"/>
    <w:rsid w:val="07CC7845"/>
    <w:rsid w:val="080C4411"/>
    <w:rsid w:val="081A2901"/>
    <w:rsid w:val="08B03E69"/>
    <w:rsid w:val="090931E5"/>
    <w:rsid w:val="090D6158"/>
    <w:rsid w:val="092A29A4"/>
    <w:rsid w:val="097C480D"/>
    <w:rsid w:val="09BD27E8"/>
    <w:rsid w:val="09D93356"/>
    <w:rsid w:val="0A005F8A"/>
    <w:rsid w:val="0A07030D"/>
    <w:rsid w:val="0A5429B1"/>
    <w:rsid w:val="0A8217C1"/>
    <w:rsid w:val="0AC71FA7"/>
    <w:rsid w:val="0AFD3A59"/>
    <w:rsid w:val="0B077127"/>
    <w:rsid w:val="0B6E2FF5"/>
    <w:rsid w:val="0B8F461C"/>
    <w:rsid w:val="0B9A260C"/>
    <w:rsid w:val="0BAF26FF"/>
    <w:rsid w:val="0BCC448F"/>
    <w:rsid w:val="0C067526"/>
    <w:rsid w:val="0C0C1E6F"/>
    <w:rsid w:val="0C315F6F"/>
    <w:rsid w:val="0C33514E"/>
    <w:rsid w:val="0C340F06"/>
    <w:rsid w:val="0C432822"/>
    <w:rsid w:val="0C717078"/>
    <w:rsid w:val="0C7C69BA"/>
    <w:rsid w:val="0C8B24F5"/>
    <w:rsid w:val="0C984983"/>
    <w:rsid w:val="0CA143A1"/>
    <w:rsid w:val="0CA766A6"/>
    <w:rsid w:val="0CB25C3C"/>
    <w:rsid w:val="0D521020"/>
    <w:rsid w:val="0D5466E6"/>
    <w:rsid w:val="0D851843"/>
    <w:rsid w:val="0DC83A03"/>
    <w:rsid w:val="0DCD7FF5"/>
    <w:rsid w:val="0DDF4847"/>
    <w:rsid w:val="0DE12DD9"/>
    <w:rsid w:val="0DE21ABC"/>
    <w:rsid w:val="0E113AD9"/>
    <w:rsid w:val="0E385E12"/>
    <w:rsid w:val="0E467CD3"/>
    <w:rsid w:val="0E8915D2"/>
    <w:rsid w:val="0EE27010"/>
    <w:rsid w:val="0F463EA9"/>
    <w:rsid w:val="0FAC2EB1"/>
    <w:rsid w:val="0FF803BB"/>
    <w:rsid w:val="100246C5"/>
    <w:rsid w:val="10611EED"/>
    <w:rsid w:val="10B24930"/>
    <w:rsid w:val="10C206B2"/>
    <w:rsid w:val="10C377BD"/>
    <w:rsid w:val="10CB7C3A"/>
    <w:rsid w:val="10D31194"/>
    <w:rsid w:val="10D42145"/>
    <w:rsid w:val="110C6172"/>
    <w:rsid w:val="11151634"/>
    <w:rsid w:val="111E22F2"/>
    <w:rsid w:val="11624C70"/>
    <w:rsid w:val="11743DED"/>
    <w:rsid w:val="11A01AA4"/>
    <w:rsid w:val="11F85B20"/>
    <w:rsid w:val="12575E82"/>
    <w:rsid w:val="125F128D"/>
    <w:rsid w:val="127C6D87"/>
    <w:rsid w:val="129D0B8E"/>
    <w:rsid w:val="129D764E"/>
    <w:rsid w:val="12B859F8"/>
    <w:rsid w:val="12DB3970"/>
    <w:rsid w:val="12E00C0E"/>
    <w:rsid w:val="12EC43AB"/>
    <w:rsid w:val="138135E8"/>
    <w:rsid w:val="138F6753"/>
    <w:rsid w:val="13AE0D22"/>
    <w:rsid w:val="13C83086"/>
    <w:rsid w:val="13D0774E"/>
    <w:rsid w:val="13D22969"/>
    <w:rsid w:val="13E52836"/>
    <w:rsid w:val="13E93D6D"/>
    <w:rsid w:val="13E970D4"/>
    <w:rsid w:val="13FA243C"/>
    <w:rsid w:val="14166F38"/>
    <w:rsid w:val="14C04990"/>
    <w:rsid w:val="14C13624"/>
    <w:rsid w:val="14EB00B6"/>
    <w:rsid w:val="15015A4D"/>
    <w:rsid w:val="15024352"/>
    <w:rsid w:val="1523024B"/>
    <w:rsid w:val="154721BF"/>
    <w:rsid w:val="15854A67"/>
    <w:rsid w:val="15B77F94"/>
    <w:rsid w:val="15BD4753"/>
    <w:rsid w:val="163C7F21"/>
    <w:rsid w:val="16804FAB"/>
    <w:rsid w:val="16815CC6"/>
    <w:rsid w:val="16A14A70"/>
    <w:rsid w:val="16A34CBE"/>
    <w:rsid w:val="16B87815"/>
    <w:rsid w:val="16D3346D"/>
    <w:rsid w:val="16D51F82"/>
    <w:rsid w:val="16EA163D"/>
    <w:rsid w:val="16F319AF"/>
    <w:rsid w:val="1709084A"/>
    <w:rsid w:val="172528D4"/>
    <w:rsid w:val="179660C6"/>
    <w:rsid w:val="179C4267"/>
    <w:rsid w:val="17E17D52"/>
    <w:rsid w:val="193C0C8F"/>
    <w:rsid w:val="193E5105"/>
    <w:rsid w:val="1963359E"/>
    <w:rsid w:val="19695D30"/>
    <w:rsid w:val="196C4D2D"/>
    <w:rsid w:val="19834163"/>
    <w:rsid w:val="19B83875"/>
    <w:rsid w:val="1A1B58AF"/>
    <w:rsid w:val="1A2B41C5"/>
    <w:rsid w:val="1A2D0DF8"/>
    <w:rsid w:val="1AAB3F5F"/>
    <w:rsid w:val="1ACE25DA"/>
    <w:rsid w:val="1B0854F0"/>
    <w:rsid w:val="1B2A1DFD"/>
    <w:rsid w:val="1B515551"/>
    <w:rsid w:val="1B5D242A"/>
    <w:rsid w:val="1B5D48C9"/>
    <w:rsid w:val="1B7142B4"/>
    <w:rsid w:val="1B812531"/>
    <w:rsid w:val="1B895B8A"/>
    <w:rsid w:val="1B8E43F2"/>
    <w:rsid w:val="1BAF2CA8"/>
    <w:rsid w:val="1C221A33"/>
    <w:rsid w:val="1C2E4583"/>
    <w:rsid w:val="1C553DDE"/>
    <w:rsid w:val="1C617201"/>
    <w:rsid w:val="1C973EAE"/>
    <w:rsid w:val="1CC641FD"/>
    <w:rsid w:val="1D0F4833"/>
    <w:rsid w:val="1D203355"/>
    <w:rsid w:val="1D84663F"/>
    <w:rsid w:val="1DA90F57"/>
    <w:rsid w:val="1E043001"/>
    <w:rsid w:val="1E2612FC"/>
    <w:rsid w:val="1E711A69"/>
    <w:rsid w:val="1E755815"/>
    <w:rsid w:val="1E8C692F"/>
    <w:rsid w:val="1EBF7A13"/>
    <w:rsid w:val="1EF65831"/>
    <w:rsid w:val="1F107F48"/>
    <w:rsid w:val="1F286556"/>
    <w:rsid w:val="1F337319"/>
    <w:rsid w:val="1FE521F3"/>
    <w:rsid w:val="1FF50A4B"/>
    <w:rsid w:val="20510C2F"/>
    <w:rsid w:val="207B358D"/>
    <w:rsid w:val="2094551C"/>
    <w:rsid w:val="20B776BC"/>
    <w:rsid w:val="20D10316"/>
    <w:rsid w:val="212D2DD3"/>
    <w:rsid w:val="21584213"/>
    <w:rsid w:val="21C601D0"/>
    <w:rsid w:val="21E61CD9"/>
    <w:rsid w:val="221A2772"/>
    <w:rsid w:val="221E1BE5"/>
    <w:rsid w:val="223E6B4C"/>
    <w:rsid w:val="22607E98"/>
    <w:rsid w:val="22936DCB"/>
    <w:rsid w:val="2299246B"/>
    <w:rsid w:val="22B42350"/>
    <w:rsid w:val="22D14FCF"/>
    <w:rsid w:val="22D501DC"/>
    <w:rsid w:val="22EB6668"/>
    <w:rsid w:val="23146FEE"/>
    <w:rsid w:val="23477DA8"/>
    <w:rsid w:val="23532A94"/>
    <w:rsid w:val="23586437"/>
    <w:rsid w:val="23620D7B"/>
    <w:rsid w:val="23A35312"/>
    <w:rsid w:val="23A94436"/>
    <w:rsid w:val="23C250E5"/>
    <w:rsid w:val="23C3537E"/>
    <w:rsid w:val="23CD4BF7"/>
    <w:rsid w:val="23DD47B5"/>
    <w:rsid w:val="23F03618"/>
    <w:rsid w:val="243E17A9"/>
    <w:rsid w:val="2498785D"/>
    <w:rsid w:val="24A34C74"/>
    <w:rsid w:val="24B00954"/>
    <w:rsid w:val="24D26E85"/>
    <w:rsid w:val="24E21322"/>
    <w:rsid w:val="24F17C55"/>
    <w:rsid w:val="24FB3AA4"/>
    <w:rsid w:val="25074062"/>
    <w:rsid w:val="25332580"/>
    <w:rsid w:val="256E0FAE"/>
    <w:rsid w:val="25A13E47"/>
    <w:rsid w:val="25B20DC9"/>
    <w:rsid w:val="25E2056A"/>
    <w:rsid w:val="25E371D4"/>
    <w:rsid w:val="25FC5548"/>
    <w:rsid w:val="26310A1C"/>
    <w:rsid w:val="266716FB"/>
    <w:rsid w:val="26C8771E"/>
    <w:rsid w:val="26E02C11"/>
    <w:rsid w:val="26FE32A9"/>
    <w:rsid w:val="27001403"/>
    <w:rsid w:val="272A0AD1"/>
    <w:rsid w:val="27720211"/>
    <w:rsid w:val="278B2BF6"/>
    <w:rsid w:val="27C60B22"/>
    <w:rsid w:val="27E418FD"/>
    <w:rsid w:val="27F9457F"/>
    <w:rsid w:val="28685BC0"/>
    <w:rsid w:val="28A40EB6"/>
    <w:rsid w:val="29180BFE"/>
    <w:rsid w:val="29211DC2"/>
    <w:rsid w:val="29A60136"/>
    <w:rsid w:val="29B92F22"/>
    <w:rsid w:val="29BD4F9A"/>
    <w:rsid w:val="29F35C96"/>
    <w:rsid w:val="2A005684"/>
    <w:rsid w:val="2A1C2CB5"/>
    <w:rsid w:val="2A244627"/>
    <w:rsid w:val="2A38731D"/>
    <w:rsid w:val="2A62304B"/>
    <w:rsid w:val="2A7B534F"/>
    <w:rsid w:val="2AB261EE"/>
    <w:rsid w:val="2ACB6A74"/>
    <w:rsid w:val="2AD655AC"/>
    <w:rsid w:val="2AEF57CE"/>
    <w:rsid w:val="2AF2292D"/>
    <w:rsid w:val="2B1C24C2"/>
    <w:rsid w:val="2B466184"/>
    <w:rsid w:val="2B4A732F"/>
    <w:rsid w:val="2B4F4B0D"/>
    <w:rsid w:val="2BA2233D"/>
    <w:rsid w:val="2BB10D22"/>
    <w:rsid w:val="2BE82412"/>
    <w:rsid w:val="2BF36577"/>
    <w:rsid w:val="2C00245D"/>
    <w:rsid w:val="2C524F02"/>
    <w:rsid w:val="2C8D0319"/>
    <w:rsid w:val="2C8F6837"/>
    <w:rsid w:val="2CD801DF"/>
    <w:rsid w:val="2D016B47"/>
    <w:rsid w:val="2D0C7715"/>
    <w:rsid w:val="2D225666"/>
    <w:rsid w:val="2D313917"/>
    <w:rsid w:val="2D5445D3"/>
    <w:rsid w:val="2D6B4E1B"/>
    <w:rsid w:val="2DDB4C35"/>
    <w:rsid w:val="2DDE31E3"/>
    <w:rsid w:val="2E4059DB"/>
    <w:rsid w:val="2E917680"/>
    <w:rsid w:val="2EB5794E"/>
    <w:rsid w:val="2EB87441"/>
    <w:rsid w:val="2EDD3FB8"/>
    <w:rsid w:val="2F2F6658"/>
    <w:rsid w:val="2F5070E5"/>
    <w:rsid w:val="2F6465E5"/>
    <w:rsid w:val="2F6E17EB"/>
    <w:rsid w:val="2FB77DF2"/>
    <w:rsid w:val="2FDA2100"/>
    <w:rsid w:val="2FE457B4"/>
    <w:rsid w:val="2FEC3129"/>
    <w:rsid w:val="300865EC"/>
    <w:rsid w:val="30167933"/>
    <w:rsid w:val="30555092"/>
    <w:rsid w:val="307C2685"/>
    <w:rsid w:val="3085180D"/>
    <w:rsid w:val="30A30327"/>
    <w:rsid w:val="30C42D84"/>
    <w:rsid w:val="30DD0797"/>
    <w:rsid w:val="316D6FD4"/>
    <w:rsid w:val="31C74323"/>
    <w:rsid w:val="31CB211A"/>
    <w:rsid w:val="31CF3093"/>
    <w:rsid w:val="31DB0C55"/>
    <w:rsid w:val="31ED21AF"/>
    <w:rsid w:val="32454D73"/>
    <w:rsid w:val="3256431C"/>
    <w:rsid w:val="3274181A"/>
    <w:rsid w:val="32BA2097"/>
    <w:rsid w:val="32BF4B6B"/>
    <w:rsid w:val="32FC18D5"/>
    <w:rsid w:val="33905E8E"/>
    <w:rsid w:val="339904F6"/>
    <w:rsid w:val="33C00B55"/>
    <w:rsid w:val="342C4C4B"/>
    <w:rsid w:val="344730DF"/>
    <w:rsid w:val="345D2097"/>
    <w:rsid w:val="34BF0E0C"/>
    <w:rsid w:val="350A37E2"/>
    <w:rsid w:val="351E691A"/>
    <w:rsid w:val="35354074"/>
    <w:rsid w:val="35627676"/>
    <w:rsid w:val="357A2F85"/>
    <w:rsid w:val="358B478F"/>
    <w:rsid w:val="35A324DC"/>
    <w:rsid w:val="363D3C0F"/>
    <w:rsid w:val="36744CBE"/>
    <w:rsid w:val="369A2CC0"/>
    <w:rsid w:val="36AA7811"/>
    <w:rsid w:val="36CA345B"/>
    <w:rsid w:val="36E7057C"/>
    <w:rsid w:val="3714485B"/>
    <w:rsid w:val="373D03C0"/>
    <w:rsid w:val="379F00EF"/>
    <w:rsid w:val="379F7782"/>
    <w:rsid w:val="37AD3828"/>
    <w:rsid w:val="37B8469A"/>
    <w:rsid w:val="37F03DB4"/>
    <w:rsid w:val="37FA7B10"/>
    <w:rsid w:val="380F1AB3"/>
    <w:rsid w:val="385F4867"/>
    <w:rsid w:val="386B5EB9"/>
    <w:rsid w:val="38712EBC"/>
    <w:rsid w:val="38920CAE"/>
    <w:rsid w:val="38931BC4"/>
    <w:rsid w:val="38B30C88"/>
    <w:rsid w:val="38CE0B95"/>
    <w:rsid w:val="394B3276"/>
    <w:rsid w:val="39534A5B"/>
    <w:rsid w:val="399B00AA"/>
    <w:rsid w:val="39B3660A"/>
    <w:rsid w:val="39BB4D97"/>
    <w:rsid w:val="39C02A48"/>
    <w:rsid w:val="39D31C98"/>
    <w:rsid w:val="3A016EFE"/>
    <w:rsid w:val="3A0F7671"/>
    <w:rsid w:val="3A4A517C"/>
    <w:rsid w:val="3ACC4E36"/>
    <w:rsid w:val="3B041C0D"/>
    <w:rsid w:val="3B3A4D42"/>
    <w:rsid w:val="3BD54596"/>
    <w:rsid w:val="3C065F12"/>
    <w:rsid w:val="3C0F02F1"/>
    <w:rsid w:val="3C2E3F29"/>
    <w:rsid w:val="3C361751"/>
    <w:rsid w:val="3C99256F"/>
    <w:rsid w:val="3CB50A2A"/>
    <w:rsid w:val="3CE92936"/>
    <w:rsid w:val="3CF05723"/>
    <w:rsid w:val="3D380C9C"/>
    <w:rsid w:val="3D3D0307"/>
    <w:rsid w:val="3D42082D"/>
    <w:rsid w:val="3E12279D"/>
    <w:rsid w:val="3E8B6180"/>
    <w:rsid w:val="3EAC692F"/>
    <w:rsid w:val="3ED867FB"/>
    <w:rsid w:val="3F7422AE"/>
    <w:rsid w:val="3FB91002"/>
    <w:rsid w:val="3FE873BE"/>
    <w:rsid w:val="40016A68"/>
    <w:rsid w:val="40077B0C"/>
    <w:rsid w:val="404E675A"/>
    <w:rsid w:val="407213B5"/>
    <w:rsid w:val="407B5C51"/>
    <w:rsid w:val="40997919"/>
    <w:rsid w:val="40E346F6"/>
    <w:rsid w:val="40ED7D48"/>
    <w:rsid w:val="413E786C"/>
    <w:rsid w:val="41461E94"/>
    <w:rsid w:val="4150406D"/>
    <w:rsid w:val="416646EF"/>
    <w:rsid w:val="418A62C2"/>
    <w:rsid w:val="41A25477"/>
    <w:rsid w:val="41C97C9B"/>
    <w:rsid w:val="421152FE"/>
    <w:rsid w:val="42604331"/>
    <w:rsid w:val="426B135C"/>
    <w:rsid w:val="427D5368"/>
    <w:rsid w:val="42837DD9"/>
    <w:rsid w:val="431231B2"/>
    <w:rsid w:val="43186BC5"/>
    <w:rsid w:val="431C3572"/>
    <w:rsid w:val="431F14DB"/>
    <w:rsid w:val="4328249D"/>
    <w:rsid w:val="433861A6"/>
    <w:rsid w:val="44024314"/>
    <w:rsid w:val="44087AD1"/>
    <w:rsid w:val="44273277"/>
    <w:rsid w:val="444367EA"/>
    <w:rsid w:val="44481EFC"/>
    <w:rsid w:val="449E714D"/>
    <w:rsid w:val="45154948"/>
    <w:rsid w:val="451E6575"/>
    <w:rsid w:val="45284491"/>
    <w:rsid w:val="452C6585"/>
    <w:rsid w:val="45313519"/>
    <w:rsid w:val="457547C3"/>
    <w:rsid w:val="45DA1390"/>
    <w:rsid w:val="45DD4A42"/>
    <w:rsid w:val="45ED40D1"/>
    <w:rsid w:val="45EF2A03"/>
    <w:rsid w:val="46046F6D"/>
    <w:rsid w:val="462B64C7"/>
    <w:rsid w:val="463F4CDD"/>
    <w:rsid w:val="46885543"/>
    <w:rsid w:val="469B5799"/>
    <w:rsid w:val="46B130B0"/>
    <w:rsid w:val="478222FD"/>
    <w:rsid w:val="47947FC0"/>
    <w:rsid w:val="47AF69A5"/>
    <w:rsid w:val="47B866E0"/>
    <w:rsid w:val="47ED39A9"/>
    <w:rsid w:val="481D286F"/>
    <w:rsid w:val="485F180E"/>
    <w:rsid w:val="487B330B"/>
    <w:rsid w:val="488C25B4"/>
    <w:rsid w:val="489D6237"/>
    <w:rsid w:val="48A033BE"/>
    <w:rsid w:val="48E76F21"/>
    <w:rsid w:val="49297A77"/>
    <w:rsid w:val="493E7809"/>
    <w:rsid w:val="49982BB3"/>
    <w:rsid w:val="49C57DAC"/>
    <w:rsid w:val="49CF7D1F"/>
    <w:rsid w:val="49FE37E5"/>
    <w:rsid w:val="4A8F5892"/>
    <w:rsid w:val="4A9933A5"/>
    <w:rsid w:val="4AA00C1E"/>
    <w:rsid w:val="4AA23644"/>
    <w:rsid w:val="4AA8312D"/>
    <w:rsid w:val="4AAC3226"/>
    <w:rsid w:val="4AC03E05"/>
    <w:rsid w:val="4AC86572"/>
    <w:rsid w:val="4B357D3E"/>
    <w:rsid w:val="4B8B6F82"/>
    <w:rsid w:val="4BFC5630"/>
    <w:rsid w:val="4C37689F"/>
    <w:rsid w:val="4C7C617E"/>
    <w:rsid w:val="4C9C14DA"/>
    <w:rsid w:val="4C9C7A42"/>
    <w:rsid w:val="4CB656D2"/>
    <w:rsid w:val="4CE91585"/>
    <w:rsid w:val="4CEA3760"/>
    <w:rsid w:val="4CF74421"/>
    <w:rsid w:val="4D86307A"/>
    <w:rsid w:val="4D9069E0"/>
    <w:rsid w:val="4E745801"/>
    <w:rsid w:val="4E886B3E"/>
    <w:rsid w:val="4E9C4BAC"/>
    <w:rsid w:val="4EAC64E7"/>
    <w:rsid w:val="4EC743A8"/>
    <w:rsid w:val="4EDD3384"/>
    <w:rsid w:val="4EE85425"/>
    <w:rsid w:val="4EF46C1F"/>
    <w:rsid w:val="4F310701"/>
    <w:rsid w:val="4F3D629B"/>
    <w:rsid w:val="4F7020E3"/>
    <w:rsid w:val="4F837D1F"/>
    <w:rsid w:val="4F8F3B46"/>
    <w:rsid w:val="4FA83269"/>
    <w:rsid w:val="4FD96CE3"/>
    <w:rsid w:val="503E7A82"/>
    <w:rsid w:val="5056597D"/>
    <w:rsid w:val="50726D80"/>
    <w:rsid w:val="50896D94"/>
    <w:rsid w:val="508E1391"/>
    <w:rsid w:val="50EB03C9"/>
    <w:rsid w:val="50F74573"/>
    <w:rsid w:val="51135CD5"/>
    <w:rsid w:val="514F2B09"/>
    <w:rsid w:val="5151568A"/>
    <w:rsid w:val="51637D24"/>
    <w:rsid w:val="516762FA"/>
    <w:rsid w:val="51BA3D7C"/>
    <w:rsid w:val="51C4048D"/>
    <w:rsid w:val="521F1BF4"/>
    <w:rsid w:val="52302314"/>
    <w:rsid w:val="52563BFF"/>
    <w:rsid w:val="52821E00"/>
    <w:rsid w:val="52BE3FBD"/>
    <w:rsid w:val="52E055FF"/>
    <w:rsid w:val="52E1048C"/>
    <w:rsid w:val="53B90259"/>
    <w:rsid w:val="53C81E49"/>
    <w:rsid w:val="53F91977"/>
    <w:rsid w:val="544D3E3B"/>
    <w:rsid w:val="54740644"/>
    <w:rsid w:val="54D526BD"/>
    <w:rsid w:val="558F2985"/>
    <w:rsid w:val="55943243"/>
    <w:rsid w:val="55A53B8A"/>
    <w:rsid w:val="55AB49A6"/>
    <w:rsid w:val="55FC7F2D"/>
    <w:rsid w:val="56177553"/>
    <w:rsid w:val="56202C32"/>
    <w:rsid w:val="567E66AC"/>
    <w:rsid w:val="56803F00"/>
    <w:rsid w:val="5681097A"/>
    <w:rsid w:val="56D408A1"/>
    <w:rsid w:val="56DD4909"/>
    <w:rsid w:val="57163D69"/>
    <w:rsid w:val="5770468E"/>
    <w:rsid w:val="57862C93"/>
    <w:rsid w:val="578B5E77"/>
    <w:rsid w:val="578D0EF3"/>
    <w:rsid w:val="580116A6"/>
    <w:rsid w:val="586262B6"/>
    <w:rsid w:val="587B312A"/>
    <w:rsid w:val="5898359F"/>
    <w:rsid w:val="58C20D9F"/>
    <w:rsid w:val="58D345D7"/>
    <w:rsid w:val="58F76F47"/>
    <w:rsid w:val="59397268"/>
    <w:rsid w:val="59845CCE"/>
    <w:rsid w:val="59A70997"/>
    <w:rsid w:val="5A0A19DA"/>
    <w:rsid w:val="5A265A8A"/>
    <w:rsid w:val="5A40244A"/>
    <w:rsid w:val="5B105540"/>
    <w:rsid w:val="5B127B47"/>
    <w:rsid w:val="5B730B30"/>
    <w:rsid w:val="5BB150F4"/>
    <w:rsid w:val="5BB40BE2"/>
    <w:rsid w:val="5CC12B57"/>
    <w:rsid w:val="5CDD09DE"/>
    <w:rsid w:val="5D156788"/>
    <w:rsid w:val="5D4E36EE"/>
    <w:rsid w:val="5D680886"/>
    <w:rsid w:val="5D805CAA"/>
    <w:rsid w:val="5DC32FF9"/>
    <w:rsid w:val="5DD740AD"/>
    <w:rsid w:val="5DD85634"/>
    <w:rsid w:val="5DE30F6A"/>
    <w:rsid w:val="5DE45CAE"/>
    <w:rsid w:val="5E2C6727"/>
    <w:rsid w:val="5E4C30FB"/>
    <w:rsid w:val="5E800D5D"/>
    <w:rsid w:val="5EBE0463"/>
    <w:rsid w:val="5EC06E0E"/>
    <w:rsid w:val="5EE4753E"/>
    <w:rsid w:val="5F466E34"/>
    <w:rsid w:val="5FC829BC"/>
    <w:rsid w:val="5FE2330B"/>
    <w:rsid w:val="5FEE242C"/>
    <w:rsid w:val="60505EA1"/>
    <w:rsid w:val="605A5478"/>
    <w:rsid w:val="60894B6E"/>
    <w:rsid w:val="60C15655"/>
    <w:rsid w:val="60D15C7D"/>
    <w:rsid w:val="60EB1831"/>
    <w:rsid w:val="60F05620"/>
    <w:rsid w:val="61077B8F"/>
    <w:rsid w:val="611612D5"/>
    <w:rsid w:val="61440DB6"/>
    <w:rsid w:val="615E1504"/>
    <w:rsid w:val="61681C43"/>
    <w:rsid w:val="61A80AF2"/>
    <w:rsid w:val="61D44B3B"/>
    <w:rsid w:val="62092D7D"/>
    <w:rsid w:val="62481251"/>
    <w:rsid w:val="625F0A61"/>
    <w:rsid w:val="62742BE5"/>
    <w:rsid w:val="627B69D5"/>
    <w:rsid w:val="62D97073"/>
    <w:rsid w:val="635A2637"/>
    <w:rsid w:val="636D67A0"/>
    <w:rsid w:val="637B4F97"/>
    <w:rsid w:val="639D51D7"/>
    <w:rsid w:val="640E10A0"/>
    <w:rsid w:val="64155767"/>
    <w:rsid w:val="643248A8"/>
    <w:rsid w:val="648902CC"/>
    <w:rsid w:val="64BB2298"/>
    <w:rsid w:val="64FF5338"/>
    <w:rsid w:val="650C27D3"/>
    <w:rsid w:val="653603C7"/>
    <w:rsid w:val="65610F55"/>
    <w:rsid w:val="65652193"/>
    <w:rsid w:val="65921D4A"/>
    <w:rsid w:val="65D8197C"/>
    <w:rsid w:val="65DF280D"/>
    <w:rsid w:val="660F52D5"/>
    <w:rsid w:val="667D23F9"/>
    <w:rsid w:val="668205DC"/>
    <w:rsid w:val="66926DCD"/>
    <w:rsid w:val="669538E9"/>
    <w:rsid w:val="66A575B3"/>
    <w:rsid w:val="66AC1A2E"/>
    <w:rsid w:val="67331891"/>
    <w:rsid w:val="674A3FFD"/>
    <w:rsid w:val="677D08FC"/>
    <w:rsid w:val="67900A0C"/>
    <w:rsid w:val="67A15114"/>
    <w:rsid w:val="67C91414"/>
    <w:rsid w:val="67CE1353"/>
    <w:rsid w:val="67F43B54"/>
    <w:rsid w:val="681E156E"/>
    <w:rsid w:val="683E6470"/>
    <w:rsid w:val="68453A04"/>
    <w:rsid w:val="68B60502"/>
    <w:rsid w:val="68C9361A"/>
    <w:rsid w:val="68E33B32"/>
    <w:rsid w:val="69063EE7"/>
    <w:rsid w:val="6941263F"/>
    <w:rsid w:val="69B70A15"/>
    <w:rsid w:val="69FC3C7A"/>
    <w:rsid w:val="6A04256F"/>
    <w:rsid w:val="6A4A7866"/>
    <w:rsid w:val="6A507788"/>
    <w:rsid w:val="6A5421F1"/>
    <w:rsid w:val="6A6B32E3"/>
    <w:rsid w:val="6A7F02B5"/>
    <w:rsid w:val="6B2C4E32"/>
    <w:rsid w:val="6B4F5014"/>
    <w:rsid w:val="6B6F6FE4"/>
    <w:rsid w:val="6B9F489E"/>
    <w:rsid w:val="6BF370B5"/>
    <w:rsid w:val="6C894539"/>
    <w:rsid w:val="6CA16A6E"/>
    <w:rsid w:val="6CD62EEA"/>
    <w:rsid w:val="6D0F3965"/>
    <w:rsid w:val="6D757233"/>
    <w:rsid w:val="6DD0368F"/>
    <w:rsid w:val="6DEB21C5"/>
    <w:rsid w:val="6E657A29"/>
    <w:rsid w:val="6E834495"/>
    <w:rsid w:val="6EBA2A00"/>
    <w:rsid w:val="6EED148D"/>
    <w:rsid w:val="6F656D82"/>
    <w:rsid w:val="6FD5032F"/>
    <w:rsid w:val="6FDB5A96"/>
    <w:rsid w:val="6FE23E6C"/>
    <w:rsid w:val="6FEF2EF4"/>
    <w:rsid w:val="7005076B"/>
    <w:rsid w:val="70110F7A"/>
    <w:rsid w:val="70116664"/>
    <w:rsid w:val="702D34E9"/>
    <w:rsid w:val="705A25CC"/>
    <w:rsid w:val="70911B58"/>
    <w:rsid w:val="70A322A1"/>
    <w:rsid w:val="70B667D2"/>
    <w:rsid w:val="70D716AA"/>
    <w:rsid w:val="70E65061"/>
    <w:rsid w:val="710A5D62"/>
    <w:rsid w:val="71167702"/>
    <w:rsid w:val="7123769C"/>
    <w:rsid w:val="71494FDF"/>
    <w:rsid w:val="71DA0154"/>
    <w:rsid w:val="71ED738A"/>
    <w:rsid w:val="720D5967"/>
    <w:rsid w:val="7238577F"/>
    <w:rsid w:val="736A02E0"/>
    <w:rsid w:val="73C735CF"/>
    <w:rsid w:val="73EF5F11"/>
    <w:rsid w:val="741A4809"/>
    <w:rsid w:val="74381E4C"/>
    <w:rsid w:val="74537CD9"/>
    <w:rsid w:val="74B320FE"/>
    <w:rsid w:val="750428AF"/>
    <w:rsid w:val="75A325EB"/>
    <w:rsid w:val="75BC2D5C"/>
    <w:rsid w:val="75E14624"/>
    <w:rsid w:val="76043584"/>
    <w:rsid w:val="76650680"/>
    <w:rsid w:val="76C6190C"/>
    <w:rsid w:val="76CB6FAD"/>
    <w:rsid w:val="773B68A8"/>
    <w:rsid w:val="77674067"/>
    <w:rsid w:val="776A35A6"/>
    <w:rsid w:val="779A511C"/>
    <w:rsid w:val="77C73C93"/>
    <w:rsid w:val="77E42D7E"/>
    <w:rsid w:val="77EC4243"/>
    <w:rsid w:val="77EF0C11"/>
    <w:rsid w:val="78184AA5"/>
    <w:rsid w:val="781974CC"/>
    <w:rsid w:val="783F3DFA"/>
    <w:rsid w:val="78BE216D"/>
    <w:rsid w:val="78CC4BE2"/>
    <w:rsid w:val="79110890"/>
    <w:rsid w:val="79206F6D"/>
    <w:rsid w:val="79336CA0"/>
    <w:rsid w:val="793E120E"/>
    <w:rsid w:val="7949607E"/>
    <w:rsid w:val="79CA02E9"/>
    <w:rsid w:val="7A061780"/>
    <w:rsid w:val="7A1078C1"/>
    <w:rsid w:val="7A477222"/>
    <w:rsid w:val="7A606334"/>
    <w:rsid w:val="7A7E7308"/>
    <w:rsid w:val="7AB3698A"/>
    <w:rsid w:val="7ACE626F"/>
    <w:rsid w:val="7AD14B28"/>
    <w:rsid w:val="7AD82524"/>
    <w:rsid w:val="7B674D62"/>
    <w:rsid w:val="7B9E6212"/>
    <w:rsid w:val="7B9E7BB6"/>
    <w:rsid w:val="7BB94CDD"/>
    <w:rsid w:val="7BC259AA"/>
    <w:rsid w:val="7BC31F8C"/>
    <w:rsid w:val="7BFF5149"/>
    <w:rsid w:val="7C344684"/>
    <w:rsid w:val="7C4411C4"/>
    <w:rsid w:val="7C75312C"/>
    <w:rsid w:val="7C77204C"/>
    <w:rsid w:val="7CA70E9A"/>
    <w:rsid w:val="7CF7123D"/>
    <w:rsid w:val="7D0A1F2E"/>
    <w:rsid w:val="7D2D45C4"/>
    <w:rsid w:val="7D2D6BCE"/>
    <w:rsid w:val="7D592820"/>
    <w:rsid w:val="7D965A4F"/>
    <w:rsid w:val="7DCD0552"/>
    <w:rsid w:val="7DF70FE2"/>
    <w:rsid w:val="7E111BB1"/>
    <w:rsid w:val="7E1B276B"/>
    <w:rsid w:val="7E4F57BF"/>
    <w:rsid w:val="7E672BE1"/>
    <w:rsid w:val="7E6C32EE"/>
    <w:rsid w:val="7E956A07"/>
    <w:rsid w:val="7EAC29F3"/>
    <w:rsid w:val="7EB363BB"/>
    <w:rsid w:val="7EC85602"/>
    <w:rsid w:val="7EE600B6"/>
    <w:rsid w:val="7EEF71C5"/>
    <w:rsid w:val="7F1A6906"/>
    <w:rsid w:val="7FBE4B73"/>
    <w:rsid w:val="7FC83FF1"/>
    <w:rsid w:val="7FE9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widowControl/>
      <w:spacing w:before="0" w:after="0" w:line="360" w:lineRule="auto"/>
      <w:ind w:left="0" w:right="0" w:firstLine="640" w:firstLineChars="200"/>
      <w:jc w:val="both"/>
    </w:pPr>
    <w:rPr>
      <w:rFonts w:ascii="Times New Roman" w:hAnsi="Times New Roman" w:eastAsia="黑体" w:cs="Times New Roman"/>
      <w:kern w:val="0"/>
      <w:sz w:val="32"/>
      <w:szCs w:val="22"/>
      <w:lang w:val="en-US" w:eastAsia="zh-CN" w:bidi="ar-SA"/>
    </w:rPr>
  </w:style>
  <w:style w:type="paragraph" w:customStyle="1" w:styleId="3">
    <w:name w:val="Body Text First Indent 21"/>
    <w:basedOn w:val="2"/>
    <w:qFormat/>
    <w:uiPriority w:val="0"/>
    <w:pPr>
      <w:spacing w:after="0"/>
      <w:ind w:left="0" w:leftChars="0" w:firstLine="420" w:firstLineChars="262"/>
    </w:pPr>
    <w:rPr>
      <w:rFonts w:hint="default" w:ascii="宋体" w:hAnsi="Calibri"/>
      <w:b/>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2614</Words>
  <Characters>2796</Characters>
  <Lines>0</Lines>
  <Paragraphs>0</Paragraphs>
  <TotalTime>3</TotalTime>
  <ScaleCrop>false</ScaleCrop>
  <LinksUpToDate>false</LinksUpToDate>
  <CharactersWithSpaces>2889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2022-06-15T02:10:00Z</dcterms:created>
  <dc:creator>Administrator</dc:creator>
  <cp:lastModifiedBy>孟</cp:lastModifiedBy>
  <dcterms:modified xsi:type="dcterms:W3CDTF">2026-05-12T07:09:13Z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0F527542A83846F3A7B9747B03DC3F7A_13</vt:lpwstr>
  </property>
  <property fmtid="{D5CDD505-2E9C-101B-9397-08002B2CF9AE}" pid="4" name="KSOTemplateDocerSaveRecord">
    <vt:lpwstr>eyJoZGlkIjoiZDJmNjE4NGY4OGY1ZTAwZWY1M2FkMWNiMzA2OTBhMTUiLCJ1c2VySWQiOiI0NDE2NDU0NTgifQ==</vt:lpwstr>
  </property>
</Properties>
</file>