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221A8B">
      <w:pPr>
        <w:spacing w:before="156" w:beforeLines="50" w:after="156" w:afterLines="50" w:line="400" w:lineRule="exact"/>
        <w:rPr>
          <w:rFonts w:ascii="Times New Roman" w:hAnsi="Times New Roman"/>
          <w:bCs/>
          <w:iCs/>
          <w:color w:val="000000"/>
          <w:sz w:val="24"/>
        </w:rPr>
      </w:pPr>
      <w:r>
        <w:rPr>
          <w:rFonts w:hint="eastAsia" w:ascii="Times New Roman" w:hAnsi="Times New Roman"/>
          <w:bCs/>
          <w:iCs/>
          <w:color w:val="000000"/>
          <w:sz w:val="24"/>
        </w:rPr>
        <w:t>证券代码：600</w:t>
      </w:r>
      <w:r>
        <w:rPr>
          <w:rFonts w:ascii="Times New Roman" w:hAnsi="Times New Roman"/>
          <w:bCs/>
          <w:iCs/>
          <w:color w:val="000000"/>
          <w:sz w:val="24"/>
        </w:rPr>
        <w:t>489</w:t>
      </w:r>
      <w:r>
        <w:rPr>
          <w:rFonts w:hint="eastAsia" w:ascii="Times New Roman" w:hAnsi="Times New Roman"/>
          <w:bCs/>
          <w:iCs/>
          <w:color w:val="000000"/>
          <w:sz w:val="24"/>
        </w:rPr>
        <w:t xml:space="preserve">                               </w:t>
      </w:r>
      <w:r>
        <w:rPr>
          <w:rFonts w:ascii="Times New Roman" w:hAnsi="Times New Roman"/>
          <w:bCs/>
          <w:iCs/>
          <w:color w:val="000000"/>
          <w:sz w:val="24"/>
        </w:rPr>
        <w:t xml:space="preserve">    </w:t>
      </w:r>
      <w:r>
        <w:rPr>
          <w:rFonts w:hint="eastAsia" w:ascii="Times New Roman" w:hAnsi="Times New Roman"/>
          <w:bCs/>
          <w:iCs/>
          <w:color w:val="000000"/>
          <w:sz w:val="24"/>
        </w:rPr>
        <w:t>证券简称：中金黄金</w:t>
      </w:r>
    </w:p>
    <w:p w14:paraId="02FE05F5">
      <w:pPr>
        <w:jc w:val="center"/>
        <w:rPr>
          <w:rFonts w:ascii="Times New Roman" w:hAnsi="Times New Roman"/>
          <w:b/>
          <w:bCs/>
          <w:sz w:val="30"/>
          <w:szCs w:val="30"/>
        </w:rPr>
      </w:pPr>
      <w:r>
        <w:rPr>
          <w:rFonts w:hint="eastAsia" w:ascii="Times New Roman" w:hAnsi="Times New Roman"/>
          <w:b/>
          <w:bCs/>
          <w:sz w:val="30"/>
          <w:szCs w:val="30"/>
        </w:rPr>
        <w:t>中金黄金股份有限公司投资者关系活动记录表</w:t>
      </w:r>
    </w:p>
    <w:p w14:paraId="4ABCD409">
      <w:pPr>
        <w:spacing w:line="400" w:lineRule="exact"/>
        <w:rPr>
          <w:rFonts w:ascii="Times New Roman" w:hAnsi="Times New Roman"/>
          <w:bCs/>
          <w:iCs/>
          <w:color w:val="000000"/>
          <w:sz w:val="24"/>
        </w:rPr>
      </w:pPr>
      <w:r>
        <w:rPr>
          <w:rFonts w:hint="eastAsia" w:ascii="Times New Roman" w:hAnsi="Times New Roman"/>
          <w:bCs/>
          <w:iCs/>
          <w:color w:val="000000"/>
          <w:sz w:val="24"/>
        </w:rPr>
        <w:t xml:space="preserve">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3"/>
        <w:gridCol w:w="6363"/>
      </w:tblGrid>
      <w:tr w14:paraId="5CF2B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3" w:type="dxa"/>
            <w:tcBorders>
              <w:top w:val="single" w:color="auto" w:sz="4" w:space="0"/>
              <w:left w:val="single" w:color="auto" w:sz="4" w:space="0"/>
              <w:bottom w:val="single" w:color="auto" w:sz="4" w:space="0"/>
              <w:right w:val="single" w:color="auto" w:sz="4" w:space="0"/>
            </w:tcBorders>
            <w:shd w:val="clear" w:color="auto" w:fill="auto"/>
            <w:vAlign w:val="center"/>
          </w:tcPr>
          <w:p w14:paraId="56B819FD">
            <w:pPr>
              <w:spacing w:line="360" w:lineRule="auto"/>
              <w:rPr>
                <w:rFonts w:ascii="Times New Roman" w:hAnsi="Times New Roman"/>
                <w:b/>
                <w:bCs/>
                <w:iCs/>
                <w:color w:val="000000"/>
                <w:sz w:val="24"/>
                <w:szCs w:val="24"/>
              </w:rPr>
            </w:pPr>
            <w:r>
              <w:rPr>
                <w:rFonts w:hint="eastAsia" w:ascii="Times New Roman" w:hAnsi="Times New Roman"/>
                <w:b/>
                <w:bCs/>
                <w:iCs/>
                <w:color w:val="000000"/>
                <w:sz w:val="24"/>
                <w:szCs w:val="24"/>
              </w:rPr>
              <w:t>投资者关系活动类别</w:t>
            </w:r>
          </w:p>
          <w:p w14:paraId="25BEB3B1">
            <w:pPr>
              <w:spacing w:line="360" w:lineRule="auto"/>
              <w:rPr>
                <w:rFonts w:ascii="Times New Roman" w:hAnsi="Times New Roman"/>
                <w:b/>
                <w:bCs/>
                <w:iCs/>
                <w:color w:val="000000"/>
                <w:sz w:val="24"/>
                <w:szCs w:val="24"/>
              </w:rPr>
            </w:pPr>
          </w:p>
        </w:tc>
        <w:tc>
          <w:tcPr>
            <w:tcW w:w="6363" w:type="dxa"/>
            <w:tcBorders>
              <w:top w:val="single" w:color="auto" w:sz="4" w:space="0"/>
              <w:left w:val="single" w:color="auto" w:sz="4" w:space="0"/>
              <w:bottom w:val="single" w:color="auto" w:sz="4" w:space="0"/>
              <w:right w:val="single" w:color="auto" w:sz="4" w:space="0"/>
            </w:tcBorders>
            <w:shd w:val="clear" w:color="auto" w:fill="auto"/>
          </w:tcPr>
          <w:p w14:paraId="3C9FCCAE">
            <w:pPr>
              <w:spacing w:line="360" w:lineRule="auto"/>
              <w:rPr>
                <w:rFonts w:ascii="Times New Roman" w:hAnsi="Times New Roman"/>
                <w:bCs/>
                <w:iCs/>
                <w:color w:val="000000"/>
                <w:sz w:val="24"/>
                <w:szCs w:val="24"/>
              </w:rPr>
            </w:pPr>
            <w:r>
              <w:rPr>
                <w:rFonts w:hint="eastAsia" w:ascii="Times New Roman" w:hAnsi="Times New Roman"/>
                <w:bCs/>
                <w:iCs/>
                <w:color w:val="000000"/>
                <w:sz w:val="24"/>
                <w:szCs w:val="24"/>
              </w:rPr>
              <w:t>□</w:t>
            </w:r>
            <w:r>
              <w:rPr>
                <w:rFonts w:hint="eastAsia" w:ascii="Times New Roman" w:hAnsi="Times New Roman"/>
                <w:sz w:val="24"/>
                <w:szCs w:val="24"/>
              </w:rPr>
              <w:t xml:space="preserve">特定对象调研       </w:t>
            </w:r>
            <w:r>
              <w:rPr>
                <w:rFonts w:ascii="Times New Roman" w:hAnsi="Times New Roman"/>
                <w:sz w:val="24"/>
                <w:szCs w:val="24"/>
              </w:rPr>
              <w:t xml:space="preserve"> </w:t>
            </w:r>
            <w:r>
              <w:rPr>
                <w:rFonts w:hint="eastAsia" w:ascii="Times New Roman" w:hAnsi="Times New Roman"/>
                <w:bCs/>
                <w:iCs/>
                <w:color w:val="000000"/>
                <w:sz w:val="24"/>
                <w:szCs w:val="24"/>
              </w:rPr>
              <w:t>□</w:t>
            </w:r>
            <w:r>
              <w:rPr>
                <w:rFonts w:hint="eastAsia" w:ascii="Times New Roman" w:hAnsi="Times New Roman"/>
                <w:sz w:val="24"/>
                <w:szCs w:val="24"/>
              </w:rPr>
              <w:t>分析师会议</w:t>
            </w:r>
          </w:p>
          <w:p w14:paraId="2694C818">
            <w:pPr>
              <w:spacing w:line="360" w:lineRule="auto"/>
              <w:rPr>
                <w:rFonts w:ascii="Times New Roman" w:hAnsi="Times New Roman"/>
                <w:bCs/>
                <w:iCs/>
                <w:color w:val="000000"/>
                <w:sz w:val="24"/>
                <w:szCs w:val="24"/>
              </w:rPr>
            </w:pPr>
            <w:r>
              <w:rPr>
                <w:rFonts w:hint="eastAsia" w:ascii="Times New Roman" w:hAnsi="Times New Roman"/>
                <w:bCs/>
                <w:iCs/>
                <w:color w:val="000000"/>
                <w:sz w:val="24"/>
                <w:szCs w:val="24"/>
              </w:rPr>
              <w:t>□</w:t>
            </w:r>
            <w:r>
              <w:rPr>
                <w:rFonts w:hint="eastAsia" w:ascii="Times New Roman" w:hAnsi="Times New Roman"/>
                <w:sz w:val="24"/>
                <w:szCs w:val="24"/>
              </w:rPr>
              <w:t xml:space="preserve">媒体采访            </w:t>
            </w:r>
            <w:r>
              <w:rPr>
                <w:rFonts w:hint="eastAsia" w:ascii="Times New Roman" w:hAnsi="Times New Roman"/>
                <w:bCs/>
                <w:iCs/>
                <w:color w:val="000000"/>
                <w:sz w:val="24"/>
                <w:szCs w:val="24"/>
              </w:rPr>
              <w:sym w:font="Wingdings 2" w:char="0052"/>
            </w:r>
            <w:r>
              <w:rPr>
                <w:rFonts w:hint="eastAsia" w:ascii="Times New Roman" w:hAnsi="Times New Roman"/>
                <w:sz w:val="24"/>
                <w:szCs w:val="24"/>
              </w:rPr>
              <w:t>业绩说明会</w:t>
            </w:r>
          </w:p>
          <w:p w14:paraId="5EE33868">
            <w:pPr>
              <w:spacing w:line="360" w:lineRule="auto"/>
              <w:rPr>
                <w:rFonts w:ascii="Times New Roman" w:hAnsi="Times New Roman"/>
                <w:bCs/>
                <w:iCs/>
                <w:color w:val="000000"/>
                <w:sz w:val="24"/>
                <w:szCs w:val="24"/>
              </w:rPr>
            </w:pPr>
            <w:r>
              <w:rPr>
                <w:rFonts w:hint="eastAsia" w:ascii="Times New Roman" w:hAnsi="Times New Roman"/>
                <w:bCs/>
                <w:iCs/>
                <w:color w:val="000000"/>
                <w:sz w:val="24"/>
                <w:szCs w:val="24"/>
              </w:rPr>
              <w:t>□</w:t>
            </w:r>
            <w:r>
              <w:rPr>
                <w:rFonts w:hint="eastAsia" w:ascii="Times New Roman" w:hAnsi="Times New Roman"/>
                <w:sz w:val="24"/>
                <w:szCs w:val="24"/>
              </w:rPr>
              <w:t xml:space="preserve">新闻发布会          </w:t>
            </w:r>
            <w:r>
              <w:rPr>
                <w:rFonts w:hint="eastAsia" w:ascii="Times New Roman" w:hAnsi="Times New Roman"/>
                <w:bCs/>
                <w:iCs/>
                <w:color w:val="000000"/>
                <w:sz w:val="24"/>
                <w:szCs w:val="24"/>
              </w:rPr>
              <w:t>□</w:t>
            </w:r>
            <w:r>
              <w:rPr>
                <w:rFonts w:hint="eastAsia" w:ascii="Times New Roman" w:hAnsi="Times New Roman"/>
                <w:sz w:val="24"/>
                <w:szCs w:val="24"/>
              </w:rPr>
              <w:t>路演活动</w:t>
            </w:r>
          </w:p>
          <w:p w14:paraId="45214FA8">
            <w:pPr>
              <w:tabs>
                <w:tab w:val="left" w:pos="3045"/>
                <w:tab w:val="center" w:pos="3199"/>
              </w:tabs>
              <w:spacing w:line="360" w:lineRule="auto"/>
              <w:rPr>
                <w:rFonts w:ascii="Times New Roman" w:hAnsi="Times New Roman"/>
                <w:bCs/>
                <w:iCs/>
                <w:color w:val="000000"/>
                <w:sz w:val="24"/>
                <w:szCs w:val="24"/>
              </w:rPr>
            </w:pPr>
            <w:r>
              <w:rPr>
                <w:rFonts w:hint="eastAsia" w:ascii="Times New Roman" w:hAnsi="Times New Roman"/>
                <w:bCs/>
                <w:iCs/>
                <w:color w:val="000000"/>
                <w:sz w:val="24"/>
                <w:szCs w:val="24"/>
              </w:rPr>
              <w:t>□</w:t>
            </w:r>
            <w:r>
              <w:rPr>
                <w:rFonts w:hint="eastAsia" w:ascii="Times New Roman" w:hAnsi="Times New Roman"/>
                <w:sz w:val="24"/>
                <w:szCs w:val="24"/>
              </w:rPr>
              <w:t>现场参观</w:t>
            </w:r>
            <w:r>
              <w:rPr>
                <w:rFonts w:hint="eastAsia" w:ascii="Times New Roman" w:hAnsi="Times New Roman"/>
                <w:bCs/>
                <w:iCs/>
                <w:color w:val="000000"/>
                <w:sz w:val="24"/>
                <w:szCs w:val="24"/>
              </w:rPr>
              <w:tab/>
            </w:r>
          </w:p>
          <w:p w14:paraId="50E4E9FD">
            <w:pPr>
              <w:tabs>
                <w:tab w:val="center" w:pos="3199"/>
              </w:tabs>
              <w:spacing w:line="360" w:lineRule="auto"/>
              <w:rPr>
                <w:rFonts w:ascii="Times New Roman" w:hAnsi="Times New Roman"/>
                <w:bCs/>
                <w:iCs/>
                <w:color w:val="000000"/>
                <w:sz w:val="24"/>
                <w:szCs w:val="24"/>
              </w:rPr>
            </w:pPr>
            <w:r>
              <w:rPr>
                <w:rFonts w:hint="eastAsia" w:ascii="Times New Roman" w:hAnsi="Times New Roman"/>
                <w:bCs/>
                <w:iCs/>
                <w:color w:val="000000"/>
                <w:sz w:val="24"/>
                <w:szCs w:val="24"/>
              </w:rPr>
              <w:t>□</w:t>
            </w:r>
            <w:r>
              <w:rPr>
                <w:rFonts w:hint="eastAsia" w:ascii="Times New Roman" w:hAnsi="Times New Roman"/>
                <w:sz w:val="24"/>
                <w:szCs w:val="24"/>
              </w:rPr>
              <w:t xml:space="preserve">其他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w:t>
            </w:r>
          </w:p>
        </w:tc>
      </w:tr>
      <w:tr w14:paraId="55B54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3" w:type="dxa"/>
            <w:tcBorders>
              <w:top w:val="single" w:color="auto" w:sz="4" w:space="0"/>
              <w:left w:val="single" w:color="auto" w:sz="4" w:space="0"/>
              <w:bottom w:val="single" w:color="auto" w:sz="4" w:space="0"/>
              <w:right w:val="single" w:color="auto" w:sz="4" w:space="0"/>
            </w:tcBorders>
            <w:shd w:val="clear" w:color="auto" w:fill="auto"/>
            <w:vAlign w:val="center"/>
          </w:tcPr>
          <w:p w14:paraId="55FBABA8">
            <w:pPr>
              <w:spacing w:line="360" w:lineRule="auto"/>
              <w:rPr>
                <w:rFonts w:ascii="Times New Roman" w:hAnsi="Times New Roman"/>
                <w:b/>
                <w:bCs/>
                <w:iCs/>
                <w:color w:val="000000"/>
                <w:sz w:val="24"/>
                <w:szCs w:val="24"/>
              </w:rPr>
            </w:pPr>
            <w:r>
              <w:rPr>
                <w:rFonts w:hint="eastAsia" w:ascii="Times New Roman" w:hAnsi="Times New Roman"/>
                <w:b/>
                <w:bCs/>
                <w:iCs/>
                <w:color w:val="000000"/>
                <w:sz w:val="24"/>
                <w:szCs w:val="24"/>
              </w:rPr>
              <w:t>参与单位名称及人员姓名</w:t>
            </w:r>
          </w:p>
        </w:tc>
        <w:tc>
          <w:tcPr>
            <w:tcW w:w="6363" w:type="dxa"/>
            <w:tcBorders>
              <w:top w:val="single" w:color="auto" w:sz="4" w:space="0"/>
              <w:left w:val="single" w:color="auto" w:sz="4" w:space="0"/>
              <w:bottom w:val="single" w:color="auto" w:sz="4" w:space="0"/>
              <w:right w:val="single" w:color="auto" w:sz="4" w:space="0"/>
            </w:tcBorders>
            <w:shd w:val="clear" w:color="auto" w:fill="auto"/>
            <w:vAlign w:val="center"/>
          </w:tcPr>
          <w:p w14:paraId="1D95A2ED">
            <w:pPr>
              <w:spacing w:line="360" w:lineRule="auto"/>
              <w:rPr>
                <w:rFonts w:ascii="Times New Roman" w:hAnsi="Times New Roman"/>
                <w:bCs/>
                <w:iCs/>
                <w:color w:val="000000"/>
                <w:sz w:val="24"/>
                <w:szCs w:val="24"/>
              </w:rPr>
            </w:pPr>
            <w:r>
              <w:rPr>
                <w:rFonts w:hint="eastAsia" w:ascii="Times New Roman" w:hAnsi="Times New Roman"/>
                <w:bCs/>
                <w:iCs/>
                <w:color w:val="000000"/>
                <w:sz w:val="24"/>
                <w:szCs w:val="24"/>
              </w:rPr>
              <w:t>参与公司2025年度暨2026年第一季度业绩说明会的投资者</w:t>
            </w:r>
          </w:p>
        </w:tc>
      </w:tr>
      <w:tr w14:paraId="4BB25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3" w:type="dxa"/>
            <w:tcBorders>
              <w:top w:val="single" w:color="auto" w:sz="4" w:space="0"/>
              <w:left w:val="single" w:color="auto" w:sz="4" w:space="0"/>
              <w:bottom w:val="single" w:color="auto" w:sz="4" w:space="0"/>
              <w:right w:val="single" w:color="auto" w:sz="4" w:space="0"/>
            </w:tcBorders>
            <w:shd w:val="clear" w:color="auto" w:fill="auto"/>
            <w:vAlign w:val="center"/>
          </w:tcPr>
          <w:p w14:paraId="252B6C39">
            <w:pPr>
              <w:spacing w:line="360" w:lineRule="auto"/>
              <w:rPr>
                <w:rFonts w:ascii="Times New Roman" w:hAnsi="Times New Roman"/>
                <w:b/>
                <w:bCs/>
                <w:iCs/>
                <w:color w:val="000000"/>
                <w:sz w:val="24"/>
                <w:szCs w:val="24"/>
              </w:rPr>
            </w:pPr>
            <w:r>
              <w:rPr>
                <w:rFonts w:hint="eastAsia" w:ascii="Times New Roman" w:hAnsi="Times New Roman"/>
                <w:b/>
                <w:bCs/>
                <w:iCs/>
                <w:color w:val="000000"/>
                <w:sz w:val="24"/>
                <w:szCs w:val="24"/>
              </w:rPr>
              <w:t>时间</w:t>
            </w:r>
          </w:p>
        </w:tc>
        <w:tc>
          <w:tcPr>
            <w:tcW w:w="6363" w:type="dxa"/>
            <w:tcBorders>
              <w:top w:val="single" w:color="auto" w:sz="4" w:space="0"/>
              <w:left w:val="single" w:color="auto" w:sz="4" w:space="0"/>
              <w:bottom w:val="single" w:color="auto" w:sz="4" w:space="0"/>
              <w:right w:val="single" w:color="auto" w:sz="4" w:space="0"/>
            </w:tcBorders>
            <w:shd w:val="clear" w:color="auto" w:fill="auto"/>
          </w:tcPr>
          <w:p w14:paraId="0110574B">
            <w:pPr>
              <w:spacing w:line="360" w:lineRule="auto"/>
              <w:rPr>
                <w:rFonts w:ascii="Times New Roman" w:hAnsi="Times New Roman"/>
                <w:bCs/>
                <w:iCs/>
                <w:color w:val="000000"/>
                <w:sz w:val="24"/>
                <w:szCs w:val="24"/>
              </w:rPr>
            </w:pPr>
            <w:r>
              <w:rPr>
                <w:rFonts w:hint="eastAsia" w:ascii="Times New Roman" w:hAnsi="Times New Roman"/>
                <w:bCs/>
                <w:iCs/>
                <w:color w:val="000000"/>
                <w:sz w:val="24"/>
                <w:szCs w:val="24"/>
              </w:rPr>
              <w:t>202</w:t>
            </w:r>
            <w:r>
              <w:rPr>
                <w:rFonts w:hint="eastAsia" w:ascii="Times New Roman" w:hAnsi="Times New Roman"/>
                <w:bCs/>
                <w:iCs/>
                <w:color w:val="000000"/>
                <w:sz w:val="24"/>
                <w:szCs w:val="24"/>
                <w:lang w:val="en-US" w:eastAsia="zh-CN"/>
              </w:rPr>
              <w:t>6</w:t>
            </w:r>
            <w:r>
              <w:rPr>
                <w:rFonts w:hint="eastAsia" w:ascii="Times New Roman" w:hAnsi="Times New Roman"/>
                <w:bCs/>
                <w:iCs/>
                <w:color w:val="000000"/>
                <w:sz w:val="24"/>
                <w:szCs w:val="24"/>
              </w:rPr>
              <w:t>年</w:t>
            </w:r>
            <w:r>
              <w:rPr>
                <w:rFonts w:hint="eastAsia" w:ascii="Times New Roman" w:hAnsi="Times New Roman"/>
                <w:bCs/>
                <w:iCs/>
                <w:color w:val="000000"/>
                <w:sz w:val="24"/>
                <w:szCs w:val="24"/>
                <w:lang w:val="en-US" w:eastAsia="zh-CN"/>
              </w:rPr>
              <w:t>5</w:t>
            </w:r>
            <w:r>
              <w:rPr>
                <w:rFonts w:hint="eastAsia" w:ascii="Times New Roman" w:hAnsi="Times New Roman"/>
                <w:bCs/>
                <w:iCs/>
                <w:color w:val="000000"/>
                <w:sz w:val="24"/>
                <w:szCs w:val="24"/>
              </w:rPr>
              <w:t>月</w:t>
            </w:r>
            <w:r>
              <w:rPr>
                <w:rFonts w:hint="eastAsia" w:ascii="Times New Roman" w:hAnsi="Times New Roman"/>
                <w:bCs/>
                <w:iCs/>
                <w:color w:val="000000"/>
                <w:sz w:val="24"/>
                <w:szCs w:val="24"/>
                <w:lang w:val="en-US" w:eastAsia="zh-CN"/>
              </w:rPr>
              <w:t>13</w:t>
            </w:r>
            <w:r>
              <w:rPr>
                <w:rFonts w:hint="eastAsia" w:ascii="Times New Roman" w:hAnsi="Times New Roman"/>
                <w:bCs/>
                <w:iCs/>
                <w:color w:val="000000"/>
                <w:sz w:val="24"/>
                <w:szCs w:val="24"/>
              </w:rPr>
              <w:t>日(星期</w:t>
            </w:r>
            <w:r>
              <w:rPr>
                <w:rFonts w:hint="eastAsia" w:ascii="Times New Roman" w:hAnsi="Times New Roman"/>
                <w:bCs/>
                <w:iCs/>
                <w:color w:val="000000"/>
                <w:sz w:val="24"/>
                <w:szCs w:val="24"/>
                <w:lang w:val="en-US" w:eastAsia="zh-CN"/>
              </w:rPr>
              <w:t>三</w:t>
            </w:r>
            <w:r>
              <w:rPr>
                <w:rFonts w:hint="eastAsia" w:ascii="Times New Roman" w:hAnsi="Times New Roman"/>
                <w:bCs/>
                <w:iCs/>
                <w:color w:val="000000"/>
                <w:sz w:val="24"/>
                <w:szCs w:val="24"/>
              </w:rPr>
              <w:t>)上午</w:t>
            </w:r>
            <w:r>
              <w:rPr>
                <w:rFonts w:hint="eastAsia" w:ascii="Times New Roman" w:hAnsi="Times New Roman"/>
                <w:bCs/>
                <w:iCs/>
                <w:color w:val="000000"/>
                <w:sz w:val="24"/>
                <w:szCs w:val="24"/>
                <w:lang w:val="en-US" w:eastAsia="zh-CN"/>
              </w:rPr>
              <w:t>9</w:t>
            </w:r>
            <w:r>
              <w:rPr>
                <w:rFonts w:hint="eastAsia" w:ascii="Times New Roman" w:hAnsi="Times New Roman"/>
                <w:bCs/>
                <w:iCs/>
                <w:color w:val="000000"/>
                <w:sz w:val="24"/>
                <w:szCs w:val="24"/>
              </w:rPr>
              <w:t>:00-1</w:t>
            </w:r>
            <w:r>
              <w:rPr>
                <w:rFonts w:hint="eastAsia" w:ascii="Times New Roman" w:hAnsi="Times New Roman"/>
                <w:bCs/>
                <w:iCs/>
                <w:color w:val="000000"/>
                <w:sz w:val="24"/>
                <w:szCs w:val="24"/>
                <w:lang w:val="en-US" w:eastAsia="zh-CN"/>
              </w:rPr>
              <w:t>0</w:t>
            </w:r>
            <w:r>
              <w:rPr>
                <w:rFonts w:hint="eastAsia" w:ascii="Times New Roman" w:hAnsi="Times New Roman"/>
                <w:bCs/>
                <w:iCs/>
                <w:color w:val="000000"/>
                <w:sz w:val="24"/>
                <w:szCs w:val="24"/>
              </w:rPr>
              <w:t>:00</w:t>
            </w:r>
          </w:p>
        </w:tc>
      </w:tr>
      <w:tr w14:paraId="09AD7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3" w:type="dxa"/>
            <w:tcBorders>
              <w:top w:val="single" w:color="auto" w:sz="4" w:space="0"/>
              <w:left w:val="single" w:color="auto" w:sz="4" w:space="0"/>
              <w:bottom w:val="single" w:color="auto" w:sz="4" w:space="0"/>
              <w:right w:val="single" w:color="auto" w:sz="4" w:space="0"/>
            </w:tcBorders>
            <w:shd w:val="clear" w:color="auto" w:fill="auto"/>
            <w:vAlign w:val="center"/>
          </w:tcPr>
          <w:p w14:paraId="5414A6F9">
            <w:pPr>
              <w:spacing w:line="360" w:lineRule="auto"/>
              <w:rPr>
                <w:rFonts w:ascii="Times New Roman" w:hAnsi="Times New Roman"/>
                <w:b/>
                <w:bCs/>
                <w:iCs/>
                <w:color w:val="000000"/>
                <w:sz w:val="24"/>
                <w:szCs w:val="24"/>
              </w:rPr>
            </w:pPr>
            <w:r>
              <w:rPr>
                <w:rFonts w:hint="eastAsia" w:ascii="Times New Roman" w:hAnsi="Times New Roman"/>
                <w:b/>
                <w:bCs/>
                <w:iCs/>
                <w:color w:val="000000"/>
                <w:sz w:val="24"/>
                <w:szCs w:val="24"/>
              </w:rPr>
              <w:t>地点</w:t>
            </w:r>
          </w:p>
        </w:tc>
        <w:tc>
          <w:tcPr>
            <w:tcW w:w="6363" w:type="dxa"/>
            <w:tcBorders>
              <w:top w:val="single" w:color="auto" w:sz="4" w:space="0"/>
              <w:left w:val="single" w:color="auto" w:sz="4" w:space="0"/>
              <w:bottom w:val="single" w:color="auto" w:sz="4" w:space="0"/>
              <w:right w:val="single" w:color="auto" w:sz="4" w:space="0"/>
            </w:tcBorders>
            <w:shd w:val="clear" w:color="auto" w:fill="auto"/>
          </w:tcPr>
          <w:p w14:paraId="05231319">
            <w:pPr>
              <w:spacing w:line="360" w:lineRule="auto"/>
              <w:rPr>
                <w:rFonts w:ascii="Times New Roman" w:hAnsi="Times New Roman"/>
                <w:bCs/>
                <w:iCs/>
                <w:color w:val="000000"/>
                <w:sz w:val="24"/>
                <w:szCs w:val="24"/>
              </w:rPr>
            </w:pPr>
            <w:r>
              <w:rPr>
                <w:rFonts w:hint="eastAsia" w:ascii="Times New Roman" w:hAnsi="Times New Roman"/>
                <w:bCs/>
                <w:iCs/>
                <w:color w:val="000000"/>
                <w:sz w:val="24"/>
                <w:szCs w:val="24"/>
              </w:rPr>
              <w:t>上海证券交易所上证路演中心（网址：http://roadshow.sseinfo.com/）</w:t>
            </w:r>
          </w:p>
        </w:tc>
      </w:tr>
      <w:tr w14:paraId="12DE3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3" w:type="dxa"/>
            <w:tcBorders>
              <w:top w:val="single" w:color="auto" w:sz="4" w:space="0"/>
              <w:left w:val="single" w:color="auto" w:sz="4" w:space="0"/>
              <w:bottom w:val="single" w:color="auto" w:sz="4" w:space="0"/>
              <w:right w:val="single" w:color="auto" w:sz="4" w:space="0"/>
            </w:tcBorders>
            <w:shd w:val="clear" w:color="auto" w:fill="auto"/>
            <w:vAlign w:val="center"/>
          </w:tcPr>
          <w:p w14:paraId="340DEE9F">
            <w:pPr>
              <w:spacing w:line="360" w:lineRule="auto"/>
              <w:rPr>
                <w:rFonts w:ascii="Times New Roman" w:hAnsi="Times New Roman"/>
                <w:b/>
                <w:bCs/>
                <w:iCs/>
                <w:color w:val="000000"/>
                <w:sz w:val="24"/>
                <w:szCs w:val="24"/>
              </w:rPr>
            </w:pPr>
            <w:r>
              <w:rPr>
                <w:rFonts w:hint="eastAsia" w:ascii="Times New Roman" w:hAnsi="Times New Roman"/>
                <w:b/>
                <w:bCs/>
                <w:iCs/>
                <w:color w:val="000000"/>
                <w:sz w:val="24"/>
                <w:szCs w:val="24"/>
              </w:rPr>
              <w:t>上市公司接待人员姓名</w:t>
            </w:r>
          </w:p>
        </w:tc>
        <w:tc>
          <w:tcPr>
            <w:tcW w:w="6363" w:type="dxa"/>
            <w:tcBorders>
              <w:top w:val="single" w:color="auto" w:sz="4" w:space="0"/>
              <w:left w:val="single" w:color="auto" w:sz="4" w:space="0"/>
              <w:bottom w:val="single" w:color="auto" w:sz="4" w:space="0"/>
              <w:right w:val="single" w:color="auto" w:sz="4" w:space="0"/>
            </w:tcBorders>
            <w:shd w:val="clear" w:color="auto" w:fill="auto"/>
          </w:tcPr>
          <w:p w14:paraId="2CE0B2F5">
            <w:pPr>
              <w:spacing w:line="360" w:lineRule="auto"/>
              <w:rPr>
                <w:rFonts w:hint="eastAsia" w:ascii="Times New Roman" w:hAnsi="Times New Roman"/>
                <w:bCs/>
                <w:iCs/>
                <w:color w:val="000000"/>
                <w:sz w:val="24"/>
                <w:szCs w:val="24"/>
              </w:rPr>
            </w:pPr>
            <w:r>
              <w:rPr>
                <w:rFonts w:hint="eastAsia" w:ascii="Times New Roman" w:hAnsi="Times New Roman"/>
                <w:bCs/>
                <w:iCs/>
                <w:color w:val="000000"/>
                <w:sz w:val="24"/>
                <w:szCs w:val="24"/>
              </w:rPr>
              <w:t>党委书记、副董事长、总经理：贺小庆；</w:t>
            </w:r>
          </w:p>
          <w:p w14:paraId="134D9EFF">
            <w:pPr>
              <w:spacing w:line="360" w:lineRule="auto"/>
              <w:rPr>
                <w:rFonts w:hint="eastAsia" w:ascii="Times New Roman" w:hAnsi="Times New Roman"/>
                <w:bCs/>
                <w:iCs/>
                <w:color w:val="000000"/>
                <w:sz w:val="24"/>
                <w:szCs w:val="24"/>
              </w:rPr>
            </w:pPr>
            <w:r>
              <w:rPr>
                <w:rFonts w:hint="eastAsia" w:ascii="Times New Roman" w:hAnsi="Times New Roman"/>
                <w:bCs/>
                <w:iCs/>
                <w:color w:val="000000"/>
                <w:sz w:val="24"/>
                <w:szCs w:val="24"/>
              </w:rPr>
              <w:t>独立董事：</w:t>
            </w:r>
            <w:r>
              <w:rPr>
                <w:rFonts w:hint="eastAsia" w:ascii="Times New Roman" w:hAnsi="Times New Roman"/>
                <w:bCs/>
                <w:iCs/>
                <w:color w:val="000000"/>
                <w:sz w:val="24"/>
                <w:szCs w:val="24"/>
                <w:lang w:val="en-US" w:eastAsia="zh-CN"/>
              </w:rPr>
              <w:t>周连碧</w:t>
            </w:r>
            <w:r>
              <w:rPr>
                <w:rFonts w:hint="eastAsia" w:ascii="Times New Roman" w:hAnsi="Times New Roman"/>
                <w:bCs/>
                <w:iCs/>
                <w:color w:val="000000"/>
                <w:sz w:val="24"/>
                <w:szCs w:val="24"/>
              </w:rPr>
              <w:t>；</w:t>
            </w:r>
          </w:p>
          <w:p w14:paraId="092B0152">
            <w:pPr>
              <w:spacing w:line="360" w:lineRule="auto"/>
              <w:rPr>
                <w:rFonts w:hint="eastAsia" w:ascii="Times New Roman" w:hAnsi="Times New Roman"/>
                <w:bCs/>
                <w:iCs/>
                <w:color w:val="000000"/>
                <w:sz w:val="24"/>
                <w:szCs w:val="24"/>
                <w:lang w:eastAsia="zh-CN"/>
              </w:rPr>
            </w:pPr>
            <w:r>
              <w:rPr>
                <w:rFonts w:hint="eastAsia" w:ascii="Times New Roman" w:hAnsi="Times New Roman"/>
                <w:bCs/>
                <w:iCs/>
                <w:color w:val="000000"/>
                <w:sz w:val="24"/>
                <w:szCs w:val="24"/>
              </w:rPr>
              <w:t>党委委员、</w:t>
            </w:r>
            <w:r>
              <w:rPr>
                <w:rFonts w:hint="eastAsia" w:ascii="Times New Roman" w:hAnsi="Times New Roman"/>
                <w:bCs/>
                <w:iCs/>
                <w:color w:val="000000"/>
                <w:sz w:val="24"/>
                <w:szCs w:val="24"/>
                <w:lang w:val="en-US" w:eastAsia="zh-CN"/>
              </w:rPr>
              <w:t>副总经理、董事会秘书</w:t>
            </w:r>
            <w:r>
              <w:rPr>
                <w:rFonts w:hint="eastAsia" w:ascii="Times New Roman" w:hAnsi="Times New Roman"/>
                <w:bCs/>
                <w:iCs/>
                <w:color w:val="000000"/>
                <w:sz w:val="24"/>
                <w:szCs w:val="24"/>
              </w:rPr>
              <w:t>：李宏斌</w:t>
            </w:r>
            <w:r>
              <w:rPr>
                <w:rFonts w:hint="eastAsia" w:ascii="Times New Roman" w:hAnsi="Times New Roman"/>
                <w:bCs/>
                <w:iCs/>
                <w:color w:val="000000"/>
                <w:sz w:val="24"/>
                <w:szCs w:val="24"/>
                <w:lang w:eastAsia="zh-CN"/>
              </w:rPr>
              <w:t>；</w:t>
            </w:r>
          </w:p>
          <w:p w14:paraId="7EC649C0">
            <w:pPr>
              <w:spacing w:line="360" w:lineRule="auto"/>
              <w:rPr>
                <w:rFonts w:ascii="Times New Roman" w:hAnsi="Times New Roman"/>
                <w:bCs/>
                <w:iCs/>
                <w:color w:val="000000"/>
                <w:sz w:val="24"/>
                <w:szCs w:val="24"/>
              </w:rPr>
            </w:pPr>
            <w:r>
              <w:rPr>
                <w:rFonts w:hint="eastAsia" w:ascii="Times New Roman" w:hAnsi="Times New Roman"/>
                <w:bCs/>
                <w:iCs/>
                <w:color w:val="000000"/>
                <w:sz w:val="24"/>
                <w:szCs w:val="24"/>
                <w:lang w:val="en-US" w:eastAsia="zh-CN"/>
              </w:rPr>
              <w:t>党委委员</w:t>
            </w:r>
            <w:r>
              <w:rPr>
                <w:rFonts w:hint="eastAsia" w:ascii="Times New Roman" w:hAnsi="Times New Roman"/>
                <w:bCs/>
                <w:iCs/>
                <w:color w:val="000000"/>
                <w:sz w:val="24"/>
                <w:szCs w:val="24"/>
              </w:rPr>
              <w:t>总会计师、总法律顾问（首席合规官）：徐源。</w:t>
            </w:r>
          </w:p>
        </w:tc>
      </w:tr>
      <w:tr w14:paraId="75AE3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3" w:type="dxa"/>
            <w:tcBorders>
              <w:top w:val="single" w:color="auto" w:sz="4" w:space="0"/>
              <w:left w:val="single" w:color="auto" w:sz="4" w:space="0"/>
              <w:bottom w:val="single" w:color="auto" w:sz="4" w:space="0"/>
              <w:right w:val="single" w:color="auto" w:sz="4" w:space="0"/>
            </w:tcBorders>
            <w:shd w:val="clear" w:color="auto" w:fill="auto"/>
            <w:vAlign w:val="center"/>
          </w:tcPr>
          <w:p w14:paraId="50D48BD4">
            <w:pPr>
              <w:spacing w:line="360" w:lineRule="auto"/>
              <w:rPr>
                <w:rFonts w:ascii="Times New Roman" w:hAnsi="Times New Roman"/>
                <w:b/>
                <w:bCs/>
                <w:iCs/>
                <w:color w:val="000000"/>
                <w:sz w:val="24"/>
                <w:szCs w:val="24"/>
              </w:rPr>
            </w:pPr>
            <w:r>
              <w:rPr>
                <w:rFonts w:hint="eastAsia" w:ascii="Times New Roman" w:hAnsi="Times New Roman"/>
                <w:b/>
                <w:bCs/>
                <w:iCs/>
                <w:color w:val="000000"/>
                <w:sz w:val="24"/>
                <w:szCs w:val="24"/>
              </w:rPr>
              <w:t>投资者关系活动主要内容介绍</w:t>
            </w:r>
          </w:p>
          <w:p w14:paraId="0D3D7432">
            <w:pPr>
              <w:spacing w:line="360" w:lineRule="auto"/>
              <w:rPr>
                <w:rFonts w:ascii="Times New Roman" w:hAnsi="Times New Roman"/>
                <w:b/>
                <w:bCs/>
                <w:iCs/>
                <w:color w:val="000000"/>
                <w:sz w:val="24"/>
                <w:szCs w:val="24"/>
              </w:rPr>
            </w:pPr>
          </w:p>
        </w:tc>
        <w:tc>
          <w:tcPr>
            <w:tcW w:w="6363" w:type="dxa"/>
            <w:tcBorders>
              <w:top w:val="single" w:color="auto" w:sz="4" w:space="0"/>
              <w:left w:val="single" w:color="auto" w:sz="4" w:space="0"/>
              <w:bottom w:val="single" w:color="auto" w:sz="4" w:space="0"/>
              <w:right w:val="single" w:color="auto" w:sz="4" w:space="0"/>
            </w:tcBorders>
            <w:shd w:val="clear" w:color="auto" w:fill="auto"/>
          </w:tcPr>
          <w:p w14:paraId="070FB17B">
            <w:pPr>
              <w:adjustRightInd w:val="0"/>
              <w:snapToGrid w:val="0"/>
              <w:spacing w:line="360" w:lineRule="auto"/>
              <w:ind w:firstLine="480" w:firstLineChars="200"/>
              <w:rPr>
                <w:rFonts w:hint="eastAsia" w:ascii="Times New Roman" w:hAnsi="Times New Roman"/>
                <w:sz w:val="24"/>
              </w:rPr>
            </w:pPr>
            <w:r>
              <w:rPr>
                <w:rFonts w:hint="eastAsia" w:ascii="Times New Roman" w:hAnsi="Times New Roman"/>
                <w:sz w:val="24"/>
              </w:rPr>
              <w:t>公司于</w:t>
            </w:r>
            <w:r>
              <w:rPr>
                <w:rFonts w:hint="eastAsia" w:ascii="Times New Roman" w:hAnsi="Times New Roman"/>
                <w:bCs/>
                <w:iCs/>
                <w:color w:val="000000"/>
                <w:sz w:val="24"/>
                <w:szCs w:val="24"/>
              </w:rPr>
              <w:t>202</w:t>
            </w:r>
            <w:r>
              <w:rPr>
                <w:rFonts w:hint="eastAsia" w:ascii="Times New Roman" w:hAnsi="Times New Roman"/>
                <w:bCs/>
                <w:iCs/>
                <w:color w:val="000000"/>
                <w:sz w:val="24"/>
                <w:szCs w:val="24"/>
                <w:lang w:val="en-US" w:eastAsia="zh-CN"/>
              </w:rPr>
              <w:t>6</w:t>
            </w:r>
            <w:r>
              <w:rPr>
                <w:rFonts w:hint="eastAsia" w:ascii="Times New Roman" w:hAnsi="Times New Roman"/>
                <w:bCs/>
                <w:iCs/>
                <w:color w:val="000000"/>
                <w:sz w:val="24"/>
                <w:szCs w:val="24"/>
              </w:rPr>
              <w:t>年</w:t>
            </w:r>
            <w:r>
              <w:rPr>
                <w:rFonts w:hint="eastAsia" w:ascii="Times New Roman" w:hAnsi="Times New Roman"/>
                <w:bCs/>
                <w:iCs/>
                <w:color w:val="000000"/>
                <w:sz w:val="24"/>
                <w:szCs w:val="24"/>
                <w:lang w:val="en-US" w:eastAsia="zh-CN"/>
              </w:rPr>
              <w:t>5</w:t>
            </w:r>
            <w:r>
              <w:rPr>
                <w:rFonts w:hint="eastAsia" w:ascii="Times New Roman" w:hAnsi="Times New Roman"/>
                <w:bCs/>
                <w:iCs/>
                <w:color w:val="000000"/>
                <w:sz w:val="24"/>
                <w:szCs w:val="24"/>
              </w:rPr>
              <w:t>月</w:t>
            </w:r>
            <w:r>
              <w:rPr>
                <w:rFonts w:hint="eastAsia" w:ascii="Times New Roman" w:hAnsi="Times New Roman"/>
                <w:bCs/>
                <w:iCs/>
                <w:color w:val="000000"/>
                <w:sz w:val="24"/>
                <w:szCs w:val="24"/>
                <w:lang w:val="en-US" w:eastAsia="zh-CN"/>
              </w:rPr>
              <w:t>13</w:t>
            </w:r>
            <w:r>
              <w:rPr>
                <w:rFonts w:hint="eastAsia" w:ascii="Times New Roman" w:hAnsi="Times New Roman"/>
                <w:bCs/>
                <w:iCs/>
                <w:color w:val="000000"/>
                <w:sz w:val="24"/>
                <w:szCs w:val="24"/>
              </w:rPr>
              <w:t>日(星期</w:t>
            </w:r>
            <w:r>
              <w:rPr>
                <w:rFonts w:hint="eastAsia" w:ascii="Times New Roman" w:hAnsi="Times New Roman"/>
                <w:bCs/>
                <w:iCs/>
                <w:color w:val="000000"/>
                <w:sz w:val="24"/>
                <w:szCs w:val="24"/>
                <w:lang w:val="en-US" w:eastAsia="zh-CN"/>
              </w:rPr>
              <w:t>三</w:t>
            </w:r>
            <w:r>
              <w:rPr>
                <w:rFonts w:hint="eastAsia" w:ascii="Times New Roman" w:hAnsi="Times New Roman"/>
                <w:bCs/>
                <w:iCs/>
                <w:color w:val="000000"/>
                <w:sz w:val="24"/>
                <w:szCs w:val="24"/>
              </w:rPr>
              <w:t>)上午</w:t>
            </w:r>
            <w:r>
              <w:rPr>
                <w:rFonts w:hint="eastAsia" w:ascii="Times New Roman" w:hAnsi="Times New Roman"/>
                <w:bCs/>
                <w:iCs/>
                <w:color w:val="000000"/>
                <w:sz w:val="24"/>
                <w:szCs w:val="24"/>
                <w:lang w:val="en-US" w:eastAsia="zh-CN"/>
              </w:rPr>
              <w:t>9</w:t>
            </w:r>
            <w:r>
              <w:rPr>
                <w:rFonts w:hint="eastAsia" w:ascii="Times New Roman" w:hAnsi="Times New Roman"/>
                <w:bCs/>
                <w:iCs/>
                <w:color w:val="000000"/>
                <w:sz w:val="24"/>
                <w:szCs w:val="24"/>
              </w:rPr>
              <w:t>:00-1</w:t>
            </w:r>
            <w:r>
              <w:rPr>
                <w:rFonts w:hint="eastAsia" w:ascii="Times New Roman" w:hAnsi="Times New Roman"/>
                <w:bCs/>
                <w:iCs/>
                <w:color w:val="000000"/>
                <w:sz w:val="24"/>
                <w:szCs w:val="24"/>
                <w:lang w:val="en-US" w:eastAsia="zh-CN"/>
              </w:rPr>
              <w:t>0</w:t>
            </w:r>
            <w:r>
              <w:rPr>
                <w:rFonts w:hint="eastAsia" w:ascii="Times New Roman" w:hAnsi="Times New Roman"/>
                <w:bCs/>
                <w:iCs/>
                <w:color w:val="000000"/>
                <w:sz w:val="24"/>
                <w:szCs w:val="24"/>
              </w:rPr>
              <w:t>:00</w:t>
            </w:r>
            <w:r>
              <w:rPr>
                <w:rFonts w:hint="eastAsia" w:ascii="Times New Roman" w:hAnsi="Times New Roman"/>
                <w:sz w:val="24"/>
              </w:rPr>
              <w:t>通过上海证券交易所上证路演中心（网址：http://roadshow.sseinfo.com/）以网络文字互动直播的形式召开</w:t>
            </w:r>
            <w:r>
              <w:rPr>
                <w:rFonts w:hint="eastAsia" w:ascii="Times New Roman" w:hAnsi="Times New Roman"/>
                <w:bCs/>
                <w:iCs/>
                <w:color w:val="000000"/>
                <w:sz w:val="24"/>
                <w:szCs w:val="24"/>
              </w:rPr>
              <w:t>2025年度暨2026年第一季度业绩说明会</w:t>
            </w:r>
            <w:r>
              <w:rPr>
                <w:rFonts w:hint="eastAsia" w:ascii="Times New Roman" w:hAnsi="Times New Roman"/>
                <w:sz w:val="24"/>
              </w:rPr>
              <w:t>，就投资者关心的问题进行交流。主要问题及公司回复如下：</w:t>
            </w:r>
          </w:p>
          <w:p w14:paraId="5B039A65">
            <w:pPr>
              <w:adjustRightInd w:val="0"/>
              <w:snapToGrid w:val="0"/>
              <w:spacing w:line="360" w:lineRule="auto"/>
              <w:ind w:firstLine="480" w:firstLineChars="200"/>
              <w:rPr>
                <w:rFonts w:hint="default" w:ascii="Times New Roman" w:hAnsi="Times New Roman" w:eastAsia="宋体"/>
                <w:sz w:val="24"/>
                <w:lang w:val="en-US" w:eastAsia="zh-CN"/>
              </w:rPr>
            </w:pPr>
            <w:r>
              <w:rPr>
                <w:rFonts w:hint="eastAsia" w:ascii="Times New Roman" w:hAnsi="Times New Roman"/>
                <w:sz w:val="24"/>
                <w:lang w:val="en-US" w:eastAsia="zh-CN"/>
              </w:rPr>
              <w:t>会前征集：</w:t>
            </w:r>
          </w:p>
          <w:p w14:paraId="14959AB9">
            <w:pPr>
              <w:adjustRightInd w:val="0"/>
              <w:snapToGrid w:val="0"/>
              <w:spacing w:line="360" w:lineRule="auto"/>
              <w:ind w:firstLine="480" w:firstLineChars="200"/>
              <w:rPr>
                <w:rFonts w:hint="eastAsia" w:ascii="Times New Roman" w:hAnsi="Times New Roman"/>
                <w:sz w:val="24"/>
                <w:lang w:val="en"/>
              </w:rPr>
            </w:pPr>
            <w:r>
              <w:rPr>
                <w:rFonts w:hint="eastAsia" w:ascii="Times New Roman" w:hAnsi="Times New Roman"/>
                <w:sz w:val="24"/>
                <w:lang w:val="en"/>
              </w:rPr>
              <w:t>1.请问公司2026年的主营业务增长目标是什么？ 2.公司在行业竞争中的核心优势有哪些？ 3.未来是否有新的业务拓展活产能规划？</w:t>
            </w:r>
          </w:p>
          <w:p w14:paraId="393F130D">
            <w:pPr>
              <w:adjustRightInd w:val="0"/>
              <w:snapToGrid w:val="0"/>
              <w:spacing w:line="360" w:lineRule="auto"/>
              <w:ind w:firstLine="480" w:firstLineChars="200"/>
              <w:rPr>
                <w:rFonts w:hint="eastAsia" w:ascii="Times New Roman" w:hAnsi="Times New Roman"/>
                <w:sz w:val="24"/>
                <w:lang w:val="en"/>
              </w:rPr>
            </w:pPr>
            <w:r>
              <w:rPr>
                <w:rFonts w:hint="eastAsia" w:ascii="Times New Roman" w:hAnsi="Times New Roman"/>
                <w:sz w:val="24"/>
                <w:lang w:val="en"/>
              </w:rPr>
              <w:t>答：尊敬的投资者，您好。1.公司2026年计划生产矿产金18.72吨、冶炼金37.12吨、矿山铜7.65万吨、电解铜39.79万吨，按照“三增三稳六提升”要求，全力以赴完成全年生产经营任务。2.公司发展优势包括：（一）资源优势。公司生产矿山大都分布于全国重点成矿区带，位置好，潜力大，有进一步获取资源的优势；公司控股股东承诺的优质资产注入、公司通过市场并购黄金资源、现有矿区深部及周边的探矿增储和国内的矿权整合工作，都将为公司可持续发展提供资源保障。（二）科技优势。公司控股股东黄金集团拥有我国黄金行业唯一的国家级黄金研究院和黄金设计院，拥有一大批具有自主知识产权、处于国际领先水平的矿业核心技术，形成了比较完善的科技创新体系。公司开展数字化矿山建设，先进技术在公司的应用促进了装备与技术水平的提高和产业转型升级。（三）人才优势。公司拥有大批尖端的管理和技术人才，搭建了由科研机构、高校、企业内部三方面专家组成的智囊机构。（四）协作平台优势。公司控股股东黄金集团通过整合内部资源组建了中金资源、中金地质、中金建设、中金珠宝、中金贸易等板块，将为公司的资源占有、探矿增储、项目建设、产业链延伸、集约采购、降低成本等方面提供强有力的支撑。3.公司积极布局战新产业链，全力打造中原冶炼厂关键金属新材料制造产业。感谢您对公司的关注。</w:t>
            </w:r>
          </w:p>
          <w:p w14:paraId="46E5481D">
            <w:pPr>
              <w:adjustRightInd w:val="0"/>
              <w:snapToGrid w:val="0"/>
              <w:spacing w:line="360" w:lineRule="auto"/>
              <w:ind w:firstLine="480" w:firstLineChars="200"/>
              <w:rPr>
                <w:rFonts w:hint="eastAsia" w:ascii="Times New Roman" w:hAnsi="Times New Roman"/>
                <w:sz w:val="24"/>
                <w:lang w:val="en-US" w:eastAsia="zh-CN"/>
              </w:rPr>
            </w:pPr>
            <w:r>
              <w:rPr>
                <w:rFonts w:hint="eastAsia" w:ascii="Times New Roman" w:hAnsi="Times New Roman"/>
                <w:sz w:val="24"/>
                <w:lang w:val="en-US" w:eastAsia="zh-CN"/>
              </w:rPr>
              <w:t>现场互动：</w:t>
            </w:r>
          </w:p>
          <w:p w14:paraId="63E524D2">
            <w:pPr>
              <w:adjustRightInd w:val="0"/>
              <w:snapToGrid w:val="0"/>
              <w:spacing w:line="360" w:lineRule="auto"/>
              <w:ind w:firstLine="480" w:firstLineChars="200"/>
              <w:rPr>
                <w:rFonts w:hint="eastAsia" w:ascii="Times New Roman" w:hAnsi="Times New Roman"/>
                <w:sz w:val="24"/>
                <w:lang w:val="en-US" w:eastAsia="zh-CN"/>
              </w:rPr>
            </w:pPr>
            <w:r>
              <w:rPr>
                <w:rFonts w:hint="default" w:ascii="Times New Roman" w:hAnsi="Times New Roman"/>
                <w:sz w:val="24"/>
                <w:lang w:val="en-US" w:eastAsia="zh-CN"/>
              </w:rPr>
              <w:t>1.</w:t>
            </w:r>
            <w:r>
              <w:rPr>
                <w:rFonts w:hint="eastAsia" w:ascii="Times New Roman" w:hAnsi="Times New Roman"/>
                <w:sz w:val="24"/>
                <w:lang w:val="en-US" w:eastAsia="zh-CN"/>
              </w:rPr>
              <w:t>公司2025年探矿有何成果？</w:t>
            </w:r>
            <w:r>
              <w:rPr>
                <w:rFonts w:hint="eastAsia" w:ascii="Times New Roman" w:hAnsi="Times New Roman"/>
                <w:sz w:val="24"/>
                <w:lang w:val="en-US" w:eastAsia="zh-CN"/>
              </w:rPr>
              <w:tab/>
            </w:r>
          </w:p>
          <w:p w14:paraId="08DAFE02">
            <w:pPr>
              <w:adjustRightInd w:val="0"/>
              <w:snapToGrid w:val="0"/>
              <w:spacing w:line="360" w:lineRule="auto"/>
              <w:ind w:firstLine="480" w:firstLineChars="200"/>
              <w:rPr>
                <w:rFonts w:hint="eastAsia" w:ascii="Times New Roman" w:hAnsi="Times New Roman"/>
                <w:sz w:val="24"/>
                <w:lang w:val="en-US" w:eastAsia="zh-CN"/>
              </w:rPr>
            </w:pPr>
            <w:r>
              <w:rPr>
                <w:rFonts w:hint="eastAsia" w:ascii="Times New Roman" w:hAnsi="Times New Roman"/>
                <w:sz w:val="24"/>
                <w:lang w:val="en-US" w:eastAsia="zh-CN"/>
              </w:rPr>
              <w:t>答：尊敬的投资者，您好。公司坚定不移实施“资源生命线”战略，系统推进地质探矿、资源开发、资源管理、地质科研四大重点任务。探矿增储方面，报告期内，累计投入探矿资金3.01亿元，完成坑探工程7.05万米、钻探工程34.27万米，新增金金属量41.38吨、铜金属量16.27万吨、钼金属量3.44万吨。感谢您对公司的关注。</w:t>
            </w:r>
          </w:p>
          <w:p w14:paraId="162370E2">
            <w:pPr>
              <w:adjustRightInd w:val="0"/>
              <w:snapToGrid w:val="0"/>
              <w:spacing w:line="360" w:lineRule="auto"/>
              <w:ind w:firstLine="480" w:firstLineChars="200"/>
              <w:rPr>
                <w:rFonts w:hint="eastAsia" w:ascii="Times New Roman" w:hAnsi="Times New Roman"/>
                <w:sz w:val="24"/>
                <w:lang w:val="en-US" w:eastAsia="zh-CN"/>
              </w:rPr>
            </w:pPr>
            <w:r>
              <w:rPr>
                <w:rFonts w:hint="eastAsia" w:ascii="Times New Roman" w:hAnsi="Times New Roman"/>
                <w:sz w:val="24"/>
                <w:lang w:val="en-US" w:eastAsia="zh-CN"/>
              </w:rPr>
              <w:t>2.请问中国黄金集团会注入资产到上市公司吗，是否有这个承诺</w:t>
            </w:r>
          </w:p>
          <w:p w14:paraId="36B1700A">
            <w:pPr>
              <w:adjustRightInd w:val="0"/>
              <w:snapToGrid w:val="0"/>
              <w:spacing w:line="360" w:lineRule="auto"/>
              <w:ind w:firstLine="480" w:firstLineChars="200"/>
              <w:rPr>
                <w:rFonts w:hint="eastAsia" w:ascii="Times New Roman" w:hAnsi="Times New Roman"/>
                <w:sz w:val="24"/>
                <w:lang w:val="en-US" w:eastAsia="zh-CN"/>
              </w:rPr>
            </w:pPr>
            <w:r>
              <w:rPr>
                <w:rFonts w:hint="eastAsia" w:ascii="Times New Roman" w:hAnsi="Times New Roman"/>
                <w:sz w:val="24"/>
                <w:lang w:val="en-US" w:eastAsia="zh-CN"/>
              </w:rPr>
              <w:t>答：尊敬的投资者，您好。中国黄金集团一直积极推进优质资产注入，条件成熟一家注入一家，承诺详见公司年报“公司实际控制人、股东、关联方、收购人以及公司等承诺相关方在报告期内或持续到报告期内的承诺事项”。感谢您对公司的关注。</w:t>
            </w:r>
          </w:p>
          <w:p w14:paraId="698C1DFD">
            <w:pPr>
              <w:adjustRightInd w:val="0"/>
              <w:snapToGrid w:val="0"/>
              <w:spacing w:line="360" w:lineRule="auto"/>
              <w:ind w:firstLine="480" w:firstLineChars="200"/>
              <w:rPr>
                <w:rFonts w:hint="eastAsia" w:ascii="Times New Roman" w:hAnsi="Times New Roman"/>
                <w:sz w:val="24"/>
                <w:lang w:val="en-US" w:eastAsia="zh-CN"/>
              </w:rPr>
            </w:pPr>
            <w:r>
              <w:rPr>
                <w:rFonts w:hint="eastAsia" w:ascii="Times New Roman" w:hAnsi="Times New Roman"/>
                <w:sz w:val="24"/>
                <w:lang w:val="en-US" w:eastAsia="zh-CN"/>
              </w:rPr>
              <w:t>3.您好，我注意到贵公司2024年及本次均未采用直播形式的业绩说明会并在会后提供视频回放。资本市场愈发重视信息透明度与沟通质量，业绩说明会不仅关系到投资者信息获取，也影响公司公众形象。视频直播及回放有助于提升信息传播与覆盖范围。请问贵公司2025年的业绩说明会，是否考虑采用视频直播并提供会后回放？此外，是否计划引入线上视频交流，在问答环节通过视频形式回应投资者关切，以增强互动效果并提升公司社会影响力？</w:t>
            </w:r>
            <w:r>
              <w:rPr>
                <w:rFonts w:hint="eastAsia" w:ascii="Times New Roman" w:hAnsi="Times New Roman"/>
                <w:sz w:val="24"/>
                <w:lang w:val="en-US" w:eastAsia="zh-CN"/>
              </w:rPr>
              <w:tab/>
            </w:r>
          </w:p>
          <w:p w14:paraId="4CFA645C">
            <w:pPr>
              <w:adjustRightInd w:val="0"/>
              <w:snapToGrid w:val="0"/>
              <w:spacing w:line="360" w:lineRule="auto"/>
              <w:ind w:firstLine="480" w:firstLineChars="200"/>
              <w:rPr>
                <w:rFonts w:hint="eastAsia" w:ascii="Times New Roman" w:hAnsi="Times New Roman"/>
                <w:sz w:val="24"/>
                <w:lang w:val="en-US" w:eastAsia="zh-CN"/>
              </w:rPr>
            </w:pPr>
            <w:r>
              <w:rPr>
                <w:rFonts w:hint="eastAsia" w:ascii="Times New Roman" w:hAnsi="Times New Roman"/>
                <w:sz w:val="24"/>
                <w:lang w:val="en-US" w:eastAsia="zh-CN"/>
              </w:rPr>
              <w:t>答：尊敬的投资者，您好。2025年度暨2026年第一季度业绩说明会采用网络文字互动直播的形式进行。感谢您对公司的关注和建议，我们将认真研究采纳。</w:t>
            </w:r>
          </w:p>
          <w:p w14:paraId="2AC5DE9E">
            <w:pPr>
              <w:adjustRightInd w:val="0"/>
              <w:snapToGrid w:val="0"/>
              <w:spacing w:line="360" w:lineRule="auto"/>
              <w:ind w:firstLine="480" w:firstLineChars="200"/>
              <w:rPr>
                <w:rFonts w:hint="eastAsia" w:ascii="Times New Roman" w:hAnsi="Times New Roman"/>
                <w:sz w:val="24"/>
                <w:lang w:val="en-US" w:eastAsia="zh-CN"/>
              </w:rPr>
            </w:pPr>
            <w:r>
              <w:rPr>
                <w:rFonts w:hint="eastAsia" w:ascii="Times New Roman" w:hAnsi="Times New Roman"/>
                <w:sz w:val="24"/>
                <w:lang w:val="en-US" w:eastAsia="zh-CN"/>
              </w:rPr>
              <w:t>4.公司一季报利润大增有哪些原因</w:t>
            </w:r>
            <w:r>
              <w:rPr>
                <w:rFonts w:hint="eastAsia" w:ascii="Times New Roman" w:hAnsi="Times New Roman"/>
                <w:sz w:val="24"/>
                <w:lang w:val="en-US" w:eastAsia="zh-CN"/>
              </w:rPr>
              <w:tab/>
            </w:r>
          </w:p>
          <w:p w14:paraId="34980830">
            <w:pPr>
              <w:adjustRightInd w:val="0"/>
              <w:snapToGrid w:val="0"/>
              <w:spacing w:line="360" w:lineRule="auto"/>
              <w:ind w:firstLine="480" w:firstLineChars="200"/>
              <w:rPr>
                <w:rFonts w:hint="eastAsia" w:ascii="Times New Roman" w:hAnsi="Times New Roman"/>
                <w:sz w:val="24"/>
                <w:lang w:val="en-US" w:eastAsia="zh-CN"/>
              </w:rPr>
            </w:pPr>
            <w:r>
              <w:rPr>
                <w:rFonts w:hint="eastAsia" w:ascii="Times New Roman" w:hAnsi="Times New Roman"/>
                <w:sz w:val="24"/>
                <w:lang w:val="en-US" w:eastAsia="zh-CN"/>
              </w:rPr>
              <w:t>答：尊敬的投资者，您好。公司2026年第一季度业绩增长主要受益于矿产金业务盈利能力的提升。报告期内，业绩提升一方面得益于销售均价同比上涨及销量保持稳定；另一方面，公司通过深化精益管理、加强成本管控，持续推进降本增效，进一步夯实了盈利基础。感谢您对公司的关注。</w:t>
            </w:r>
          </w:p>
          <w:p w14:paraId="2D92F9B9">
            <w:pPr>
              <w:adjustRightInd w:val="0"/>
              <w:snapToGrid w:val="0"/>
              <w:spacing w:line="360" w:lineRule="auto"/>
              <w:ind w:firstLine="480" w:firstLineChars="200"/>
              <w:rPr>
                <w:rFonts w:hint="eastAsia" w:ascii="Times New Roman" w:hAnsi="Times New Roman"/>
                <w:sz w:val="24"/>
                <w:lang w:val="en-US" w:eastAsia="zh-CN"/>
              </w:rPr>
            </w:pPr>
            <w:r>
              <w:rPr>
                <w:rFonts w:hint="eastAsia" w:ascii="Times New Roman" w:hAnsi="Times New Roman"/>
                <w:sz w:val="24"/>
                <w:lang w:val="en-US" w:eastAsia="zh-CN"/>
              </w:rPr>
              <w:t>5.请详细介绍一下公司十五五规划</w:t>
            </w:r>
            <w:r>
              <w:rPr>
                <w:rFonts w:hint="eastAsia" w:ascii="Times New Roman" w:hAnsi="Times New Roman"/>
                <w:sz w:val="24"/>
                <w:lang w:val="en-US" w:eastAsia="zh-CN"/>
              </w:rPr>
              <w:tab/>
            </w:r>
          </w:p>
          <w:p w14:paraId="2CF613AD">
            <w:pPr>
              <w:adjustRightInd w:val="0"/>
              <w:snapToGrid w:val="0"/>
              <w:spacing w:line="360" w:lineRule="auto"/>
              <w:ind w:firstLine="480" w:firstLineChars="200"/>
              <w:rPr>
                <w:rFonts w:hint="eastAsia" w:ascii="Times New Roman" w:hAnsi="Times New Roman"/>
                <w:sz w:val="24"/>
                <w:lang w:val="en-US" w:eastAsia="zh-CN"/>
              </w:rPr>
            </w:pPr>
            <w:r>
              <w:rPr>
                <w:rFonts w:hint="eastAsia" w:ascii="Times New Roman" w:hAnsi="Times New Roman"/>
                <w:sz w:val="24"/>
                <w:lang w:val="en-US" w:eastAsia="zh-CN"/>
              </w:rPr>
              <w:t>答：尊敬的投资者，您好。公司“十五五”规划正在编制过程中。感谢您对公司的关注。</w:t>
            </w:r>
          </w:p>
          <w:p w14:paraId="4389E081">
            <w:pPr>
              <w:adjustRightInd w:val="0"/>
              <w:snapToGrid w:val="0"/>
              <w:spacing w:line="360" w:lineRule="auto"/>
              <w:ind w:firstLine="480" w:firstLineChars="200"/>
              <w:rPr>
                <w:rFonts w:hint="eastAsia" w:ascii="Times New Roman" w:hAnsi="Times New Roman"/>
                <w:sz w:val="24"/>
                <w:lang w:val="en-US" w:eastAsia="zh-CN"/>
              </w:rPr>
            </w:pPr>
            <w:r>
              <w:rPr>
                <w:rFonts w:hint="eastAsia" w:ascii="Times New Roman" w:hAnsi="Times New Roman"/>
                <w:sz w:val="24"/>
                <w:lang w:val="en-US" w:eastAsia="zh-CN"/>
              </w:rPr>
              <w:t>6.请问公司如何进行市值管理</w:t>
            </w:r>
            <w:r>
              <w:rPr>
                <w:rFonts w:hint="eastAsia" w:ascii="Times New Roman" w:hAnsi="Times New Roman"/>
                <w:sz w:val="24"/>
                <w:lang w:val="en-US" w:eastAsia="zh-CN"/>
              </w:rPr>
              <w:tab/>
            </w:r>
          </w:p>
          <w:p w14:paraId="5F186384">
            <w:pPr>
              <w:adjustRightInd w:val="0"/>
              <w:snapToGrid w:val="0"/>
              <w:spacing w:line="360" w:lineRule="auto"/>
              <w:ind w:firstLine="480" w:firstLineChars="200"/>
              <w:rPr>
                <w:rFonts w:hint="eastAsia" w:ascii="Times New Roman" w:hAnsi="Times New Roman"/>
                <w:sz w:val="24"/>
                <w:lang w:val="en-US" w:eastAsia="zh-CN"/>
              </w:rPr>
            </w:pPr>
            <w:r>
              <w:rPr>
                <w:rFonts w:hint="eastAsia" w:ascii="Times New Roman" w:hAnsi="Times New Roman"/>
                <w:sz w:val="24"/>
                <w:lang w:val="en-US" w:eastAsia="zh-CN"/>
              </w:rPr>
              <w:t>答：尊敬的投资者，您好。市值管理是一项综合性的工作，公司董事会与经营层给予高度重视，制定了相关制度。公司各部门通力合作，提升业绩水平、狠抓安全环保、实施探矿增储、推进优质资产注入，开展多样化投资者关系工作加强与市场沟通，多方面推动公司高质量发展，努力提升公司市值水平，为全体股东创造更多投资回报。感谢您对公司的关注。</w:t>
            </w:r>
          </w:p>
          <w:p w14:paraId="6C50B868">
            <w:pPr>
              <w:adjustRightInd w:val="0"/>
              <w:snapToGrid w:val="0"/>
              <w:spacing w:line="360" w:lineRule="auto"/>
              <w:ind w:firstLine="480" w:firstLineChars="200"/>
              <w:rPr>
                <w:rFonts w:hint="eastAsia" w:ascii="Times New Roman" w:hAnsi="Times New Roman"/>
                <w:sz w:val="24"/>
                <w:lang w:val="en-US" w:eastAsia="zh-CN"/>
              </w:rPr>
            </w:pPr>
            <w:r>
              <w:rPr>
                <w:rFonts w:hint="eastAsia" w:ascii="Times New Roman" w:hAnsi="Times New Roman"/>
                <w:sz w:val="24"/>
                <w:lang w:val="en-US" w:eastAsia="zh-CN"/>
              </w:rPr>
              <w:t>7.大东沟金矿和我们有关系吗</w:t>
            </w:r>
            <w:r>
              <w:rPr>
                <w:rFonts w:hint="eastAsia" w:ascii="Times New Roman" w:hAnsi="Times New Roman"/>
                <w:sz w:val="24"/>
                <w:lang w:val="en-US" w:eastAsia="zh-CN"/>
              </w:rPr>
              <w:tab/>
            </w:r>
          </w:p>
          <w:p w14:paraId="3A9EEDFA">
            <w:pPr>
              <w:adjustRightInd w:val="0"/>
              <w:snapToGrid w:val="0"/>
              <w:spacing w:line="360" w:lineRule="auto"/>
              <w:ind w:firstLine="480" w:firstLineChars="200"/>
              <w:rPr>
                <w:rFonts w:hint="eastAsia" w:ascii="Times New Roman" w:hAnsi="Times New Roman"/>
                <w:sz w:val="24"/>
                <w:lang w:val="en-US" w:eastAsia="zh-CN"/>
              </w:rPr>
            </w:pPr>
            <w:r>
              <w:rPr>
                <w:rFonts w:hint="eastAsia" w:ascii="Times New Roman" w:hAnsi="Times New Roman"/>
                <w:sz w:val="24"/>
                <w:lang w:val="en-US" w:eastAsia="zh-CN"/>
              </w:rPr>
              <w:t>答：尊敬的投资者，您好。截至目前，公司未有应披露而未披露的重大事项。感谢您对公司的关注。</w:t>
            </w:r>
          </w:p>
          <w:p w14:paraId="7C3531C9">
            <w:pPr>
              <w:adjustRightInd w:val="0"/>
              <w:snapToGrid w:val="0"/>
              <w:spacing w:line="360" w:lineRule="auto"/>
              <w:ind w:firstLine="480" w:firstLineChars="200"/>
              <w:rPr>
                <w:rFonts w:hint="eastAsia" w:ascii="Times New Roman" w:hAnsi="Times New Roman"/>
                <w:sz w:val="24"/>
                <w:lang w:val="en-US" w:eastAsia="zh-CN"/>
              </w:rPr>
            </w:pPr>
            <w:r>
              <w:rPr>
                <w:rFonts w:hint="eastAsia" w:ascii="Times New Roman" w:hAnsi="Times New Roman"/>
                <w:sz w:val="24"/>
                <w:lang w:val="en-US" w:eastAsia="zh-CN"/>
              </w:rPr>
              <w:t>8.纱岭金矿何时能正式生产</w:t>
            </w:r>
            <w:r>
              <w:rPr>
                <w:rFonts w:hint="eastAsia" w:ascii="Times New Roman" w:hAnsi="Times New Roman"/>
                <w:sz w:val="24"/>
                <w:lang w:val="en-US" w:eastAsia="zh-CN"/>
              </w:rPr>
              <w:tab/>
            </w:r>
          </w:p>
          <w:p w14:paraId="19B0CD27">
            <w:pPr>
              <w:adjustRightInd w:val="0"/>
              <w:snapToGrid w:val="0"/>
              <w:spacing w:line="360" w:lineRule="auto"/>
              <w:ind w:firstLine="480" w:firstLineChars="200"/>
              <w:rPr>
                <w:rFonts w:hint="eastAsia" w:ascii="Times New Roman" w:hAnsi="Times New Roman"/>
                <w:sz w:val="24"/>
                <w:lang w:val="en-US" w:eastAsia="zh-CN"/>
              </w:rPr>
            </w:pPr>
            <w:r>
              <w:rPr>
                <w:rFonts w:hint="eastAsia" w:ascii="Times New Roman" w:hAnsi="Times New Roman"/>
                <w:sz w:val="24"/>
                <w:lang w:val="en-US" w:eastAsia="zh-CN"/>
              </w:rPr>
              <w:t>答：尊敬的投资者，您好。截至2025年12月底，纱岭金矿项目主井井筒装备安装工程已完成整体工程的93％，主厂房完成形象进度97%，尾</w:t>
            </w:r>
            <w:bookmarkStart w:id="0" w:name="_GoBack"/>
            <w:bookmarkEnd w:id="0"/>
            <w:r>
              <w:rPr>
                <w:rFonts w:hint="eastAsia" w:ascii="Times New Roman" w:hAnsi="Times New Roman"/>
                <w:sz w:val="24"/>
                <w:lang w:val="en-US" w:eastAsia="zh-CN"/>
              </w:rPr>
              <w:t>矿库工程完成总形象进度80%。目前，项目建设正加快推进。感谢您对公司的关注。</w:t>
            </w:r>
          </w:p>
          <w:p w14:paraId="028F89B6">
            <w:pPr>
              <w:adjustRightInd w:val="0"/>
              <w:snapToGrid w:val="0"/>
              <w:spacing w:line="360" w:lineRule="auto"/>
              <w:ind w:firstLine="480" w:firstLineChars="200"/>
              <w:rPr>
                <w:rFonts w:hint="eastAsia" w:ascii="Times New Roman" w:hAnsi="Times New Roman"/>
                <w:sz w:val="24"/>
                <w:lang w:val="en-US" w:eastAsia="zh-CN"/>
              </w:rPr>
            </w:pPr>
            <w:r>
              <w:rPr>
                <w:rFonts w:hint="eastAsia" w:ascii="Times New Roman" w:hAnsi="Times New Roman"/>
                <w:sz w:val="24"/>
                <w:lang w:val="en-US" w:eastAsia="zh-CN"/>
              </w:rPr>
              <w:t>9.去年公告的收购四小矿目前进展如何，都快一年了啊</w:t>
            </w:r>
          </w:p>
          <w:p w14:paraId="53424E2F">
            <w:pPr>
              <w:adjustRightInd w:val="0"/>
              <w:snapToGrid w:val="0"/>
              <w:spacing w:line="360" w:lineRule="auto"/>
              <w:ind w:firstLine="480" w:firstLineChars="200"/>
              <w:rPr>
                <w:rFonts w:hint="default" w:ascii="Times New Roman" w:hAnsi="Times New Roman"/>
                <w:sz w:val="24"/>
                <w:lang w:val="en-US" w:eastAsia="zh-CN"/>
              </w:rPr>
            </w:pPr>
            <w:r>
              <w:rPr>
                <w:rFonts w:hint="eastAsia" w:ascii="Times New Roman" w:hAnsi="Times New Roman"/>
                <w:sz w:val="24"/>
                <w:lang w:val="en-US" w:eastAsia="zh-CN"/>
              </w:rPr>
              <w:t>答：尊敬的投资者，您好。上述并购项目正在积极推进中。感谢您对公司的关注。</w:t>
            </w:r>
          </w:p>
        </w:tc>
      </w:tr>
      <w:tr w14:paraId="64809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3" w:type="dxa"/>
            <w:tcBorders>
              <w:top w:val="single" w:color="auto" w:sz="4" w:space="0"/>
              <w:left w:val="single" w:color="auto" w:sz="4" w:space="0"/>
              <w:bottom w:val="single" w:color="auto" w:sz="4" w:space="0"/>
              <w:right w:val="single" w:color="auto" w:sz="4" w:space="0"/>
            </w:tcBorders>
            <w:shd w:val="clear" w:color="auto" w:fill="auto"/>
            <w:vAlign w:val="center"/>
          </w:tcPr>
          <w:p w14:paraId="64E2A77F">
            <w:pPr>
              <w:spacing w:line="360" w:lineRule="auto"/>
              <w:rPr>
                <w:rFonts w:ascii="Times New Roman" w:hAnsi="Times New Roman"/>
                <w:b/>
                <w:bCs/>
                <w:iCs/>
                <w:color w:val="000000"/>
                <w:sz w:val="24"/>
                <w:szCs w:val="24"/>
              </w:rPr>
            </w:pPr>
            <w:r>
              <w:rPr>
                <w:rFonts w:hint="eastAsia" w:ascii="Times New Roman" w:hAnsi="Times New Roman"/>
                <w:b/>
                <w:bCs/>
                <w:iCs/>
                <w:color w:val="000000"/>
                <w:sz w:val="24"/>
                <w:szCs w:val="24"/>
              </w:rPr>
              <w:t>附件清单（如有）</w:t>
            </w:r>
          </w:p>
        </w:tc>
        <w:tc>
          <w:tcPr>
            <w:tcW w:w="6363" w:type="dxa"/>
            <w:tcBorders>
              <w:top w:val="single" w:color="auto" w:sz="4" w:space="0"/>
              <w:left w:val="single" w:color="auto" w:sz="4" w:space="0"/>
              <w:bottom w:val="single" w:color="auto" w:sz="4" w:space="0"/>
              <w:right w:val="single" w:color="auto" w:sz="4" w:space="0"/>
            </w:tcBorders>
            <w:shd w:val="clear" w:color="auto" w:fill="auto"/>
          </w:tcPr>
          <w:p w14:paraId="281E9C3E">
            <w:pPr>
              <w:spacing w:line="360" w:lineRule="auto"/>
              <w:rPr>
                <w:rFonts w:ascii="Times New Roman" w:hAnsi="Times New Roman"/>
                <w:bCs/>
                <w:iCs/>
                <w:color w:val="000000"/>
                <w:sz w:val="24"/>
                <w:szCs w:val="24"/>
              </w:rPr>
            </w:pPr>
            <w:r>
              <w:rPr>
                <w:rFonts w:hint="eastAsia" w:ascii="Times New Roman" w:hAnsi="Times New Roman"/>
                <w:bCs/>
                <w:iCs/>
                <w:color w:val="000000"/>
                <w:sz w:val="24"/>
                <w:szCs w:val="24"/>
              </w:rPr>
              <w:t>无</w:t>
            </w:r>
          </w:p>
        </w:tc>
      </w:tr>
      <w:tr w14:paraId="0F1EE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3" w:type="dxa"/>
            <w:tcBorders>
              <w:top w:val="single" w:color="auto" w:sz="4" w:space="0"/>
              <w:left w:val="single" w:color="auto" w:sz="4" w:space="0"/>
              <w:bottom w:val="single" w:color="auto" w:sz="4" w:space="0"/>
              <w:right w:val="single" w:color="auto" w:sz="4" w:space="0"/>
            </w:tcBorders>
            <w:shd w:val="clear" w:color="auto" w:fill="auto"/>
            <w:vAlign w:val="center"/>
          </w:tcPr>
          <w:p w14:paraId="5ABB795F">
            <w:pPr>
              <w:spacing w:line="360" w:lineRule="auto"/>
              <w:rPr>
                <w:rFonts w:ascii="Times New Roman" w:hAnsi="Times New Roman"/>
                <w:b/>
                <w:bCs/>
                <w:iCs/>
                <w:color w:val="000000"/>
                <w:sz w:val="24"/>
                <w:szCs w:val="24"/>
              </w:rPr>
            </w:pPr>
            <w:r>
              <w:rPr>
                <w:rFonts w:ascii="Times New Roman" w:hAnsi="Times New Roman"/>
                <w:b/>
                <w:bCs/>
                <w:iCs/>
                <w:color w:val="000000"/>
                <w:sz w:val="24"/>
                <w:szCs w:val="24"/>
              </w:rPr>
              <w:t>日期</w:t>
            </w:r>
          </w:p>
        </w:tc>
        <w:tc>
          <w:tcPr>
            <w:tcW w:w="6363" w:type="dxa"/>
            <w:tcBorders>
              <w:top w:val="single" w:color="auto" w:sz="4" w:space="0"/>
              <w:left w:val="single" w:color="auto" w:sz="4" w:space="0"/>
              <w:bottom w:val="single" w:color="auto" w:sz="4" w:space="0"/>
              <w:right w:val="single" w:color="auto" w:sz="4" w:space="0"/>
            </w:tcBorders>
            <w:shd w:val="clear" w:color="auto" w:fill="auto"/>
          </w:tcPr>
          <w:p w14:paraId="148D5A12">
            <w:pPr>
              <w:spacing w:line="360" w:lineRule="auto"/>
              <w:rPr>
                <w:rFonts w:ascii="Times New Roman" w:hAnsi="Times New Roman"/>
                <w:bCs/>
                <w:iCs/>
                <w:color w:val="000000"/>
                <w:sz w:val="24"/>
                <w:szCs w:val="24"/>
              </w:rPr>
            </w:pPr>
            <w:r>
              <w:rPr>
                <w:rFonts w:ascii="Times New Roman" w:hAnsi="Times New Roman"/>
                <w:bCs/>
                <w:iCs/>
                <w:color w:val="000000"/>
                <w:sz w:val="24"/>
                <w:szCs w:val="24"/>
              </w:rPr>
              <w:t>202</w:t>
            </w:r>
            <w:r>
              <w:rPr>
                <w:rFonts w:hint="eastAsia" w:ascii="Times New Roman" w:hAnsi="Times New Roman"/>
                <w:bCs/>
                <w:iCs/>
                <w:color w:val="000000"/>
                <w:sz w:val="24"/>
                <w:szCs w:val="24"/>
                <w:lang w:val="en-US" w:eastAsia="zh-CN"/>
              </w:rPr>
              <w:t>6</w:t>
            </w:r>
            <w:r>
              <w:rPr>
                <w:rFonts w:ascii="Times New Roman" w:hAnsi="Times New Roman"/>
                <w:bCs/>
                <w:iCs/>
                <w:color w:val="000000"/>
                <w:sz w:val="24"/>
                <w:szCs w:val="24"/>
              </w:rPr>
              <w:t>年</w:t>
            </w:r>
            <w:r>
              <w:rPr>
                <w:rFonts w:hint="eastAsia" w:ascii="Times New Roman" w:hAnsi="Times New Roman"/>
                <w:bCs/>
                <w:iCs/>
                <w:color w:val="000000"/>
                <w:sz w:val="24"/>
                <w:szCs w:val="24"/>
                <w:lang w:val="en-US" w:eastAsia="zh-CN"/>
              </w:rPr>
              <w:t>5</w:t>
            </w:r>
            <w:r>
              <w:rPr>
                <w:rFonts w:ascii="Times New Roman" w:hAnsi="Times New Roman"/>
                <w:bCs/>
                <w:iCs/>
                <w:color w:val="000000"/>
                <w:sz w:val="24"/>
                <w:szCs w:val="24"/>
              </w:rPr>
              <w:t>月</w:t>
            </w:r>
            <w:r>
              <w:rPr>
                <w:rFonts w:hint="eastAsia" w:ascii="Times New Roman" w:hAnsi="Times New Roman"/>
                <w:bCs/>
                <w:iCs/>
                <w:color w:val="000000"/>
                <w:sz w:val="24"/>
                <w:szCs w:val="24"/>
                <w:lang w:val="en-US" w:eastAsia="zh-CN"/>
              </w:rPr>
              <w:t>13</w:t>
            </w:r>
            <w:r>
              <w:rPr>
                <w:rFonts w:ascii="Times New Roman" w:hAnsi="Times New Roman"/>
                <w:bCs/>
                <w:iCs/>
                <w:color w:val="000000"/>
                <w:sz w:val="24"/>
                <w:szCs w:val="24"/>
              </w:rPr>
              <w:t>日</w:t>
            </w:r>
          </w:p>
        </w:tc>
      </w:tr>
    </w:tbl>
    <w:p w14:paraId="17B9045E">
      <w:pPr>
        <w:rPr>
          <w:rFonts w:ascii="Times New Roman" w:hAnsi="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D29"/>
    <w:rsid w:val="000126BF"/>
    <w:rsid w:val="000242E0"/>
    <w:rsid w:val="000343D3"/>
    <w:rsid w:val="00035D49"/>
    <w:rsid w:val="00040B80"/>
    <w:rsid w:val="00053362"/>
    <w:rsid w:val="0006624D"/>
    <w:rsid w:val="000869B2"/>
    <w:rsid w:val="00091F8C"/>
    <w:rsid w:val="00094906"/>
    <w:rsid w:val="000B53FA"/>
    <w:rsid w:val="000C62D4"/>
    <w:rsid w:val="000D5CC8"/>
    <w:rsid w:val="000D6CEA"/>
    <w:rsid w:val="000E4686"/>
    <w:rsid w:val="000F1B3C"/>
    <w:rsid w:val="00116D9C"/>
    <w:rsid w:val="00120F8E"/>
    <w:rsid w:val="00164888"/>
    <w:rsid w:val="00173D6D"/>
    <w:rsid w:val="00186E5E"/>
    <w:rsid w:val="001904AC"/>
    <w:rsid w:val="001C4A79"/>
    <w:rsid w:val="001C6DFC"/>
    <w:rsid w:val="001D2E1B"/>
    <w:rsid w:val="001D51B9"/>
    <w:rsid w:val="001F1135"/>
    <w:rsid w:val="001F2A17"/>
    <w:rsid w:val="001F2F44"/>
    <w:rsid w:val="00202FEA"/>
    <w:rsid w:val="002116E9"/>
    <w:rsid w:val="002172F8"/>
    <w:rsid w:val="00222DD2"/>
    <w:rsid w:val="00223075"/>
    <w:rsid w:val="00236934"/>
    <w:rsid w:val="00242236"/>
    <w:rsid w:val="00256064"/>
    <w:rsid w:val="00266B19"/>
    <w:rsid w:val="0027163B"/>
    <w:rsid w:val="0027215D"/>
    <w:rsid w:val="002908A9"/>
    <w:rsid w:val="00295EB9"/>
    <w:rsid w:val="002A5EDF"/>
    <w:rsid w:val="002C6444"/>
    <w:rsid w:val="002E6FFA"/>
    <w:rsid w:val="003018FC"/>
    <w:rsid w:val="00313ECB"/>
    <w:rsid w:val="00333514"/>
    <w:rsid w:val="003340D1"/>
    <w:rsid w:val="00337168"/>
    <w:rsid w:val="00360588"/>
    <w:rsid w:val="00361DA5"/>
    <w:rsid w:val="003712B9"/>
    <w:rsid w:val="00371A09"/>
    <w:rsid w:val="00373B0D"/>
    <w:rsid w:val="003754B6"/>
    <w:rsid w:val="003837D8"/>
    <w:rsid w:val="00397450"/>
    <w:rsid w:val="003A261D"/>
    <w:rsid w:val="003A31D9"/>
    <w:rsid w:val="003A5392"/>
    <w:rsid w:val="003B112D"/>
    <w:rsid w:val="003B6D77"/>
    <w:rsid w:val="003B7A92"/>
    <w:rsid w:val="003C7044"/>
    <w:rsid w:val="003D0FAC"/>
    <w:rsid w:val="0041375E"/>
    <w:rsid w:val="004149E5"/>
    <w:rsid w:val="00417676"/>
    <w:rsid w:val="004200E3"/>
    <w:rsid w:val="0042583D"/>
    <w:rsid w:val="00437D26"/>
    <w:rsid w:val="00440B90"/>
    <w:rsid w:val="00447A4D"/>
    <w:rsid w:val="004576A2"/>
    <w:rsid w:val="00460DE5"/>
    <w:rsid w:val="00467354"/>
    <w:rsid w:val="00480E0F"/>
    <w:rsid w:val="00482DEC"/>
    <w:rsid w:val="004A0252"/>
    <w:rsid w:val="004A565D"/>
    <w:rsid w:val="004A7D44"/>
    <w:rsid w:val="004B01AE"/>
    <w:rsid w:val="004E2D0C"/>
    <w:rsid w:val="004F170D"/>
    <w:rsid w:val="004F1D52"/>
    <w:rsid w:val="004F6D40"/>
    <w:rsid w:val="00501BA0"/>
    <w:rsid w:val="005138B1"/>
    <w:rsid w:val="005155CD"/>
    <w:rsid w:val="00534056"/>
    <w:rsid w:val="00534981"/>
    <w:rsid w:val="005521E3"/>
    <w:rsid w:val="005D0EF9"/>
    <w:rsid w:val="005E194A"/>
    <w:rsid w:val="005E2FE9"/>
    <w:rsid w:val="005E7956"/>
    <w:rsid w:val="00606104"/>
    <w:rsid w:val="00606A51"/>
    <w:rsid w:val="00611FDB"/>
    <w:rsid w:val="006301AF"/>
    <w:rsid w:val="0063104D"/>
    <w:rsid w:val="006416EE"/>
    <w:rsid w:val="00643204"/>
    <w:rsid w:val="0064325B"/>
    <w:rsid w:val="0065109C"/>
    <w:rsid w:val="006515F8"/>
    <w:rsid w:val="006848BD"/>
    <w:rsid w:val="00690D17"/>
    <w:rsid w:val="006B5369"/>
    <w:rsid w:val="006D095C"/>
    <w:rsid w:val="006D0B45"/>
    <w:rsid w:val="006D2091"/>
    <w:rsid w:val="006E07D2"/>
    <w:rsid w:val="006E389F"/>
    <w:rsid w:val="006E4412"/>
    <w:rsid w:val="006F1754"/>
    <w:rsid w:val="006F6D35"/>
    <w:rsid w:val="0071748A"/>
    <w:rsid w:val="0072585D"/>
    <w:rsid w:val="00735D7A"/>
    <w:rsid w:val="00736069"/>
    <w:rsid w:val="00736215"/>
    <w:rsid w:val="00743C93"/>
    <w:rsid w:val="00753EAF"/>
    <w:rsid w:val="00754736"/>
    <w:rsid w:val="00756B01"/>
    <w:rsid w:val="007638D9"/>
    <w:rsid w:val="00764703"/>
    <w:rsid w:val="00766B78"/>
    <w:rsid w:val="007716E7"/>
    <w:rsid w:val="00774954"/>
    <w:rsid w:val="00783ADA"/>
    <w:rsid w:val="007908E5"/>
    <w:rsid w:val="00792760"/>
    <w:rsid w:val="007977DF"/>
    <w:rsid w:val="007A2F8C"/>
    <w:rsid w:val="007D3996"/>
    <w:rsid w:val="007D5044"/>
    <w:rsid w:val="007D5DF1"/>
    <w:rsid w:val="007E0557"/>
    <w:rsid w:val="007E159C"/>
    <w:rsid w:val="007E3483"/>
    <w:rsid w:val="007F50F9"/>
    <w:rsid w:val="007F678F"/>
    <w:rsid w:val="00802890"/>
    <w:rsid w:val="00810C42"/>
    <w:rsid w:val="0081359A"/>
    <w:rsid w:val="00813969"/>
    <w:rsid w:val="0081651F"/>
    <w:rsid w:val="00837255"/>
    <w:rsid w:val="0084056D"/>
    <w:rsid w:val="00844B04"/>
    <w:rsid w:val="008663D9"/>
    <w:rsid w:val="0087322A"/>
    <w:rsid w:val="00886A14"/>
    <w:rsid w:val="00890FF8"/>
    <w:rsid w:val="00894E09"/>
    <w:rsid w:val="008A4628"/>
    <w:rsid w:val="008C081B"/>
    <w:rsid w:val="008D77E7"/>
    <w:rsid w:val="008F50F4"/>
    <w:rsid w:val="00902D51"/>
    <w:rsid w:val="00911812"/>
    <w:rsid w:val="00916F71"/>
    <w:rsid w:val="00920876"/>
    <w:rsid w:val="00920BB1"/>
    <w:rsid w:val="00924A98"/>
    <w:rsid w:val="00924EE0"/>
    <w:rsid w:val="00941E00"/>
    <w:rsid w:val="0094768E"/>
    <w:rsid w:val="00947B28"/>
    <w:rsid w:val="00974242"/>
    <w:rsid w:val="00990861"/>
    <w:rsid w:val="0099503F"/>
    <w:rsid w:val="00995C94"/>
    <w:rsid w:val="009A7360"/>
    <w:rsid w:val="009B0719"/>
    <w:rsid w:val="009B472F"/>
    <w:rsid w:val="009C3B33"/>
    <w:rsid w:val="009D61E5"/>
    <w:rsid w:val="009E361F"/>
    <w:rsid w:val="009E4081"/>
    <w:rsid w:val="009E7861"/>
    <w:rsid w:val="009F3BCD"/>
    <w:rsid w:val="00A4428D"/>
    <w:rsid w:val="00A47DD6"/>
    <w:rsid w:val="00A61AE8"/>
    <w:rsid w:val="00A87A4E"/>
    <w:rsid w:val="00A87FF5"/>
    <w:rsid w:val="00A950F2"/>
    <w:rsid w:val="00AA4E2B"/>
    <w:rsid w:val="00AB1769"/>
    <w:rsid w:val="00AD14CD"/>
    <w:rsid w:val="00AD6036"/>
    <w:rsid w:val="00B07E89"/>
    <w:rsid w:val="00B16E3C"/>
    <w:rsid w:val="00B27340"/>
    <w:rsid w:val="00B36019"/>
    <w:rsid w:val="00B414AB"/>
    <w:rsid w:val="00B55865"/>
    <w:rsid w:val="00B56D0C"/>
    <w:rsid w:val="00B66420"/>
    <w:rsid w:val="00B71FF0"/>
    <w:rsid w:val="00B8712F"/>
    <w:rsid w:val="00B923C6"/>
    <w:rsid w:val="00BA112D"/>
    <w:rsid w:val="00BA1F0F"/>
    <w:rsid w:val="00BA723A"/>
    <w:rsid w:val="00BB4912"/>
    <w:rsid w:val="00BB5D3F"/>
    <w:rsid w:val="00BC3AE2"/>
    <w:rsid w:val="00BC4479"/>
    <w:rsid w:val="00BC623E"/>
    <w:rsid w:val="00BC7A23"/>
    <w:rsid w:val="00BD1F37"/>
    <w:rsid w:val="00BE0FB1"/>
    <w:rsid w:val="00BE1269"/>
    <w:rsid w:val="00BE2B40"/>
    <w:rsid w:val="00BE5CB7"/>
    <w:rsid w:val="00C02531"/>
    <w:rsid w:val="00C0282D"/>
    <w:rsid w:val="00C07D01"/>
    <w:rsid w:val="00C13925"/>
    <w:rsid w:val="00C14429"/>
    <w:rsid w:val="00C20476"/>
    <w:rsid w:val="00C25B9C"/>
    <w:rsid w:val="00C277CD"/>
    <w:rsid w:val="00C52207"/>
    <w:rsid w:val="00C557C1"/>
    <w:rsid w:val="00C57379"/>
    <w:rsid w:val="00C66557"/>
    <w:rsid w:val="00C710F8"/>
    <w:rsid w:val="00C771FE"/>
    <w:rsid w:val="00C84DD9"/>
    <w:rsid w:val="00C85353"/>
    <w:rsid w:val="00C92533"/>
    <w:rsid w:val="00C954CA"/>
    <w:rsid w:val="00CA2B3C"/>
    <w:rsid w:val="00CB2C1B"/>
    <w:rsid w:val="00CC4129"/>
    <w:rsid w:val="00CD2B28"/>
    <w:rsid w:val="00CD542F"/>
    <w:rsid w:val="00CF7AE8"/>
    <w:rsid w:val="00D03A21"/>
    <w:rsid w:val="00D1041C"/>
    <w:rsid w:val="00D10630"/>
    <w:rsid w:val="00D32C58"/>
    <w:rsid w:val="00D439BD"/>
    <w:rsid w:val="00D50D3F"/>
    <w:rsid w:val="00D56961"/>
    <w:rsid w:val="00D56EC9"/>
    <w:rsid w:val="00D62E01"/>
    <w:rsid w:val="00D756BE"/>
    <w:rsid w:val="00D93A43"/>
    <w:rsid w:val="00D94C0B"/>
    <w:rsid w:val="00DB1E79"/>
    <w:rsid w:val="00DB30BD"/>
    <w:rsid w:val="00DB3E76"/>
    <w:rsid w:val="00DD48BD"/>
    <w:rsid w:val="00DD5DEA"/>
    <w:rsid w:val="00DF0836"/>
    <w:rsid w:val="00E05206"/>
    <w:rsid w:val="00E12600"/>
    <w:rsid w:val="00E3164C"/>
    <w:rsid w:val="00E422DE"/>
    <w:rsid w:val="00E42D29"/>
    <w:rsid w:val="00E57C69"/>
    <w:rsid w:val="00E616B7"/>
    <w:rsid w:val="00E65C1F"/>
    <w:rsid w:val="00E70BBE"/>
    <w:rsid w:val="00E74781"/>
    <w:rsid w:val="00E8312F"/>
    <w:rsid w:val="00E84352"/>
    <w:rsid w:val="00E8601C"/>
    <w:rsid w:val="00E87369"/>
    <w:rsid w:val="00E90314"/>
    <w:rsid w:val="00E95735"/>
    <w:rsid w:val="00EA6A65"/>
    <w:rsid w:val="00EC7D77"/>
    <w:rsid w:val="00ED07EB"/>
    <w:rsid w:val="00ED2BC0"/>
    <w:rsid w:val="00ED32E4"/>
    <w:rsid w:val="00EF113D"/>
    <w:rsid w:val="00EF3A52"/>
    <w:rsid w:val="00EF3E75"/>
    <w:rsid w:val="00F01ACF"/>
    <w:rsid w:val="00F04775"/>
    <w:rsid w:val="00F27075"/>
    <w:rsid w:val="00F3093C"/>
    <w:rsid w:val="00F375EE"/>
    <w:rsid w:val="00F526B1"/>
    <w:rsid w:val="00F56EB2"/>
    <w:rsid w:val="00F84701"/>
    <w:rsid w:val="00F94191"/>
    <w:rsid w:val="00FA74EC"/>
    <w:rsid w:val="00FD20ED"/>
    <w:rsid w:val="00FD4F56"/>
    <w:rsid w:val="053E1DD4"/>
    <w:rsid w:val="207459E6"/>
    <w:rsid w:val="2FE9223D"/>
    <w:rsid w:val="3C8E3F66"/>
    <w:rsid w:val="44223458"/>
    <w:rsid w:val="476318CE"/>
    <w:rsid w:val="4BD7548C"/>
    <w:rsid w:val="5FE82F0B"/>
    <w:rsid w:val="61216A50"/>
    <w:rsid w:val="70ED7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9"/>
    <w:semiHidden/>
    <w:unhideWhenUsed/>
    <w:qFormat/>
    <w:uiPriority w:val="99"/>
    <w:pPr>
      <w:jc w:val="left"/>
    </w:pPr>
  </w:style>
  <w:style w:type="paragraph" w:styleId="3">
    <w:name w:val="Balloon Text"/>
    <w:basedOn w:val="1"/>
    <w:link w:val="21"/>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20"/>
    <w:semiHidden/>
    <w:unhideWhenUsed/>
    <w:qFormat/>
    <w:uiPriority w:val="99"/>
    <w:rPr>
      <w:b/>
      <w:bCs/>
    </w:rPr>
  </w:style>
  <w:style w:type="character" w:styleId="9">
    <w:name w:val="Emphasis"/>
    <w:basedOn w:val="8"/>
    <w:qFormat/>
    <w:uiPriority w:val="20"/>
    <w:rPr>
      <w:i/>
    </w:rPr>
  </w:style>
  <w:style w:type="character" w:styleId="10">
    <w:name w:val="Hyperlink"/>
    <w:basedOn w:val="8"/>
    <w:unhideWhenUsed/>
    <w:qFormat/>
    <w:uiPriority w:val="99"/>
    <w:rPr>
      <w:color w:val="0000FF" w:themeColor="hyperlink"/>
      <w:u w:val="single"/>
      <w14:textFill>
        <w14:solidFill>
          <w14:schemeClr w14:val="hlink"/>
        </w14:solidFill>
      </w14:textFill>
    </w:rPr>
  </w:style>
  <w:style w:type="character" w:styleId="11">
    <w:name w:val="annotation reference"/>
    <w:basedOn w:val="8"/>
    <w:semiHidden/>
    <w:unhideWhenUsed/>
    <w:qFormat/>
    <w:uiPriority w:val="99"/>
    <w:rPr>
      <w:sz w:val="21"/>
      <w:szCs w:val="21"/>
    </w:rPr>
  </w:style>
  <w:style w:type="character" w:customStyle="1" w:styleId="12">
    <w:name w:val="页眉 Char"/>
    <w:basedOn w:val="8"/>
    <w:link w:val="5"/>
    <w:qFormat/>
    <w:uiPriority w:val="99"/>
    <w:rPr>
      <w:sz w:val="18"/>
      <w:szCs w:val="18"/>
    </w:rPr>
  </w:style>
  <w:style w:type="character" w:customStyle="1" w:styleId="13">
    <w:name w:val="页脚 Char"/>
    <w:basedOn w:val="8"/>
    <w:link w:val="4"/>
    <w:qFormat/>
    <w:uiPriority w:val="99"/>
    <w:rPr>
      <w:sz w:val="18"/>
      <w:szCs w:val="18"/>
    </w:rPr>
  </w:style>
  <w:style w:type="paragraph" w:styleId="14">
    <w:name w:val="List Paragraph"/>
    <w:basedOn w:val="1"/>
    <w:qFormat/>
    <w:uiPriority w:val="34"/>
    <w:pPr>
      <w:ind w:firstLine="420" w:firstLineChars="200"/>
    </w:pPr>
  </w:style>
  <w:style w:type="paragraph" w:customStyle="1" w:styleId="15">
    <w:name w:val="招股书正文"/>
    <w:basedOn w:val="1"/>
    <w:link w:val="16"/>
    <w:qFormat/>
    <w:uiPriority w:val="0"/>
    <w:pPr>
      <w:adjustRightInd w:val="0"/>
      <w:snapToGrid w:val="0"/>
      <w:spacing w:beforeLines="50" w:afterLines="50" w:line="360" w:lineRule="auto"/>
      <w:ind w:firstLine="200" w:firstLineChars="200"/>
    </w:pPr>
    <w:rPr>
      <w:rFonts w:ascii="Times New Roman" w:hAnsi="Times New Roman"/>
      <w:color w:val="000000"/>
      <w:sz w:val="24"/>
      <w:szCs w:val="21"/>
    </w:rPr>
  </w:style>
  <w:style w:type="character" w:customStyle="1" w:styleId="16">
    <w:name w:val="招股书正文 字符"/>
    <w:link w:val="15"/>
    <w:qFormat/>
    <w:uiPriority w:val="0"/>
    <w:rPr>
      <w:rFonts w:ascii="Times New Roman" w:hAnsi="Times New Roman" w:eastAsia="宋体" w:cs="Times New Roman"/>
      <w:color w:val="000000"/>
      <w:sz w:val="24"/>
      <w:szCs w:val="21"/>
    </w:rPr>
  </w:style>
  <w:style w:type="paragraph" w:customStyle="1" w:styleId="17">
    <w:name w:val="反馈正文"/>
    <w:basedOn w:val="1"/>
    <w:link w:val="18"/>
    <w:qFormat/>
    <w:uiPriority w:val="0"/>
    <w:pPr>
      <w:spacing w:beforeLines="50" w:afterLines="50" w:line="360" w:lineRule="auto"/>
      <w:ind w:firstLine="200" w:firstLineChars="200"/>
    </w:pPr>
    <w:rPr>
      <w:rFonts w:ascii="Times New Roman" w:hAnsi="Times New Roman"/>
      <w:color w:val="000000"/>
      <w:kern w:val="0"/>
      <w:sz w:val="24"/>
      <w:szCs w:val="21"/>
    </w:rPr>
  </w:style>
  <w:style w:type="character" w:customStyle="1" w:styleId="18">
    <w:name w:val="反馈正文 字符"/>
    <w:link w:val="17"/>
    <w:qFormat/>
    <w:uiPriority w:val="0"/>
    <w:rPr>
      <w:rFonts w:ascii="Times New Roman" w:hAnsi="Times New Roman" w:eastAsia="宋体" w:cs="Times New Roman"/>
      <w:color w:val="000000"/>
      <w:kern w:val="0"/>
      <w:sz w:val="24"/>
      <w:szCs w:val="21"/>
    </w:rPr>
  </w:style>
  <w:style w:type="character" w:customStyle="1" w:styleId="19">
    <w:name w:val="批注文字 Char"/>
    <w:basedOn w:val="8"/>
    <w:link w:val="2"/>
    <w:semiHidden/>
    <w:qFormat/>
    <w:uiPriority w:val="99"/>
    <w:rPr>
      <w:rFonts w:ascii="Calibri" w:hAnsi="Calibri"/>
      <w:kern w:val="2"/>
      <w:sz w:val="21"/>
      <w:szCs w:val="22"/>
    </w:rPr>
  </w:style>
  <w:style w:type="character" w:customStyle="1" w:styleId="20">
    <w:name w:val="批注主题 Char"/>
    <w:basedOn w:val="19"/>
    <w:link w:val="6"/>
    <w:semiHidden/>
    <w:qFormat/>
    <w:uiPriority w:val="99"/>
    <w:rPr>
      <w:rFonts w:ascii="Calibri" w:hAnsi="Calibri"/>
      <w:b/>
      <w:bCs/>
      <w:kern w:val="2"/>
      <w:sz w:val="21"/>
      <w:szCs w:val="22"/>
    </w:rPr>
  </w:style>
  <w:style w:type="character" w:customStyle="1" w:styleId="21">
    <w:name w:val="批注框文本 Char"/>
    <w:basedOn w:val="8"/>
    <w:link w:val="3"/>
    <w:semiHidden/>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232</Words>
  <Characters>1327</Characters>
  <Lines>11</Lines>
  <Paragraphs>3</Paragraphs>
  <TotalTime>6</TotalTime>
  <ScaleCrop>false</ScaleCrop>
  <LinksUpToDate>false</LinksUpToDate>
  <CharactersWithSpaces>1556</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2023-06-02T07:01:00Z</dcterms:created>
  <dc:creator>ZXR</dc:creator>
  <cp:lastModifiedBy>周卫花</cp:lastModifiedBy>
  <cp:lastPrinted>2021-08-20T03:54:00Z</cp:lastPrinted>
  <dcterms:modified xsi:type="dcterms:W3CDTF">2026-05-13T02:33:21Z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C06F6DC54BC34F26AF19DF3E82ADBE04</vt:lpwstr>
  </property>
</Properties>
</file>