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677" w14:textId="77777777" w:rsidR="00D80A82" w:rsidRDefault="00000000">
      <w:pPr>
        <w:keepNext/>
        <w:keepLines/>
        <w:spacing w:before="260" w:after="260" w:line="360" w:lineRule="auto"/>
        <w:jc w:val="center"/>
        <w:outlineLvl w:val="1"/>
        <w:rPr>
          <w:rFonts w:ascii="宋体" w:hAnsi="宋体"/>
          <w:b/>
          <w:bCs/>
          <w:iCs/>
          <w:sz w:val="24"/>
          <w:szCs w:val="24"/>
        </w:rPr>
      </w:pPr>
      <w:r>
        <w:rPr>
          <w:rFonts w:ascii="仿宋_GB2312" w:eastAsia="仿宋_GB2312" w:hAnsi="仿宋_GB2312" w:cs="仿宋_GB2312" w:hint="eastAsia"/>
          <w:iCs/>
          <w:sz w:val="24"/>
          <w:szCs w:val="24"/>
        </w:rPr>
        <w:t>证券代码：600415                                 证券简称：小商品城</w:t>
      </w:r>
      <w:r>
        <w:rPr>
          <w:rFonts w:ascii="宋体" w:hAnsi="宋体"/>
          <w:b/>
          <w:bCs/>
          <w:iCs/>
          <w:sz w:val="24"/>
          <w:szCs w:val="24"/>
        </w:rPr>
        <w:t xml:space="preserve"> </w:t>
      </w:r>
    </w:p>
    <w:p w14:paraId="6C5DD870" w14:textId="77777777" w:rsidR="00D80A82"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浙江中国小商品城集团股份有限公司</w:t>
      </w:r>
    </w:p>
    <w:p w14:paraId="2C9AEFA2" w14:textId="77777777" w:rsidR="00D80A82"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投资者关系活动记录表</w:t>
      </w:r>
    </w:p>
    <w:p w14:paraId="12A62BD2" w14:textId="673888CE" w:rsidR="00D80A82" w:rsidRDefault="00000000">
      <w:pPr>
        <w:keepNext/>
        <w:keepLines/>
        <w:spacing w:beforeLines="50" w:before="156" w:afterLines="50" w:after="156" w:line="360" w:lineRule="auto"/>
        <w:jc w:val="right"/>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编号：2026-00</w:t>
      </w:r>
      <w:r w:rsidR="006C5DA6">
        <w:rPr>
          <w:rFonts w:ascii="仿宋_GB2312" w:eastAsia="仿宋_GB2312" w:hAnsi="仿宋_GB2312" w:cs="仿宋_GB2312" w:hint="eastAsia"/>
          <w:sz w:val="24"/>
          <w:szCs w:val="24"/>
        </w:rPr>
        <w:t>3</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9"/>
      </w:tblGrid>
      <w:tr w:rsidR="00D80A82" w14:paraId="57070E9C" w14:textId="77777777">
        <w:tc>
          <w:tcPr>
            <w:tcW w:w="2411" w:type="dxa"/>
            <w:vAlign w:val="center"/>
          </w:tcPr>
          <w:p w14:paraId="034080E7"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投资者关系活动类别</w:t>
            </w:r>
          </w:p>
        </w:tc>
        <w:tc>
          <w:tcPr>
            <w:tcW w:w="6379" w:type="dxa"/>
          </w:tcPr>
          <w:p w14:paraId="4CB8528A" w14:textId="77777777" w:rsidR="00D80A82"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特定对象调研        </w:t>
            </w:r>
            <w:r>
              <w:rPr>
                <w:rFonts w:ascii="宋体" w:hAnsi="宋体" w:cs="仿宋_GB2312" w:hint="eastAsia"/>
                <w:bCs/>
                <w:iCs/>
                <w:sz w:val="24"/>
                <w:szCs w:val="24"/>
              </w:rPr>
              <w:t>□</w:t>
            </w:r>
            <w:r>
              <w:rPr>
                <w:rFonts w:ascii="宋体" w:hAnsi="宋体" w:cs="仿宋_GB2312" w:hint="eastAsia"/>
                <w:sz w:val="24"/>
                <w:szCs w:val="24"/>
              </w:rPr>
              <w:t>分析师会议</w:t>
            </w:r>
          </w:p>
          <w:p w14:paraId="771D4756" w14:textId="78D584AB" w:rsidR="00D80A82"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媒体采访            </w:t>
            </w:r>
            <w:r w:rsidR="006C5DA6">
              <w:rPr>
                <w:rFonts w:ascii="宋体" w:hAnsi="宋体" w:cs="仿宋_GB2312" w:hint="eastAsia"/>
                <w:bCs/>
                <w:iCs/>
                <w:sz w:val="24"/>
                <w:szCs w:val="24"/>
              </w:rPr>
              <w:t>☑</w:t>
            </w:r>
            <w:r>
              <w:rPr>
                <w:rFonts w:ascii="宋体" w:hAnsi="宋体" w:cs="仿宋_GB2312" w:hint="eastAsia"/>
                <w:sz w:val="24"/>
                <w:szCs w:val="24"/>
              </w:rPr>
              <w:t>业绩说明会</w:t>
            </w:r>
          </w:p>
          <w:p w14:paraId="6AA14D57" w14:textId="77777777" w:rsidR="00D80A82"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新闻发布会          </w:t>
            </w:r>
            <w:r>
              <w:rPr>
                <w:rFonts w:ascii="宋体" w:hAnsi="宋体" w:cs="仿宋_GB2312" w:hint="eastAsia"/>
                <w:bCs/>
                <w:iCs/>
                <w:sz w:val="24"/>
                <w:szCs w:val="24"/>
              </w:rPr>
              <w:t>□</w:t>
            </w:r>
            <w:r>
              <w:rPr>
                <w:rFonts w:ascii="宋体" w:hAnsi="宋体" w:cs="仿宋_GB2312" w:hint="eastAsia"/>
                <w:sz w:val="24"/>
                <w:szCs w:val="24"/>
              </w:rPr>
              <w:t>路演活动</w:t>
            </w:r>
          </w:p>
          <w:p w14:paraId="610D54DB" w14:textId="77DBF9D4" w:rsidR="00D80A82" w:rsidRDefault="006C5DA6">
            <w:pPr>
              <w:tabs>
                <w:tab w:val="left" w:pos="2690"/>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现场参观            </w:t>
            </w:r>
            <w:r>
              <w:rPr>
                <w:rFonts w:ascii="宋体" w:hAnsi="宋体" w:cs="仿宋_GB2312" w:hint="eastAsia"/>
                <w:bCs/>
                <w:iCs/>
                <w:sz w:val="24"/>
                <w:szCs w:val="24"/>
              </w:rPr>
              <w:t>□</w:t>
            </w:r>
            <w:r>
              <w:rPr>
                <w:rFonts w:ascii="宋体" w:hAnsi="宋体" w:cs="仿宋_GB2312" w:hint="eastAsia"/>
                <w:sz w:val="24"/>
                <w:szCs w:val="24"/>
              </w:rPr>
              <w:t>电话会议</w:t>
            </w:r>
          </w:p>
          <w:p w14:paraId="156C2FE1" w14:textId="77777777" w:rsidR="00D80A82" w:rsidRDefault="00000000">
            <w:pPr>
              <w:tabs>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其他 （</w:t>
            </w:r>
            <w:r>
              <w:rPr>
                <w:rFonts w:ascii="宋体" w:hAnsi="宋体" w:cs="仿宋_GB2312" w:hint="eastAsia"/>
                <w:sz w:val="24"/>
                <w:szCs w:val="24"/>
                <w:u w:val="single"/>
              </w:rPr>
              <w:t>投资者见面会）</w:t>
            </w:r>
          </w:p>
        </w:tc>
      </w:tr>
      <w:tr w:rsidR="00D80A82" w14:paraId="7C51E963" w14:textId="77777777">
        <w:tc>
          <w:tcPr>
            <w:tcW w:w="2411" w:type="dxa"/>
            <w:vAlign w:val="center"/>
          </w:tcPr>
          <w:p w14:paraId="70FAC1EB"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t>参与单位名称</w:t>
            </w:r>
          </w:p>
        </w:tc>
        <w:tc>
          <w:tcPr>
            <w:tcW w:w="6379" w:type="dxa"/>
            <w:vAlign w:val="center"/>
          </w:tcPr>
          <w:p w14:paraId="5C1CF4CE" w14:textId="4D6B0D5D" w:rsidR="00D80A82" w:rsidRDefault="006C5DA6">
            <w:pPr>
              <w:tabs>
                <w:tab w:val="center" w:pos="2798"/>
              </w:tabs>
              <w:rPr>
                <w:rFonts w:ascii="仿宋_GB2312" w:eastAsia="仿宋_GB2312" w:hAnsi="仿宋_GB2312" w:cs="仿宋_GB2312"/>
                <w:bCs/>
                <w:iCs/>
                <w:sz w:val="24"/>
                <w:szCs w:val="24"/>
              </w:rPr>
            </w:pPr>
            <w:r w:rsidRPr="006C5DA6">
              <w:rPr>
                <w:rFonts w:ascii="仿宋_GB2312" w:eastAsia="仿宋_GB2312" w:hAnsi="仿宋_GB2312" w:cs="仿宋_GB2312"/>
                <w:bCs/>
                <w:iCs/>
                <w:sz w:val="24"/>
                <w:szCs w:val="24"/>
              </w:rPr>
              <w:t>投资者网上提问</w:t>
            </w:r>
          </w:p>
        </w:tc>
      </w:tr>
      <w:tr w:rsidR="00D80A82" w14:paraId="12C96176" w14:textId="77777777">
        <w:tc>
          <w:tcPr>
            <w:tcW w:w="2411" w:type="dxa"/>
            <w:vAlign w:val="center"/>
          </w:tcPr>
          <w:p w14:paraId="7E9BE2D3"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t>会议时间</w:t>
            </w:r>
          </w:p>
        </w:tc>
        <w:tc>
          <w:tcPr>
            <w:tcW w:w="6379" w:type="dxa"/>
            <w:vAlign w:val="center"/>
          </w:tcPr>
          <w:p w14:paraId="6239FCCD" w14:textId="05779219" w:rsidR="00D80A82" w:rsidRDefault="00000000">
            <w:pPr>
              <w:spacing w:line="360" w:lineRule="auto"/>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2026年</w:t>
            </w:r>
            <w:r w:rsidR="006C5DA6">
              <w:rPr>
                <w:rFonts w:ascii="仿宋_GB2312" w:eastAsia="仿宋_GB2312" w:hAnsi="仿宋_GB2312" w:cs="仿宋_GB2312" w:hint="eastAsia"/>
                <w:bCs/>
                <w:iCs/>
                <w:sz w:val="24"/>
                <w:szCs w:val="24"/>
              </w:rPr>
              <w:t>5</w:t>
            </w:r>
            <w:r>
              <w:rPr>
                <w:rFonts w:ascii="仿宋_GB2312" w:eastAsia="仿宋_GB2312" w:hAnsi="仿宋_GB2312" w:cs="仿宋_GB2312" w:hint="eastAsia"/>
                <w:bCs/>
                <w:iCs/>
                <w:sz w:val="24"/>
                <w:szCs w:val="24"/>
              </w:rPr>
              <w:t>月</w:t>
            </w:r>
            <w:r w:rsidR="006C5DA6">
              <w:rPr>
                <w:rFonts w:ascii="仿宋_GB2312" w:eastAsia="仿宋_GB2312" w:hAnsi="仿宋_GB2312" w:cs="仿宋_GB2312" w:hint="eastAsia"/>
                <w:bCs/>
                <w:iCs/>
                <w:sz w:val="24"/>
                <w:szCs w:val="24"/>
              </w:rPr>
              <w:t>1</w:t>
            </w:r>
            <w:r>
              <w:rPr>
                <w:rFonts w:ascii="仿宋_GB2312" w:eastAsia="仿宋_GB2312" w:hAnsi="仿宋_GB2312" w:cs="仿宋_GB2312" w:hint="eastAsia"/>
                <w:bCs/>
                <w:iCs/>
                <w:sz w:val="24"/>
                <w:szCs w:val="24"/>
              </w:rPr>
              <w:t>3日</w:t>
            </w:r>
            <w:r w:rsidR="006C5DA6" w:rsidRPr="006C5DA6">
              <w:rPr>
                <w:rFonts w:ascii="仿宋_GB2312" w:eastAsia="仿宋_GB2312" w:hAnsi="仿宋_GB2312" w:cs="仿宋_GB2312"/>
                <w:bCs/>
                <w:iCs/>
                <w:sz w:val="24"/>
                <w:szCs w:val="24"/>
              </w:rPr>
              <w:t>(周三) 下午 13:00</w:t>
            </w:r>
            <w:r w:rsidR="006C5DA6">
              <w:rPr>
                <w:rFonts w:ascii="仿宋_GB2312" w:eastAsia="仿宋_GB2312" w:hAnsi="仿宋_GB2312" w:cs="仿宋_GB2312" w:hint="eastAsia"/>
                <w:bCs/>
                <w:iCs/>
                <w:sz w:val="24"/>
                <w:szCs w:val="24"/>
              </w:rPr>
              <w:t>—</w:t>
            </w:r>
            <w:r w:rsidR="006C5DA6" w:rsidRPr="006C5DA6">
              <w:rPr>
                <w:rFonts w:ascii="仿宋_GB2312" w:eastAsia="仿宋_GB2312" w:hAnsi="仿宋_GB2312" w:cs="仿宋_GB2312"/>
                <w:bCs/>
                <w:iCs/>
                <w:sz w:val="24"/>
                <w:szCs w:val="24"/>
              </w:rPr>
              <w:t>17:00</w:t>
            </w:r>
          </w:p>
        </w:tc>
      </w:tr>
      <w:tr w:rsidR="00D80A82" w14:paraId="58AC16BB" w14:textId="77777777">
        <w:tc>
          <w:tcPr>
            <w:tcW w:w="2411" w:type="dxa"/>
            <w:vAlign w:val="center"/>
          </w:tcPr>
          <w:p w14:paraId="760B77AE"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t>会议地点</w:t>
            </w:r>
          </w:p>
        </w:tc>
        <w:tc>
          <w:tcPr>
            <w:tcW w:w="6379" w:type="dxa"/>
            <w:vAlign w:val="center"/>
          </w:tcPr>
          <w:p w14:paraId="5B3D10F3" w14:textId="578FD04F" w:rsidR="00D80A82" w:rsidRDefault="006C5DA6">
            <w:pPr>
              <w:spacing w:line="360" w:lineRule="auto"/>
              <w:rPr>
                <w:rFonts w:ascii="仿宋_GB2312" w:eastAsia="仿宋_GB2312" w:hAnsi="仿宋_GB2312" w:cs="仿宋_GB2312"/>
                <w:bCs/>
                <w:iCs/>
                <w:sz w:val="24"/>
                <w:szCs w:val="24"/>
              </w:rPr>
            </w:pPr>
            <w:r w:rsidRPr="006C5DA6">
              <w:rPr>
                <w:rFonts w:ascii="仿宋_GB2312" w:eastAsia="仿宋_GB2312" w:hAnsi="仿宋_GB2312" w:cs="仿宋_GB2312"/>
                <w:bCs/>
                <w:iCs/>
                <w:sz w:val="24"/>
                <w:szCs w:val="24"/>
              </w:rPr>
              <w:t>公司通过全景网“投资者关系互动平台”（https://ir.p5w.net）采用网络远程的方式召开业绩说明会</w:t>
            </w:r>
          </w:p>
        </w:tc>
      </w:tr>
      <w:tr w:rsidR="00D80A82" w14:paraId="7EEB0211" w14:textId="77777777">
        <w:tc>
          <w:tcPr>
            <w:tcW w:w="2411" w:type="dxa"/>
            <w:vAlign w:val="center"/>
          </w:tcPr>
          <w:p w14:paraId="64C1F394"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t>上市公司接待人员</w:t>
            </w:r>
          </w:p>
        </w:tc>
        <w:tc>
          <w:tcPr>
            <w:tcW w:w="6379" w:type="dxa"/>
            <w:vAlign w:val="center"/>
          </w:tcPr>
          <w:p w14:paraId="5027C755" w14:textId="77777777" w:rsidR="006C5DA6" w:rsidRPr="006C5DA6" w:rsidRDefault="006C5DA6" w:rsidP="006C5DA6">
            <w:pPr>
              <w:spacing w:line="360" w:lineRule="auto"/>
              <w:rPr>
                <w:rFonts w:ascii="仿宋_GB2312" w:eastAsia="仿宋_GB2312" w:hAnsi="仿宋_GB2312" w:cs="仿宋_GB2312"/>
                <w:bCs/>
                <w:iCs/>
                <w:sz w:val="24"/>
                <w:szCs w:val="24"/>
              </w:rPr>
            </w:pPr>
            <w:r w:rsidRPr="006C5DA6">
              <w:rPr>
                <w:rFonts w:ascii="仿宋_GB2312" w:eastAsia="仿宋_GB2312" w:hAnsi="仿宋_GB2312" w:cs="仿宋_GB2312" w:hint="eastAsia"/>
                <w:bCs/>
                <w:iCs/>
                <w:sz w:val="24"/>
                <w:szCs w:val="24"/>
              </w:rPr>
              <w:t>1、董事长陈德占</w:t>
            </w:r>
          </w:p>
          <w:p w14:paraId="2116EEC2" w14:textId="77777777" w:rsidR="006C5DA6" w:rsidRPr="006C5DA6" w:rsidRDefault="006C5DA6" w:rsidP="006C5DA6">
            <w:pPr>
              <w:spacing w:line="360" w:lineRule="auto"/>
              <w:rPr>
                <w:rFonts w:ascii="仿宋_GB2312" w:eastAsia="仿宋_GB2312" w:hAnsi="仿宋_GB2312" w:cs="仿宋_GB2312"/>
                <w:bCs/>
                <w:iCs/>
                <w:sz w:val="24"/>
                <w:szCs w:val="24"/>
              </w:rPr>
            </w:pPr>
            <w:r w:rsidRPr="006C5DA6">
              <w:rPr>
                <w:rFonts w:ascii="仿宋_GB2312" w:eastAsia="仿宋_GB2312" w:hAnsi="仿宋_GB2312" w:cs="仿宋_GB2312" w:hint="eastAsia"/>
                <w:bCs/>
                <w:iCs/>
                <w:sz w:val="24"/>
                <w:szCs w:val="24"/>
              </w:rPr>
              <w:t>2、董事会秘书许杭</w:t>
            </w:r>
          </w:p>
          <w:p w14:paraId="07D24B04" w14:textId="77777777" w:rsidR="006C5DA6" w:rsidRPr="006C5DA6" w:rsidRDefault="006C5DA6" w:rsidP="006C5DA6">
            <w:pPr>
              <w:spacing w:line="360" w:lineRule="auto"/>
              <w:rPr>
                <w:rFonts w:ascii="仿宋_GB2312" w:eastAsia="仿宋_GB2312" w:hAnsi="仿宋_GB2312" w:cs="仿宋_GB2312"/>
                <w:bCs/>
                <w:iCs/>
                <w:sz w:val="24"/>
                <w:szCs w:val="24"/>
              </w:rPr>
            </w:pPr>
            <w:r w:rsidRPr="006C5DA6">
              <w:rPr>
                <w:rFonts w:ascii="仿宋_GB2312" w:eastAsia="仿宋_GB2312" w:hAnsi="仿宋_GB2312" w:cs="仿宋_GB2312" w:hint="eastAsia"/>
                <w:bCs/>
                <w:iCs/>
                <w:sz w:val="24"/>
                <w:szCs w:val="24"/>
              </w:rPr>
              <w:t>3、财务负责人赵笛芳</w:t>
            </w:r>
          </w:p>
          <w:p w14:paraId="2D33BBE1" w14:textId="29949752" w:rsidR="00D80A82" w:rsidRDefault="006C5DA6" w:rsidP="006C5DA6">
            <w:pPr>
              <w:spacing w:line="360" w:lineRule="auto"/>
              <w:rPr>
                <w:rFonts w:ascii="仿宋_GB2312" w:eastAsia="仿宋_GB2312" w:hAnsi="仿宋_GB2312" w:cs="仿宋_GB2312"/>
                <w:bCs/>
                <w:iCs/>
                <w:sz w:val="24"/>
                <w:szCs w:val="24"/>
              </w:rPr>
            </w:pPr>
            <w:r w:rsidRPr="006C5DA6">
              <w:rPr>
                <w:rFonts w:ascii="仿宋_GB2312" w:eastAsia="仿宋_GB2312" w:hAnsi="仿宋_GB2312" w:cs="仿宋_GB2312" w:hint="eastAsia"/>
                <w:bCs/>
                <w:iCs/>
                <w:sz w:val="24"/>
                <w:szCs w:val="24"/>
              </w:rPr>
              <w:t>4、独立董事张成洪</w:t>
            </w:r>
          </w:p>
        </w:tc>
      </w:tr>
      <w:tr w:rsidR="00D80A82" w14:paraId="533FEED3" w14:textId="77777777">
        <w:trPr>
          <w:trHeight w:val="490"/>
        </w:trPr>
        <w:tc>
          <w:tcPr>
            <w:tcW w:w="2411" w:type="dxa"/>
            <w:vAlign w:val="center"/>
          </w:tcPr>
          <w:p w14:paraId="19770D12"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投资者关系活动主要内容介绍</w:t>
            </w:r>
          </w:p>
        </w:tc>
        <w:tc>
          <w:tcPr>
            <w:tcW w:w="6379" w:type="dxa"/>
          </w:tcPr>
          <w:p w14:paraId="2EC87B33"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1、存货从 13.58 亿增至 23.85 亿，增幅 76，远高于营收增速，原因是什么？是否存在滞销或减值风险？</w:t>
            </w:r>
          </w:p>
          <w:p w14:paraId="5C2B14DD" w14:textId="3D9EFF77" w:rsidR="006C5DA6" w:rsidRPr="006C5DA6" w:rsidRDefault="006C5DA6" w:rsidP="006C5DA6">
            <w:pPr>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尊敬的投资者您好，存货增加主要系2025年新增杭州景芳三堡项目土地款及商品销售板块库存商品增加所致，不存在您说的滞销或减值风险。</w:t>
            </w:r>
          </w:p>
          <w:p w14:paraId="7BCC4B1B"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2、管理层您好。近期监管层面高度重视提高上市公司质量与投资者回报。请问公司未来三年是否有明确的提高分红比例的规划？在现金流充裕的情况下，是否会考虑增加分红频次（如中期分红）以增强中小投资者获得感？</w:t>
            </w:r>
          </w:p>
          <w:p w14:paraId="676A4F6E" w14:textId="7EEC4363"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尊敬的投资者您好，公司2024年度现金分红比例为58.87%，2025年度现金分红比例提升至65</w:t>
            </w:r>
            <w:r w:rsidR="00831C6D">
              <w:rPr>
                <w:rFonts w:ascii="仿宋_GB2312" w:eastAsia="仿宋_GB2312" w:hAnsi="仿宋_GB2312" w:cs="仿宋_GB2312" w:hint="eastAsia"/>
                <w:bCs/>
                <w:iCs/>
                <w:sz w:val="24"/>
                <w:szCs w:val="24"/>
              </w:rPr>
              <w:t>.23</w:t>
            </w:r>
            <w:r w:rsidRPr="006C5DA6">
              <w:rPr>
                <w:rFonts w:ascii="仿宋_GB2312" w:eastAsia="仿宋_GB2312" w:hAnsi="仿宋_GB2312" w:cs="仿宋_GB2312" w:hint="eastAsia"/>
                <w:bCs/>
                <w:iCs/>
                <w:sz w:val="24"/>
                <w:szCs w:val="24"/>
              </w:rPr>
              <w:t>%，《关于提请股东会授权董事会制定2026年中期分红方案的议案》也已经股东会审议通过。</w:t>
            </w:r>
          </w:p>
          <w:p w14:paraId="74761C47"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lastRenderedPageBreak/>
              <w:t>3、公司近几年营收、利润保持稳定，主业布局也在持续落地，但股价长期大幅低于历史估值区间，持续萎靡、跑输行业和大盘。</w:t>
            </w:r>
          </w:p>
          <w:p w14:paraId="7227D084"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请问管理层：在公司经营基本面没出问题的前提下，长期估值压制、股价持续低估，公司是否认可这一现状偏离了企业真实内在价值？后续有没有主动对接机构、传递公司价值，引导估值修复的具体安排？</w:t>
            </w:r>
          </w:p>
          <w:p w14:paraId="7C775A8D" w14:textId="2E29AFCB" w:rsidR="006C5DA6" w:rsidRPr="006C5DA6" w:rsidRDefault="006C5DA6" w:rsidP="006C5DA6">
            <w:pPr>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2025年公司接待了超200次/超1000人次的现场调研活动，并多次组织区域上市公司交流会、投资者开放日等活动，向市场展示公司的经营成果。2026年，公司将持续深化投资者关系管理，丰富互动沟通渠道，常态化开展业绩说明会、专题路演、投资者开放日等活动，加大与投资者的互动力度，及时、准确、全面披露公司经营信息，充分传递公司长期发展价值。</w:t>
            </w:r>
          </w:p>
          <w:p w14:paraId="09D9C425"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4、公司如何评估剔除数贸中心影响后的核心业务增长动力</w:t>
            </w:r>
          </w:p>
          <w:p w14:paraId="024668BB" w14:textId="714097FB"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一）AI全链路赋能，数字平台生态价值凸显。公司与阿里云等国内头部科技企业深度合作，发布全球首个商贸领域AI大模型，推出AI设计、AI视创等14项应用，大模型注册用户超5.6万，调用量超10亿次，AI系列产品服务用户超28.8万人，惠及市场商户超3.4万家，深度使用者订单增幅超30%。2025年，Chinagoods平台新增采购商70万人、累计550万人。（二）跨境金融进阶，全球支付网络持续完善。义支付（Yiwu</w:t>
            </w:r>
            <w:r w:rsidR="00A64139">
              <w:rPr>
                <w:rFonts w:ascii="仿宋_GB2312" w:eastAsia="仿宋_GB2312" w:hAnsi="仿宋_GB2312" w:cs="仿宋_GB2312" w:hint="eastAsia"/>
                <w:bCs/>
                <w:iCs/>
                <w:sz w:val="24"/>
                <w:szCs w:val="24"/>
              </w:rPr>
              <w:t xml:space="preserve"> </w:t>
            </w:r>
            <w:r w:rsidRPr="006C5DA6">
              <w:rPr>
                <w:rFonts w:ascii="仿宋_GB2312" w:eastAsia="仿宋_GB2312" w:hAnsi="仿宋_GB2312" w:cs="仿宋_GB2312" w:hint="eastAsia"/>
                <w:bCs/>
                <w:iCs/>
                <w:sz w:val="24"/>
                <w:szCs w:val="24"/>
              </w:rPr>
              <w:t>Pay）作为公司数字金融核心载体，业务覆盖全球176个国家和地区，支持29种主流币种的互换结算。2025年，义支付成为央行多边数字货币桥全国首批直参非银机构之一，并正式获批开展探索市场采购贸易收结汇服务；跨境出口直收展业范围从义乌拓展至全省，并落地浙江省跨境直收模式全省推广首单业务；市场采购贸易出口收结汇单笔交易限额从5万美元提升至15万美元，年跨境支付交易额突破60亿美元、同比增长50%。2025年，义支付还新增了线上美金直收、奈拉本币服务等特色服务，加速推进香港金融牌照布局，进一步完善全球化的本地金融服务能力，有效延伸海外渠道网络，为中小微企业跨境贸易提供了安全、高效、低成本的资金结算解决方案。（三）品牌出海提速，全球枢纽网络加速成型。2025年，公司纵深推进品牌出海行动，加速海外项目全球布局，全面升级“1+5+2+M”品牌出海战略体系（以1个海外总部为核心，依托5大出海模式，联合2大类服务商，链接M个全球合作伙伴），重点聚焦中东、南美、非洲等新兴市场，不断提升义乌市场资源配置力与国际竞争力，为义乌外贸发展开辟新的空间。截至2025年底，已累计在全球36个国家布局出海项目78个。2026年，公司将持续聚焦“主业”，着力推进实体市场提升、数字市场提质、海外市场提效、采购商增量，全方位推动市场提能升级；聚焦“生态”，通过</w:t>
            </w:r>
            <w:r w:rsidRPr="006C5DA6">
              <w:rPr>
                <w:rFonts w:ascii="仿宋_GB2312" w:eastAsia="仿宋_GB2312" w:hAnsi="仿宋_GB2312" w:cs="仿宋_GB2312" w:hint="eastAsia"/>
                <w:bCs/>
                <w:iCs/>
                <w:sz w:val="24"/>
                <w:szCs w:val="24"/>
              </w:rPr>
              <w:lastRenderedPageBreak/>
              <w:t>招引采购商、提升经营户、深耕产业带、链接平台商服务商等，进一步优化市场贸易生态；聚焦“定位”，加速向数字化转型、做实做强国际贸易综合服务商角色，公司的市场运营力、贸易赋能力、企业组织力、全球影响力进一步提升。</w:t>
            </w:r>
          </w:p>
          <w:p w14:paraId="622C84A1"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5、当前股价是否反映了公司真实价值？公司在权衡哪些因素后决定暂不回购？H股定价规则是怎样的？募资如何具体规划？是否有具体指标便于投资者追踪。品牌出海在海外仓、展会、体验店方面2026年有怎样的量化目标？</w:t>
            </w:r>
          </w:p>
          <w:p w14:paraId="60E90542" w14:textId="1049D883"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公司认为当前股价未能真实反映公司价值，将持续努力做好经营，积极为全体股东创造价值。关于港股相关问题请关注公司后续披露的招股书和相关公告。2026年，公司计划“品牌出海”新增项目30个以上，其中海外分市场4个。</w:t>
            </w:r>
          </w:p>
          <w:p w14:paraId="667B8D9D"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6、如何做好市值管理？让每个商户必须长期持股，并根据持股数量优先选择商铺位置</w:t>
            </w:r>
          </w:p>
          <w:p w14:paraId="2CF4BBAB" w14:textId="61295653"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尊敬的投资者，感谢您对公司的建议与关注。</w:t>
            </w:r>
          </w:p>
          <w:p w14:paraId="43D05DB9"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7、陈董事长，你好 ！ 想好解一下 数贸中心，市场板块入住率多少，写字楼入住率多少，什么时间能整体开业，谢谢</w:t>
            </w:r>
          </w:p>
          <w:p w14:paraId="2BA84A71" w14:textId="41F31740"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尊敬的投资者您好，全球数贸中心市场板块第四层商铺已于2026年4月开业，T3-T7五栋写字楼已于2025年逐步交付并体现收入；T1、T2两栋超高层写字楼也已于今年4月启动认筹，预计2027年交付。</w:t>
            </w:r>
          </w:p>
          <w:p w14:paraId="723C886C"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8、陈董您好，不管是义乌发展经验还是春晚的分会场，说明公司是受国家关注的，但是为什么股价却阴跌不止，且公司管理层没有任何的解决方案，作为全球的市场这样跌太不应该！</w:t>
            </w:r>
          </w:p>
          <w:p w14:paraId="174A79FE" w14:textId="7BDC5997"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公司每年制定“提质增效重回报”行动方案，并积极落实。同时，公司也非常关注二级市场股价波动情况，通过信息披露、投资者来电来访、上证e互动平台等多种渠道，保持与投资者的沟通互动。2025年公司接待了超200次/超1000人次的现场调研活动，并多次组织区域上市公司交流会、投资者开放日等活动，向市场展示公司的经营成果。2026年，公司将持续深化投资者关系管理，丰富互动沟通渠道，常态化开展业绩说明会、专题路演、投资者开放日等活动，加大与投资者的互动力度，及时、准确、全面披露公司经营信息，充分传递公司长期发展价值。</w:t>
            </w:r>
          </w:p>
          <w:p w14:paraId="1F36C856"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9、希望小商品城抢抓绝佳历史机遇期，乘势而上，无愧于“世界超市”的称号，不辜负广大股民的信任与厚望。尽早运用分红、回购等工具，向股东、社会传递长期价值信号，维护全体股东利益，审慎决策，多做有利于稳定市场预期的事。</w:t>
            </w:r>
          </w:p>
          <w:p w14:paraId="13B05486" w14:textId="4E2D024F"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尊敬的投资者您好，公司会综合考虑您的建议，感谢您对公司的关注与支持。</w:t>
            </w:r>
          </w:p>
          <w:p w14:paraId="6EA764E1"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10、小商品城什么时候能重回千亿市值！</w:t>
            </w:r>
          </w:p>
          <w:p w14:paraId="26D60187" w14:textId="2FBE6299"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lastRenderedPageBreak/>
              <w:t>答：</w:t>
            </w:r>
            <w:r w:rsidRPr="006C5DA6">
              <w:rPr>
                <w:rFonts w:ascii="仿宋_GB2312" w:eastAsia="仿宋_GB2312" w:hAnsi="仿宋_GB2312" w:cs="仿宋_GB2312" w:hint="eastAsia"/>
                <w:bCs/>
                <w:iCs/>
                <w:sz w:val="24"/>
                <w:szCs w:val="24"/>
              </w:rPr>
              <w:t>尊敬的投资者您好，公司将根据每年披露的“提质增效重回报”行动方案积极做好公司日常经营与管理工作，争取以更优秀的业绩回报投资者。</w:t>
            </w:r>
          </w:p>
          <w:p w14:paraId="7B056032"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11、数贸港具体开业时间、招商率、2026年租金收入预期？</w:t>
            </w:r>
          </w:p>
          <w:p w14:paraId="18485B4C" w14:textId="7245EACD"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尊敬的投资者您好，数贸港将于2026年5月下旬正式运营。</w:t>
            </w:r>
          </w:p>
          <w:p w14:paraId="2AE33346"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12、YiwuPay与Visa/万事达合作进展、2026年支付额目标、国际化规划？</w:t>
            </w:r>
          </w:p>
          <w:p w14:paraId="6932D4E7" w14:textId="43A5B314"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尊敬的投资者您好，目前Yiwu Pay未与Visa/万事达直接开展合作。2025年度，义支付获批开展市场采购贸易收结汇服务，跨境出口直收展业范围拓展至全省，单笔交易限额从5万美元提升至15万美元，全年跨境业务交易额突破60亿美元，同比增长超50%；获批成为数字人民币直接受理服务机构及“多边央行数字货币桥（mBridge）”首批扩容机构，实现跨境人民币结算秒级到账，践行人民币国际化战略；推出非洲本地本币直收服务，升级“内外联动”跨境结算模式，适配各类商户需求；成功获取香港TCSP牌照，进一步完善全球化的金融服务能力。2026年，计划加速全球金融牌照布局，跨境支付交易额新增100亿美元以上。</w:t>
            </w:r>
          </w:p>
          <w:p w14:paraId="5E1E7EE7"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13、H股上市时间表、预计融资规模、用途（跨境支付/海外仓）？</w:t>
            </w:r>
          </w:p>
          <w:p w14:paraId="52F74DB7" w14:textId="047F4D0E"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尊敬的投资者您好，H股相关内容详见公司后续披露的招股书等公告。</w:t>
            </w:r>
          </w:p>
          <w:p w14:paraId="746D5199"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14、市场普遍担忧公司港股上市暗藏重大利空，存在股权稀释、分流场内资金、压制A股估值等问题。请说明港股上市到底承载了哪些隐性利空？公司有什么具体措施化解利空、保护A股中小股东利益？</w:t>
            </w:r>
          </w:p>
          <w:p w14:paraId="20E05EE8" w14:textId="5D25B9CE" w:rsidR="006C5DA6" w:rsidRPr="006C5DA6" w:rsidRDefault="006C5DA6" w:rsidP="006C5DA6">
            <w:pPr>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尊敬的投资者您好，港股上市主要是基于公司国际化战略的考量，主要有：</w:t>
            </w:r>
          </w:p>
          <w:p w14:paraId="5AA5BBBA" w14:textId="77777777" w:rsidR="006C5DA6" w:rsidRPr="006C5DA6" w:rsidRDefault="006C5DA6" w:rsidP="006C5DA6">
            <w:pPr>
              <w:rPr>
                <w:rFonts w:ascii="仿宋_GB2312" w:eastAsia="仿宋_GB2312" w:hAnsi="仿宋_GB2312" w:cs="仿宋_GB2312"/>
                <w:bCs/>
                <w:iCs/>
                <w:sz w:val="24"/>
                <w:szCs w:val="24"/>
              </w:rPr>
            </w:pPr>
            <w:r w:rsidRPr="006C5DA6">
              <w:rPr>
                <w:rFonts w:ascii="仿宋_GB2312" w:eastAsia="仿宋_GB2312" w:hAnsi="仿宋_GB2312" w:cs="仿宋_GB2312" w:hint="eastAsia"/>
                <w:bCs/>
                <w:iCs/>
                <w:sz w:val="24"/>
                <w:szCs w:val="24"/>
              </w:rPr>
              <w:t>1.充分发挥香港桥头堡作用，香港作为连接中国与世界的枢纽，有助于打造“母市场+海外专业分市场”联动模式，推动小商品品牌出海；2.香港可以发挥人才集聚优势，吸引具备国际视野的专业人才加入，支撑公司在跨境贸易、数字服务等领域的发展；3.推动金融与政策协同，利用香港成熟的资本市场和自由流通环境，助力公司跨境资金管理与全球资产配置；4.战略定位重塑，从传统物业管理者向“全球贸易综合服务商”的战略转型。</w:t>
            </w:r>
          </w:p>
          <w:p w14:paraId="231FB96C"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Cs/>
                <w:iCs/>
                <w:sz w:val="24"/>
                <w:szCs w:val="24"/>
              </w:rPr>
              <w:t>2025年公司围绕“小商品、大市场，不断地再造新的辉煌”重大使命，深化义乌国际贸易综合改革，狠抓关键领域改革和重点项目落地，加速推进市场创新发展和企业转型升级，全年实现营业收入199.27亿元，同比增长26.62%；归属于上市公司股东的净利润42.04亿元，同比增长36.76%。2026年，公司将聚焦主业、生态、定位三大核心，统筹推进实体、数字、海外市场升级，持续优化贸易生态体系，做实国际贸</w:t>
            </w:r>
            <w:r w:rsidRPr="006C5DA6">
              <w:rPr>
                <w:rFonts w:ascii="仿宋_GB2312" w:eastAsia="仿宋_GB2312" w:hAnsi="仿宋_GB2312" w:cs="仿宋_GB2312" w:hint="eastAsia"/>
                <w:bCs/>
                <w:iCs/>
                <w:sz w:val="24"/>
                <w:szCs w:val="24"/>
              </w:rPr>
              <w:lastRenderedPageBreak/>
              <w:t>易综合服务商角色，全面提升核心竞争力，以更优秀的业绩回报股东。</w:t>
            </w:r>
          </w:p>
          <w:p w14:paraId="13191876" w14:textId="3CCEC135"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 xml:space="preserve">15、关于市值管理与投资者沟通 </w:t>
            </w:r>
          </w:p>
          <w:p w14:paraId="44CC317F"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 xml:space="preserve">自您上任以来，公司基本面持续向好，但市值缩水近半，公募基金一季度减持约3.7亿股、金额61亿元，市值管理明显缺位。同时，投资者通过互动平台、董秘热线提出的大量问题，长期未获实质回应，沟通机制形同虚设。请问董事会： </w:t>
            </w:r>
          </w:p>
          <w:p w14:paraId="6893ABAD"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 xml:space="preserve">A.对当前市值腰斩、机构持续撤离的现状作何解释？是否有可落地的市值管理方案？ </w:t>
            </w:r>
          </w:p>
          <w:p w14:paraId="042E0430"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B.何时能建立常态化、高质量的投资者沟通机制，杜绝问询长期搁置？</w:t>
            </w:r>
          </w:p>
          <w:p w14:paraId="74634DF9" w14:textId="4BD4100A" w:rsidR="006C5DA6" w:rsidRPr="006C5DA6" w:rsidRDefault="006C5DA6" w:rsidP="006C5DA6">
            <w:pPr>
              <w:rPr>
                <w:rFonts w:ascii="仿宋_GB2312" w:eastAsia="仿宋_GB2312" w:hAnsi="仿宋_GB2312" w:cs="仿宋_GB2312"/>
                <w:b/>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公司已于2026年4月9日披露了《关于2025年“提质增效重回报”行动评估暨2026年“提质增效重回报”行动方案的报告》，公司将持续坚守“以投资者为本”的核心原则，进一步完善股东回报机制、深化投资者沟通，切实提升投资者获得感与市场信心，稳步推进现金分红比例提升工作，积极推进中期分红计划落地，保持分红政策的稳定性与可预期性，以持续稳定的现金回报回馈全体股东。同时，公司将持续深化投资者关系管理，加大与投资者的互动力度，及时、准确、全面披露公司经营信息，充分传递公司长期发展价值。</w:t>
            </w:r>
          </w:p>
          <w:p w14:paraId="20B32D90" w14:textId="77777777" w:rsidR="006C5DA6" w:rsidRPr="006C5DA6" w:rsidRDefault="006C5DA6" w:rsidP="006C5DA6">
            <w:pPr>
              <w:rPr>
                <w:rFonts w:ascii="仿宋_GB2312" w:eastAsia="仿宋_GB2312" w:hAnsi="仿宋_GB2312" w:cs="仿宋_GB2312"/>
                <w:b/>
                <w:iCs/>
                <w:sz w:val="24"/>
                <w:szCs w:val="24"/>
              </w:rPr>
            </w:pPr>
            <w:r w:rsidRPr="006C5DA6">
              <w:rPr>
                <w:rFonts w:ascii="仿宋_GB2312" w:eastAsia="仿宋_GB2312" w:hAnsi="仿宋_GB2312" w:cs="仿宋_GB2312" w:hint="eastAsia"/>
                <w:b/>
                <w:iCs/>
                <w:sz w:val="24"/>
                <w:szCs w:val="24"/>
              </w:rPr>
              <w:t>16、公司是否有市值管理，股价从高位下来已经跌去了快一半，为何公司无动于衷，做为国企应该对投资者是负责任的态度，而不是漠视和冷处理，平时的互动易交流中希望董秘回答投资者的问题时不要总是用感谢您对公司的关注来搪塞投资者，这是不负责任的行为。</w:t>
            </w:r>
          </w:p>
          <w:p w14:paraId="6D36626C" w14:textId="3F164344" w:rsidR="00D80A82" w:rsidRDefault="006C5DA6" w:rsidP="006C5DA6">
            <w:pPr>
              <w:rPr>
                <w:rFonts w:ascii="仿宋_GB2312" w:eastAsia="仿宋_GB2312" w:hAnsi="仿宋_GB2312" w:cs="仿宋_GB2312"/>
                <w:bCs/>
                <w:iCs/>
                <w:sz w:val="24"/>
                <w:szCs w:val="24"/>
              </w:rPr>
            </w:pPr>
            <w:r>
              <w:rPr>
                <w:rFonts w:ascii="仿宋_GB2312" w:eastAsia="仿宋_GB2312" w:hAnsi="仿宋_GB2312" w:cs="仿宋_GB2312" w:hint="eastAsia"/>
                <w:bCs/>
                <w:iCs/>
                <w:sz w:val="24"/>
                <w:szCs w:val="24"/>
              </w:rPr>
              <w:t>答：</w:t>
            </w:r>
            <w:r w:rsidRPr="006C5DA6">
              <w:rPr>
                <w:rFonts w:ascii="仿宋_GB2312" w:eastAsia="仿宋_GB2312" w:hAnsi="仿宋_GB2312" w:cs="仿宋_GB2312" w:hint="eastAsia"/>
                <w:bCs/>
                <w:iCs/>
                <w:sz w:val="24"/>
                <w:szCs w:val="24"/>
              </w:rPr>
              <w:t>尊敬的投资者您好，2025年公司完成了2024年度利润分配工作，每10股派发现金红利3.30元（含税），股息支付率达到58.87%；控股股东累计增持公司股份5,288.53万股，占公司总股本的0.96%，累计增持金额约10亿元；公司接待现场调研次数超200次，接待人次超1000人，e互动问题回复率100%。2026年，公司将持续坚守“以投资者为本”的核心原则，进一步完善股东回报机制、深化投资者沟通，稳步推进现金分红比例提升工作，积极推进中期分红计划落地，保持分红政策的稳定性与可预期性，以持续稳定的现金回报回馈全体股东。同时，公司将常态化开展业绩说明会、专题路演、投资者开放日等活动，加大与投资者的互动力度，及时、准确、全面披露公司经营信息，充分传递公司长期发展价值。</w:t>
            </w:r>
          </w:p>
        </w:tc>
      </w:tr>
      <w:tr w:rsidR="00D80A82" w14:paraId="3A534501" w14:textId="77777777">
        <w:trPr>
          <w:trHeight w:val="90"/>
        </w:trPr>
        <w:tc>
          <w:tcPr>
            <w:tcW w:w="2411" w:type="dxa"/>
            <w:vAlign w:val="center"/>
          </w:tcPr>
          <w:p w14:paraId="524BB622"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关于本次活动是否涉及应披露重大信息的说明</w:t>
            </w:r>
          </w:p>
        </w:tc>
        <w:tc>
          <w:tcPr>
            <w:tcW w:w="6379" w:type="dxa"/>
            <w:vAlign w:val="center"/>
          </w:tcPr>
          <w:p w14:paraId="1302A170" w14:textId="77777777" w:rsidR="00D80A82" w:rsidRDefault="00000000">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否</w:t>
            </w:r>
          </w:p>
        </w:tc>
      </w:tr>
      <w:tr w:rsidR="00D80A82" w14:paraId="3103E0D8" w14:textId="77777777">
        <w:trPr>
          <w:trHeight w:val="1130"/>
        </w:trPr>
        <w:tc>
          <w:tcPr>
            <w:tcW w:w="2411" w:type="dxa"/>
            <w:vAlign w:val="center"/>
          </w:tcPr>
          <w:p w14:paraId="304202EB" w14:textId="77777777" w:rsidR="00D80A82"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附件清单（如有）</w:t>
            </w:r>
          </w:p>
        </w:tc>
        <w:tc>
          <w:tcPr>
            <w:tcW w:w="6379" w:type="dxa"/>
          </w:tcPr>
          <w:p w14:paraId="4C0DF9AA" w14:textId="77777777" w:rsidR="00D80A82" w:rsidRDefault="00D80A82">
            <w:pPr>
              <w:spacing w:line="360" w:lineRule="auto"/>
              <w:rPr>
                <w:rFonts w:ascii="仿宋_GB2312" w:eastAsia="仿宋_GB2312" w:hAnsi="仿宋_GB2312" w:cs="仿宋_GB2312"/>
                <w:bCs/>
                <w:iCs/>
                <w:sz w:val="24"/>
                <w:szCs w:val="24"/>
              </w:rPr>
            </w:pPr>
          </w:p>
        </w:tc>
      </w:tr>
    </w:tbl>
    <w:p w14:paraId="3A61D651" w14:textId="77777777" w:rsidR="00D80A82" w:rsidRDefault="00D80A82">
      <w:pPr>
        <w:spacing w:line="360" w:lineRule="auto"/>
      </w:pPr>
    </w:p>
    <w:sectPr w:rsidR="00D80A8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F0DED"/>
    <w:rsid w:val="0067281B"/>
    <w:rsid w:val="006C5DA6"/>
    <w:rsid w:val="00831C6D"/>
    <w:rsid w:val="00A3551D"/>
    <w:rsid w:val="00A64139"/>
    <w:rsid w:val="00D80A82"/>
    <w:rsid w:val="00DE449D"/>
    <w:rsid w:val="082264AD"/>
    <w:rsid w:val="08DB6A0C"/>
    <w:rsid w:val="0C172490"/>
    <w:rsid w:val="0F024EAD"/>
    <w:rsid w:val="1C8011BD"/>
    <w:rsid w:val="1D547238"/>
    <w:rsid w:val="1DE75D86"/>
    <w:rsid w:val="1FFC1EF1"/>
    <w:rsid w:val="20922EFF"/>
    <w:rsid w:val="22765384"/>
    <w:rsid w:val="2A644BB0"/>
    <w:rsid w:val="2EE817B0"/>
    <w:rsid w:val="31D90E48"/>
    <w:rsid w:val="331C1F78"/>
    <w:rsid w:val="36721D4D"/>
    <w:rsid w:val="3B3665B8"/>
    <w:rsid w:val="477A2C98"/>
    <w:rsid w:val="4EAE3E76"/>
    <w:rsid w:val="51237AAF"/>
    <w:rsid w:val="54CC0884"/>
    <w:rsid w:val="56194AE5"/>
    <w:rsid w:val="603D0153"/>
    <w:rsid w:val="6184481B"/>
    <w:rsid w:val="61E62405"/>
    <w:rsid w:val="63FB399E"/>
    <w:rsid w:val="67E4235D"/>
    <w:rsid w:val="69D202A8"/>
    <w:rsid w:val="6C224E83"/>
    <w:rsid w:val="743453B3"/>
    <w:rsid w:val="759B3B0D"/>
    <w:rsid w:val="77275DC2"/>
    <w:rsid w:val="785250C1"/>
    <w:rsid w:val="DFEE01B4"/>
    <w:rsid w:val="FEFF720E"/>
    <w:rsid w:val="FF77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DDCA7"/>
  <w15:docId w15:val="{6BE1FEAA-FED0-461A-9145-E1F9C7A2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next w:val="a"/>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unhideWhenUsed/>
    <w:qFormat/>
    <w:pPr>
      <w:widowControl w:val="0"/>
      <w:adjustRightInd w:val="0"/>
      <w:spacing w:before="280" w:line="300" w:lineRule="auto"/>
      <w:jc w:val="both"/>
      <w:outlineLvl w:val="1"/>
    </w:pPr>
    <w:rPr>
      <w:rFonts w:eastAsia="黑体"/>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1"/>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1"/>
    <w:qFormat/>
    <w:rPr>
      <w:b/>
    </w:rPr>
  </w:style>
  <w:style w:type="character" w:styleId="af1">
    <w:name w:val="Hyperlink"/>
    <w:uiPriority w:val="99"/>
    <w:unhideWhenUsed/>
    <w:qFormat/>
    <w:rPr>
      <w:color w:val="467886"/>
      <w:u w:val="single"/>
    </w:rPr>
  </w:style>
  <w:style w:type="character" w:styleId="af2">
    <w:name w:val="annotation reference"/>
    <w:uiPriority w:val="99"/>
    <w:unhideWhenUsed/>
    <w:qFormat/>
    <w:rPr>
      <w:sz w:val="21"/>
      <w:szCs w:val="21"/>
    </w:rPr>
  </w:style>
  <w:style w:type="character" w:customStyle="1" w:styleId="a9">
    <w:name w:val="页脚 字符"/>
    <w:link w:val="a8"/>
    <w:uiPriority w:val="99"/>
    <w:qFormat/>
    <w:rPr>
      <w:kern w:val="2"/>
      <w:sz w:val="18"/>
      <w:szCs w:val="18"/>
    </w:rPr>
  </w:style>
  <w:style w:type="character" w:customStyle="1" w:styleId="a4">
    <w:name w:val="批注文字 字符"/>
    <w:link w:val="a3"/>
    <w:uiPriority w:val="99"/>
    <w:semiHidden/>
    <w:qFormat/>
    <w:rPr>
      <w:kern w:val="2"/>
      <w:sz w:val="21"/>
      <w:szCs w:val="22"/>
    </w:rPr>
  </w:style>
  <w:style w:type="character" w:customStyle="1" w:styleId="10">
    <w:name w:val="未处理的提及1"/>
    <w:uiPriority w:val="99"/>
    <w:unhideWhenUsed/>
    <w:qFormat/>
    <w:rPr>
      <w:color w:val="605E5C"/>
      <w:shd w:val="clear" w:color="auto" w:fill="E1DFDD"/>
    </w:rPr>
  </w:style>
  <w:style w:type="character" w:customStyle="1" w:styleId="ab">
    <w:name w:val="页眉 字符"/>
    <w:link w:val="aa"/>
    <w:uiPriority w:val="99"/>
    <w:qFormat/>
    <w:rPr>
      <w:kern w:val="2"/>
      <w:sz w:val="18"/>
      <w:szCs w:val="18"/>
    </w:rPr>
  </w:style>
  <w:style w:type="character" w:customStyle="1" w:styleId="ae">
    <w:name w:val="批注主题 字符"/>
    <w:link w:val="ad"/>
    <w:uiPriority w:val="99"/>
    <w:semiHidden/>
    <w:qFormat/>
    <w:rPr>
      <w:b/>
      <w:bCs/>
      <w:kern w:val="2"/>
      <w:sz w:val="21"/>
      <w:szCs w:val="22"/>
    </w:rPr>
  </w:style>
  <w:style w:type="character" w:customStyle="1" w:styleId="a7">
    <w:name w:val="批注框文本 字符"/>
    <w:link w:val="a6"/>
    <w:uiPriority w:val="99"/>
    <w:semiHidden/>
    <w:qFormat/>
    <w:rPr>
      <w:kern w:val="2"/>
      <w:sz w:val="18"/>
      <w:szCs w:val="18"/>
    </w:rPr>
  </w:style>
  <w:style w:type="paragraph" w:customStyle="1" w:styleId="11">
    <w:name w:val="修订1"/>
    <w:uiPriority w:val="99"/>
    <w:unhideWhenUsed/>
    <w:qFormat/>
    <w:rPr>
      <w:kern w:val="2"/>
      <w:sz w:val="21"/>
      <w:szCs w:val="22"/>
    </w:rPr>
  </w:style>
  <w:style w:type="paragraph" w:customStyle="1" w:styleId="12">
    <w:name w:val="列表段落1"/>
    <w:basedOn w:val="a"/>
    <w:uiPriority w:val="99"/>
    <w:qFormat/>
    <w:pPr>
      <w:ind w:firstLineChars="200" w:firstLine="420"/>
    </w:pPr>
  </w:style>
  <w:style w:type="paragraph" w:customStyle="1" w:styleId="Style6">
    <w:name w:val="_Style 6"/>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Nail He</cp:lastModifiedBy>
  <cp:revision>12</cp:revision>
  <dcterms:created xsi:type="dcterms:W3CDTF">2025-04-14T13:24:00Z</dcterms:created>
  <dcterms:modified xsi:type="dcterms:W3CDTF">2026-05-13T11:30:00Z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C0F7CA50FA5A4AF6A740A4A0E8F39912_13</vt:lpwstr>
  </property>
  <property fmtid="{D5CDD505-2E9C-101B-9397-08002B2CF9AE}" pid="4" name="KSOTemplateDocerSaveRecord">
    <vt:lpwstr>eyJoZGlkIjoiMWM4MmVkOTA1MjFjYzMwZWNmZGFhODliZDBjZWU4YWMiLCJ1c2VySWQiOiIyMzcxOTgwOTIifQ==</vt:lpwstr>
  </property>
</Properties>
</file>