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C52DE">
      <w:pPr>
        <w:spacing w:before="277" w:after="120" w:afterLines="50" w:line="360" w:lineRule="auto"/>
        <w:ind w:left="108"/>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证券代码：600060</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pacing w:val="-1"/>
          <w:sz w:val="24"/>
          <w:szCs w:val="24"/>
          <w:lang w:eastAsia="zh-CN"/>
        </w:rPr>
        <w:t>证券简称：海信视像</w:t>
      </w:r>
    </w:p>
    <w:p w14:paraId="66800A96">
      <w:pPr>
        <w:spacing w:before="204" w:line="225" w:lineRule="auto"/>
        <w:jc w:val="center"/>
        <w:outlineLvl w:val="0"/>
        <w:rPr>
          <w:rFonts w:ascii="Times New Roman" w:hAnsi="Times New Roman" w:eastAsia="宋体" w:cs="Times New Roman"/>
          <w:b/>
          <w:bCs/>
          <w:spacing w:val="7"/>
          <w:sz w:val="31"/>
          <w:szCs w:val="31"/>
          <w:lang w:eastAsia="zh-CN"/>
        </w:rPr>
      </w:pPr>
      <w:r>
        <w:rPr>
          <w:rFonts w:ascii="Times New Roman" w:hAnsi="Times New Roman" w:eastAsia="宋体" w:cs="Times New Roman"/>
          <w:b/>
          <w:bCs/>
          <w:spacing w:val="7"/>
          <w:sz w:val="31"/>
          <w:szCs w:val="31"/>
          <w:lang w:eastAsia="zh-CN"/>
        </w:rPr>
        <w:t>海信视像科技股份有限公司投资者关系活动记录表</w:t>
      </w:r>
    </w:p>
    <w:p w14:paraId="4A63CD70">
      <w:pPr>
        <w:spacing w:before="204" w:line="225" w:lineRule="auto"/>
        <w:jc w:val="center"/>
        <w:outlineLvl w:val="0"/>
        <w:rPr>
          <w:rFonts w:hint="default" w:ascii="Times New Roman" w:hAnsi="Times New Roman" w:eastAsia="宋体" w:cs="Times New Roman"/>
          <w:b/>
          <w:bCs/>
          <w:spacing w:val="7"/>
          <w:sz w:val="31"/>
          <w:szCs w:val="31"/>
          <w:lang w:val="en-US" w:eastAsia="zh-CN"/>
        </w:rPr>
      </w:pPr>
      <w:r>
        <w:rPr>
          <w:rFonts w:hint="eastAsia" w:ascii="Times New Roman" w:hAnsi="Times New Roman" w:eastAsia="宋体" w:cs="Times New Roman"/>
          <w:b/>
          <w:bCs/>
          <w:spacing w:val="7"/>
          <w:sz w:val="31"/>
          <w:szCs w:val="31"/>
          <w:lang w:eastAsia="zh-CN"/>
        </w:rPr>
        <w:t>——</w:t>
      </w:r>
      <w:r>
        <w:rPr>
          <w:rFonts w:hint="eastAsia" w:ascii="Times New Roman" w:hAnsi="Times New Roman" w:eastAsia="宋体" w:cs="Times New Roman"/>
          <w:b/>
          <w:bCs/>
          <w:spacing w:val="7"/>
          <w:sz w:val="31"/>
          <w:szCs w:val="31"/>
          <w:lang w:val="en-US" w:eastAsia="zh-CN"/>
        </w:rPr>
        <w:t>2026年青岛辖区上市公司投资者网上集体接待日</w:t>
      </w:r>
    </w:p>
    <w:p w14:paraId="65E20D7D">
      <w:pPr>
        <w:spacing w:before="204" w:line="225" w:lineRule="auto"/>
        <w:jc w:val="right"/>
        <w:outlineLvl w:val="0"/>
        <w:rPr>
          <w:rFonts w:hint="default" w:ascii="Times New Roman" w:hAnsi="Times New Roman" w:cs="Times New Roman"/>
          <w:sz w:val="2"/>
          <w:lang w:val="en-US" w:eastAsia="zh-CN"/>
        </w:rPr>
      </w:pPr>
      <w:r>
        <w:rPr>
          <w:rFonts w:ascii="Times New Roman" w:hAnsi="Times New Roman" w:eastAsia="宋体" w:cs="Times New Roman"/>
          <w:spacing w:val="-7"/>
          <w:sz w:val="24"/>
          <w:szCs w:val="24"/>
          <w:lang w:eastAsia="zh-CN"/>
        </w:rPr>
        <w:t>编号：202</w:t>
      </w:r>
      <w:r>
        <w:rPr>
          <w:rFonts w:hint="eastAsia" w:ascii="Times New Roman" w:hAnsi="Times New Roman" w:eastAsia="宋体" w:cs="Times New Roman"/>
          <w:spacing w:val="-7"/>
          <w:sz w:val="24"/>
          <w:szCs w:val="24"/>
          <w:lang w:val="en-US" w:eastAsia="zh-CN"/>
        </w:rPr>
        <w:t>6</w:t>
      </w:r>
      <w:r>
        <w:rPr>
          <w:rFonts w:ascii="Times New Roman" w:hAnsi="Times New Roman" w:eastAsia="宋体" w:cs="Times New Roman"/>
          <w:spacing w:val="-7"/>
          <w:sz w:val="24"/>
          <w:szCs w:val="24"/>
          <w:lang w:eastAsia="zh-CN"/>
        </w:rPr>
        <w:t>-</w:t>
      </w:r>
      <w:r>
        <w:rPr>
          <w:rFonts w:hint="eastAsia" w:ascii="Times New Roman" w:hAnsi="Times New Roman" w:eastAsia="宋体" w:cs="Times New Roman"/>
          <w:spacing w:val="-7"/>
          <w:sz w:val="24"/>
          <w:szCs w:val="24"/>
          <w:lang w:val="en-US" w:eastAsia="zh-CN"/>
        </w:rPr>
        <w:t>05</w:t>
      </w:r>
    </w:p>
    <w:tbl>
      <w:tblPr>
        <w:tblStyle w:val="15"/>
        <w:tblW w:w="602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87"/>
        <w:gridCol w:w="3761"/>
        <w:gridCol w:w="4515"/>
      </w:tblGrid>
      <w:tr w14:paraId="4BDFD9B7">
        <w:trPr>
          <w:trHeight w:val="23" w:hRule="atLeast"/>
          <w:jc w:val="center"/>
        </w:trPr>
        <w:tc>
          <w:tcPr>
            <w:tcW w:w="968" w:type="pct"/>
            <w:vAlign w:val="center"/>
          </w:tcPr>
          <w:p w14:paraId="3BBFB38B">
            <w:pPr>
              <w:spacing w:line="272" w:lineRule="auto"/>
              <w:jc w:val="center"/>
              <w:rPr>
                <w:rFonts w:ascii="Times New Roman" w:hAnsi="Times New Roman" w:cs="Times New Roman"/>
                <w:lang w:eastAsia="zh-CN"/>
              </w:rPr>
            </w:pPr>
          </w:p>
          <w:p w14:paraId="4457A381">
            <w:pPr>
              <w:spacing w:line="272" w:lineRule="auto"/>
              <w:jc w:val="center"/>
              <w:rPr>
                <w:rFonts w:ascii="Times New Roman" w:hAnsi="Times New Roman" w:cs="Times New Roman"/>
                <w:lang w:eastAsia="zh-CN"/>
              </w:rPr>
            </w:pPr>
          </w:p>
          <w:p w14:paraId="712854B1">
            <w:pPr>
              <w:pStyle w:val="16"/>
              <w:spacing w:before="78" w:line="356" w:lineRule="auto"/>
              <w:ind w:left="118" w:right="110" w:firstLine="1"/>
              <w:jc w:val="center"/>
              <w:rPr>
                <w:rFonts w:ascii="Times New Roman" w:hAnsi="Times New Roman" w:cs="Times New Roman"/>
              </w:rPr>
            </w:pPr>
            <w:r>
              <w:rPr>
                <w:rFonts w:ascii="Times New Roman" w:hAnsi="Times New Roman" w:cs="Times New Roman"/>
                <w:spacing w:val="4"/>
              </w:rPr>
              <w:t>投资者关系活</w:t>
            </w:r>
            <w:r>
              <w:rPr>
                <w:rFonts w:ascii="Times New Roman" w:hAnsi="Times New Roman" w:cs="Times New Roman"/>
                <w:spacing w:val="-3"/>
              </w:rPr>
              <w:t>动类别</w:t>
            </w:r>
          </w:p>
        </w:tc>
        <w:tc>
          <w:tcPr>
            <w:tcW w:w="1832" w:type="pct"/>
            <w:tcBorders>
              <w:right w:val="nil"/>
            </w:tcBorders>
          </w:tcPr>
          <w:p w14:paraId="3345F96C">
            <w:pPr>
              <w:pStyle w:val="16"/>
              <w:spacing w:before="117" w:line="220" w:lineRule="auto"/>
              <w:ind w:left="135"/>
              <w:rPr>
                <w:rFonts w:ascii="Times New Roman" w:hAnsi="Times New Roman" w:cs="Times New Roman"/>
                <w:lang w:eastAsia="zh-CN"/>
              </w:rPr>
            </w:pPr>
            <w:r>
              <w:rPr>
                <w:rFonts w:hint="eastAsia" w:ascii="Times New Roman" w:hAnsi="Times New Roman" w:cs="Times New Roman"/>
                <w:spacing w:val="-6"/>
                <w:lang w:eastAsia="zh-CN"/>
              </w:rPr>
              <w:t>□</w:t>
            </w:r>
            <w:r>
              <w:rPr>
                <w:rFonts w:ascii="Times New Roman" w:hAnsi="Times New Roman" w:cs="Times New Roman"/>
                <w:spacing w:val="-5"/>
                <w:lang w:eastAsia="zh-CN"/>
              </w:rPr>
              <w:t>特定对象调研</w:t>
            </w:r>
          </w:p>
          <w:p w14:paraId="1E7E6619">
            <w:pPr>
              <w:pStyle w:val="16"/>
              <w:spacing w:before="182" w:line="219" w:lineRule="auto"/>
              <w:ind w:left="135"/>
              <w:rPr>
                <w:rFonts w:ascii="Times New Roman" w:hAnsi="Times New Roman" w:cs="Times New Roman"/>
                <w:lang w:eastAsia="zh-CN"/>
              </w:rPr>
            </w:pPr>
            <w:r>
              <w:rPr>
                <w:rFonts w:hint="eastAsia" w:ascii="Times New Roman" w:hAnsi="Times New Roman" w:cs="Times New Roman"/>
                <w:spacing w:val="-6"/>
                <w:lang w:eastAsia="zh-CN"/>
              </w:rPr>
              <w:t>□</w:t>
            </w:r>
            <w:r>
              <w:rPr>
                <w:rFonts w:ascii="Times New Roman" w:hAnsi="Times New Roman" w:cs="Times New Roman"/>
                <w:spacing w:val="-6"/>
                <w:lang w:eastAsia="zh-CN"/>
              </w:rPr>
              <w:t>媒体采访</w:t>
            </w:r>
          </w:p>
          <w:p w14:paraId="721F99F5">
            <w:pPr>
              <w:pStyle w:val="16"/>
              <w:spacing w:before="183" w:line="219" w:lineRule="auto"/>
              <w:ind w:left="135"/>
              <w:rPr>
                <w:rFonts w:ascii="Times New Roman" w:hAnsi="Times New Roman" w:cs="Times New Roman"/>
                <w:lang w:eastAsia="zh-CN"/>
              </w:rPr>
            </w:pPr>
            <w:r>
              <w:rPr>
                <w:rFonts w:hint="eastAsia" w:ascii="Times New Roman" w:hAnsi="Times New Roman" w:cs="Times New Roman"/>
                <w:spacing w:val="-6"/>
                <w:lang w:eastAsia="zh-CN"/>
              </w:rPr>
              <w:t>□</w:t>
            </w:r>
            <w:r>
              <w:rPr>
                <w:rFonts w:ascii="Times New Roman" w:hAnsi="Times New Roman" w:cs="Times New Roman"/>
                <w:spacing w:val="-5"/>
                <w:lang w:eastAsia="zh-CN"/>
              </w:rPr>
              <w:t>新闻发布会</w:t>
            </w:r>
          </w:p>
          <w:p w14:paraId="416233C8">
            <w:pPr>
              <w:pStyle w:val="16"/>
              <w:spacing w:before="182" w:line="219" w:lineRule="auto"/>
              <w:ind w:left="135"/>
              <w:rPr>
                <w:rFonts w:ascii="Times New Roman" w:hAnsi="Times New Roman" w:cs="Times New Roman"/>
                <w:spacing w:val="-6"/>
                <w:lang w:eastAsia="zh-CN"/>
              </w:rPr>
            </w:pPr>
            <w:r>
              <w:rPr>
                <w:rFonts w:hint="eastAsia" w:ascii="Times New Roman" w:hAnsi="Times New Roman" w:cs="Times New Roman"/>
                <w:spacing w:val="-6"/>
                <w:lang w:eastAsia="zh-CN"/>
              </w:rPr>
              <w:t>□</w:t>
            </w:r>
            <w:r>
              <w:rPr>
                <w:rFonts w:ascii="Times New Roman" w:hAnsi="Times New Roman" w:cs="Times New Roman"/>
                <w:spacing w:val="-6"/>
                <w:lang w:eastAsia="zh-CN"/>
              </w:rPr>
              <w:t>现场参观</w:t>
            </w:r>
          </w:p>
          <w:p w14:paraId="6F694929">
            <w:pPr>
              <w:pStyle w:val="16"/>
              <w:spacing w:before="182" w:line="219" w:lineRule="auto"/>
              <w:ind w:left="135"/>
              <w:rPr>
                <w:rFonts w:ascii="Times New Roman" w:hAnsi="Times New Roman" w:cs="Times New Roman"/>
                <w:lang w:eastAsia="zh-CN"/>
              </w:rPr>
            </w:pPr>
            <w:r>
              <w:rPr>
                <w:rFonts w:hint="eastAsia" w:ascii="Segoe UI Symbol" w:hAnsi="Segoe UI Symbol" w:cs="Segoe UI Symbol"/>
                <w:spacing w:val="-5"/>
                <w:lang w:eastAsia="zh-CN"/>
              </w:rPr>
              <w:t>☑</w:t>
            </w:r>
            <w:r>
              <w:rPr>
                <w:rFonts w:ascii="Times New Roman" w:hAnsi="Times New Roman" w:cs="Times New Roman"/>
                <w:spacing w:val="-6"/>
                <w:lang w:eastAsia="zh-CN"/>
              </w:rPr>
              <w:t>其他</w:t>
            </w:r>
            <w:r>
              <w:rPr>
                <w:rFonts w:hint="eastAsia" w:ascii="Times New Roman" w:hAnsi="Times New Roman" w:cs="Times New Roman"/>
                <w:spacing w:val="-6"/>
                <w:lang w:eastAsia="zh-CN"/>
              </w:rPr>
              <w:t>（电话会议）</w:t>
            </w:r>
          </w:p>
        </w:tc>
        <w:tc>
          <w:tcPr>
            <w:tcW w:w="2199" w:type="pct"/>
            <w:tcBorders>
              <w:left w:val="nil"/>
            </w:tcBorders>
          </w:tcPr>
          <w:p w14:paraId="35288B01">
            <w:pPr>
              <w:pStyle w:val="16"/>
              <w:spacing w:before="117" w:line="219" w:lineRule="auto"/>
              <w:ind w:left="484"/>
              <w:rPr>
                <w:rFonts w:ascii="Times New Roman" w:hAnsi="Times New Roman" w:cs="Times New Roman"/>
                <w:lang w:eastAsia="zh-CN"/>
              </w:rPr>
            </w:pPr>
            <w:r>
              <w:rPr>
                <w:rFonts w:hint="eastAsia" w:ascii="Times New Roman" w:hAnsi="Times New Roman" w:cs="Times New Roman"/>
                <w:spacing w:val="-6"/>
                <w:lang w:eastAsia="zh-CN"/>
              </w:rPr>
              <w:t>□</w:t>
            </w:r>
            <w:r>
              <w:rPr>
                <w:rFonts w:ascii="Times New Roman" w:hAnsi="Times New Roman" w:cs="Times New Roman"/>
                <w:spacing w:val="-2"/>
                <w:lang w:eastAsia="zh-CN"/>
              </w:rPr>
              <w:t>分析师会议</w:t>
            </w:r>
          </w:p>
          <w:p w14:paraId="6F69686C">
            <w:pPr>
              <w:pStyle w:val="16"/>
              <w:spacing w:before="183" w:line="219" w:lineRule="auto"/>
              <w:ind w:left="511"/>
              <w:rPr>
                <w:rFonts w:ascii="Times New Roman" w:hAnsi="Times New Roman" w:cs="Times New Roman"/>
                <w:sz w:val="22"/>
                <w:szCs w:val="22"/>
                <w:lang w:eastAsia="zh-CN"/>
              </w:rPr>
            </w:pPr>
            <w:r>
              <w:rPr>
                <w:rFonts w:hint="eastAsia" w:ascii="Times New Roman" w:hAnsi="Times New Roman" w:cs="Times New Roman"/>
                <w:spacing w:val="-6"/>
                <w:lang w:eastAsia="zh-CN"/>
              </w:rPr>
              <w:t>□</w:t>
            </w:r>
            <w:r>
              <w:rPr>
                <w:rFonts w:ascii="Times New Roman" w:hAnsi="Times New Roman" w:cs="Times New Roman"/>
                <w:spacing w:val="-5"/>
                <w:lang w:eastAsia="zh-CN"/>
              </w:rPr>
              <w:t>业绩说明会</w:t>
            </w:r>
          </w:p>
          <w:p w14:paraId="39D7E6E1">
            <w:pPr>
              <w:pStyle w:val="16"/>
              <w:spacing w:before="182" w:line="220" w:lineRule="auto"/>
              <w:ind w:left="511"/>
              <w:rPr>
                <w:rFonts w:ascii="Times New Roman" w:hAnsi="Times New Roman" w:cs="Times New Roman"/>
                <w:spacing w:val="-7"/>
                <w:lang w:eastAsia="zh-CN"/>
              </w:rPr>
            </w:pPr>
            <w:r>
              <w:rPr>
                <w:rFonts w:hint="eastAsia" w:ascii="Times New Roman" w:hAnsi="Times New Roman" w:cs="Times New Roman"/>
                <w:spacing w:val="-6"/>
                <w:lang w:eastAsia="zh-CN"/>
              </w:rPr>
              <w:t>□</w:t>
            </w:r>
            <w:r>
              <w:rPr>
                <w:rFonts w:ascii="Times New Roman" w:hAnsi="Times New Roman" w:cs="Times New Roman"/>
                <w:spacing w:val="-7"/>
                <w:lang w:eastAsia="zh-CN"/>
              </w:rPr>
              <w:t>路演活动</w:t>
            </w:r>
          </w:p>
          <w:p w14:paraId="2AC11218">
            <w:pPr>
              <w:pStyle w:val="16"/>
              <w:spacing w:before="182" w:line="220" w:lineRule="auto"/>
              <w:ind w:left="511"/>
              <w:rPr>
                <w:rFonts w:ascii="Times New Roman" w:hAnsi="Times New Roman" w:cs="Times New Roman"/>
                <w:spacing w:val="-7"/>
                <w:lang w:eastAsia="zh-CN"/>
              </w:rPr>
            </w:pPr>
          </w:p>
        </w:tc>
      </w:tr>
      <w:tr w14:paraId="2F1C341C">
        <w:trPr>
          <w:trHeight w:val="23" w:hRule="atLeast"/>
          <w:jc w:val="center"/>
        </w:trPr>
        <w:tc>
          <w:tcPr>
            <w:tcW w:w="968" w:type="pct"/>
            <w:vAlign w:val="center"/>
          </w:tcPr>
          <w:p w14:paraId="65B027C1">
            <w:pPr>
              <w:pStyle w:val="16"/>
              <w:spacing w:before="115" w:line="220" w:lineRule="auto"/>
              <w:ind w:left="119"/>
              <w:jc w:val="center"/>
              <w:rPr>
                <w:rFonts w:ascii="Times New Roman" w:hAnsi="Times New Roman" w:cs="Times New Roman"/>
                <w:color w:val="auto"/>
              </w:rPr>
            </w:pPr>
            <w:r>
              <w:rPr>
                <w:rFonts w:ascii="Times New Roman" w:hAnsi="Times New Roman" w:cs="Times New Roman"/>
                <w:color w:val="auto"/>
                <w:spacing w:val="-2"/>
              </w:rPr>
              <w:t>参与单位名称</w:t>
            </w:r>
          </w:p>
        </w:tc>
        <w:tc>
          <w:tcPr>
            <w:tcW w:w="4031" w:type="pct"/>
            <w:gridSpan w:val="2"/>
            <w:vAlign w:val="center"/>
          </w:tcPr>
          <w:p w14:paraId="6F102432">
            <w:pPr>
              <w:pStyle w:val="16"/>
              <w:spacing w:before="116" w:line="313" w:lineRule="auto"/>
              <w:ind w:left="119" w:right="110"/>
              <w:jc w:val="left"/>
              <w:rPr>
                <w:rFonts w:hint="default" w:ascii="Times New Roman" w:hAnsi="Times New Roman" w:cs="Times New Roman"/>
                <w:b/>
                <w:bCs/>
                <w:color w:val="auto"/>
                <w:lang w:val="en-US" w:eastAsia="zh-CN"/>
              </w:rPr>
            </w:pPr>
            <w:r>
              <w:rPr>
                <w:rFonts w:hint="eastAsia" w:ascii="Times New Roman" w:hAnsi="Times New Roman" w:cs="Times New Roman"/>
                <w:lang w:val="en-US" w:eastAsia="zh-CN"/>
              </w:rPr>
              <w:t>海信视像科技股份有限公司（以下简称“海信视像”或“公司”）线上参与2026</w:t>
            </w:r>
            <w:bookmarkStart w:id="0" w:name="_GoBack"/>
            <w:bookmarkEnd w:id="0"/>
            <w:r>
              <w:rPr>
                <w:rFonts w:hint="eastAsia" w:ascii="Times New Roman" w:hAnsi="Times New Roman" w:cs="Times New Roman"/>
                <w:lang w:val="en-US" w:eastAsia="zh-CN"/>
              </w:rPr>
              <w:t>年青岛辖区上市公司投资者网上集体接待日活动</w:t>
            </w:r>
          </w:p>
        </w:tc>
      </w:tr>
      <w:tr w14:paraId="2B80DA64">
        <w:trPr>
          <w:trHeight w:val="23" w:hRule="atLeast"/>
          <w:jc w:val="center"/>
        </w:trPr>
        <w:tc>
          <w:tcPr>
            <w:tcW w:w="968" w:type="pct"/>
            <w:vAlign w:val="center"/>
          </w:tcPr>
          <w:p w14:paraId="6807D5DC">
            <w:pPr>
              <w:pStyle w:val="16"/>
              <w:spacing w:before="114" w:line="222" w:lineRule="auto"/>
              <w:ind w:left="128"/>
              <w:jc w:val="center"/>
              <w:rPr>
                <w:rFonts w:ascii="Times New Roman" w:hAnsi="Times New Roman" w:cs="Times New Roman"/>
              </w:rPr>
            </w:pPr>
            <w:r>
              <w:rPr>
                <w:rFonts w:ascii="Times New Roman" w:hAnsi="Times New Roman" w:cs="Times New Roman"/>
                <w:spacing w:val="-6"/>
              </w:rPr>
              <w:t>时间</w:t>
            </w:r>
          </w:p>
        </w:tc>
        <w:tc>
          <w:tcPr>
            <w:tcW w:w="4031" w:type="pct"/>
            <w:gridSpan w:val="2"/>
            <w:vAlign w:val="center"/>
          </w:tcPr>
          <w:p w14:paraId="0FA441E6">
            <w:pPr>
              <w:pStyle w:val="16"/>
              <w:spacing w:before="116" w:line="313" w:lineRule="auto"/>
              <w:ind w:left="119" w:right="110"/>
              <w:jc w:val="left"/>
              <w:rPr>
                <w:rFonts w:hint="default" w:ascii="Times New Roman" w:hAnsi="Times New Roman" w:cs="Times New Roman"/>
                <w:lang w:val="en-US" w:eastAsia="zh-CN"/>
              </w:rPr>
            </w:pPr>
            <w:r>
              <w:rPr>
                <w:rFonts w:hint="eastAsia" w:ascii="Times New Roman" w:hAnsi="Times New Roman" w:cs="Times New Roman"/>
                <w:spacing w:val="4"/>
                <w:lang w:eastAsia="zh-CN"/>
              </w:rPr>
              <w:t>202</w:t>
            </w:r>
            <w:r>
              <w:rPr>
                <w:rFonts w:hint="eastAsia" w:ascii="Times New Roman" w:hAnsi="Times New Roman" w:cs="Times New Roman"/>
                <w:spacing w:val="4"/>
                <w:lang w:val="en-US" w:eastAsia="zh-CN"/>
              </w:rPr>
              <w:t>6</w:t>
            </w:r>
            <w:r>
              <w:rPr>
                <w:rFonts w:hint="eastAsia" w:ascii="Times New Roman" w:hAnsi="Times New Roman" w:cs="Times New Roman"/>
                <w:spacing w:val="4"/>
                <w:lang w:eastAsia="zh-CN"/>
              </w:rPr>
              <w:t>年</w:t>
            </w:r>
            <w:r>
              <w:rPr>
                <w:rFonts w:hint="eastAsia" w:ascii="Times New Roman" w:hAnsi="Times New Roman" w:cs="Times New Roman"/>
                <w:spacing w:val="4"/>
                <w:lang w:val="en-US" w:eastAsia="zh-CN"/>
              </w:rPr>
              <w:t>5</w:t>
            </w:r>
            <w:r>
              <w:rPr>
                <w:rFonts w:hint="eastAsia" w:ascii="Times New Roman" w:hAnsi="Times New Roman" w:cs="Times New Roman"/>
                <w:spacing w:val="4"/>
                <w:lang w:eastAsia="zh-CN"/>
              </w:rPr>
              <w:t>月</w:t>
            </w:r>
            <w:r>
              <w:rPr>
                <w:rFonts w:hint="eastAsia" w:ascii="Times New Roman" w:hAnsi="Times New Roman" w:cs="Times New Roman"/>
                <w:spacing w:val="4"/>
                <w:lang w:val="en-US" w:eastAsia="zh-CN"/>
              </w:rPr>
              <w:t>8日</w:t>
            </w:r>
          </w:p>
        </w:tc>
      </w:tr>
      <w:tr w14:paraId="3298256F">
        <w:trPr>
          <w:trHeight w:val="23" w:hRule="atLeast"/>
          <w:jc w:val="center"/>
        </w:trPr>
        <w:tc>
          <w:tcPr>
            <w:tcW w:w="968" w:type="pct"/>
            <w:vAlign w:val="center"/>
          </w:tcPr>
          <w:p w14:paraId="0946ECE6">
            <w:pPr>
              <w:pStyle w:val="16"/>
              <w:spacing w:before="117" w:line="224" w:lineRule="auto"/>
              <w:ind w:left="117"/>
              <w:jc w:val="center"/>
              <w:rPr>
                <w:rFonts w:ascii="Times New Roman" w:hAnsi="Times New Roman" w:cs="Times New Roman"/>
              </w:rPr>
            </w:pPr>
            <w:r>
              <w:rPr>
                <w:rFonts w:ascii="Times New Roman" w:hAnsi="Times New Roman" w:cs="Times New Roman"/>
                <w:spacing w:val="-3"/>
              </w:rPr>
              <w:t>地点</w:t>
            </w:r>
          </w:p>
        </w:tc>
        <w:tc>
          <w:tcPr>
            <w:tcW w:w="4031" w:type="pct"/>
            <w:gridSpan w:val="2"/>
            <w:vAlign w:val="center"/>
          </w:tcPr>
          <w:p w14:paraId="00FADA5F">
            <w:pPr>
              <w:pStyle w:val="16"/>
              <w:spacing w:before="116" w:line="313" w:lineRule="auto"/>
              <w:ind w:left="119" w:right="110"/>
              <w:jc w:val="left"/>
              <w:rPr>
                <w:rFonts w:hint="default" w:ascii="Times New Roman" w:hAnsi="Times New Roman" w:cs="Times New Roman"/>
                <w:lang w:val="en-US" w:eastAsia="zh-CN"/>
              </w:rPr>
            </w:pPr>
            <w:r>
              <w:rPr>
                <w:rFonts w:hint="eastAsia" w:ascii="Times New Roman" w:hAnsi="Times New Roman" w:cs="Times New Roman"/>
                <w:lang w:val="en-US" w:eastAsia="zh-CN"/>
              </w:rPr>
              <w:t>会议</w:t>
            </w:r>
            <w:r>
              <w:rPr>
                <w:rFonts w:hint="default" w:ascii="Times New Roman" w:hAnsi="Times New Roman" w:cs="Times New Roman"/>
                <w:lang w:val="en-US" w:eastAsia="zh-CN"/>
              </w:rPr>
              <w:t>通过“全景路演”网站（https://rs.p5w.net）采用网络远程的方式召开</w:t>
            </w:r>
          </w:p>
        </w:tc>
      </w:tr>
      <w:tr w14:paraId="00C2C4FD">
        <w:trPr>
          <w:trHeight w:val="23" w:hRule="atLeast"/>
          <w:jc w:val="center"/>
        </w:trPr>
        <w:tc>
          <w:tcPr>
            <w:tcW w:w="968" w:type="pct"/>
            <w:vAlign w:val="center"/>
          </w:tcPr>
          <w:p w14:paraId="11E0F2A3">
            <w:pPr>
              <w:pStyle w:val="16"/>
              <w:spacing w:before="116" w:line="313" w:lineRule="auto"/>
              <w:ind w:left="119" w:right="110"/>
              <w:jc w:val="center"/>
              <w:rPr>
                <w:rFonts w:ascii="Times New Roman" w:hAnsi="Times New Roman" w:cs="Times New Roman"/>
                <w:lang w:eastAsia="zh-CN"/>
              </w:rPr>
            </w:pPr>
            <w:r>
              <w:rPr>
                <w:rFonts w:ascii="Times New Roman" w:hAnsi="Times New Roman" w:cs="Times New Roman"/>
                <w:spacing w:val="4"/>
                <w:lang w:eastAsia="zh-CN"/>
              </w:rPr>
              <w:t>上市公司接待</w:t>
            </w:r>
            <w:r>
              <w:rPr>
                <w:rFonts w:ascii="Times New Roman" w:hAnsi="Times New Roman" w:cs="Times New Roman"/>
                <w:spacing w:val="-3"/>
                <w:lang w:eastAsia="zh-CN"/>
              </w:rPr>
              <w:t>人员姓名</w:t>
            </w:r>
          </w:p>
        </w:tc>
        <w:tc>
          <w:tcPr>
            <w:tcW w:w="4031" w:type="pct"/>
            <w:gridSpan w:val="2"/>
            <w:vAlign w:val="center"/>
          </w:tcPr>
          <w:p w14:paraId="69D2DD0F">
            <w:pPr>
              <w:pStyle w:val="16"/>
              <w:spacing w:before="116" w:line="313" w:lineRule="auto"/>
              <w:ind w:left="119" w:right="110"/>
              <w:jc w:val="left"/>
              <w:rPr>
                <w:rFonts w:hint="default" w:ascii="Times New Roman" w:hAnsi="Times New Roman" w:cs="Times New Roman"/>
                <w:lang w:val="en-US" w:eastAsia="zh-CN"/>
              </w:rPr>
            </w:pPr>
            <w:r>
              <w:rPr>
                <w:rFonts w:ascii="Times New Roman" w:hAnsi="Times New Roman" w:cs="Times New Roman"/>
                <w:spacing w:val="4"/>
                <w:lang w:eastAsia="zh-CN"/>
              </w:rPr>
              <w:t>董事会秘书</w:t>
            </w:r>
            <w:r>
              <w:rPr>
                <w:rFonts w:hint="eastAsia" w:ascii="Times New Roman" w:hAnsi="Times New Roman" w:cs="Times New Roman"/>
                <w:spacing w:val="4"/>
                <w:lang w:val="en-US" w:eastAsia="zh-CN"/>
              </w:rPr>
              <w:t xml:space="preserve">  </w:t>
            </w:r>
            <w:r>
              <w:rPr>
                <w:rFonts w:ascii="Times New Roman" w:hAnsi="Times New Roman" w:cs="Times New Roman"/>
                <w:spacing w:val="4"/>
                <w:lang w:eastAsia="zh-CN"/>
              </w:rPr>
              <w:t>范</w:t>
            </w:r>
            <w:r>
              <w:rPr>
                <w:rFonts w:hint="eastAsia" w:ascii="Times New Roman" w:hAnsi="Times New Roman" w:cs="Times New Roman"/>
                <w:spacing w:val="4"/>
                <w:lang w:val="en-US" w:eastAsia="zh-CN"/>
              </w:rPr>
              <w:t xml:space="preserve"> </w:t>
            </w:r>
            <w:r>
              <w:rPr>
                <w:rFonts w:ascii="Times New Roman" w:hAnsi="Times New Roman" w:cs="Times New Roman"/>
                <w:spacing w:val="4"/>
                <w:lang w:eastAsia="zh-CN"/>
              </w:rPr>
              <w:t>潇</w:t>
            </w:r>
          </w:p>
        </w:tc>
      </w:tr>
      <w:tr w14:paraId="77E34C89">
        <w:trPr>
          <w:trHeight w:val="23" w:hRule="atLeast"/>
          <w:jc w:val="center"/>
        </w:trPr>
        <w:tc>
          <w:tcPr>
            <w:tcW w:w="968" w:type="pct"/>
            <w:vAlign w:val="center"/>
          </w:tcPr>
          <w:p w14:paraId="314C7E04">
            <w:pPr>
              <w:pStyle w:val="16"/>
              <w:spacing w:before="116" w:line="313" w:lineRule="auto"/>
              <w:ind w:left="119" w:right="110"/>
              <w:jc w:val="both"/>
              <w:rPr>
                <w:rFonts w:ascii="Times New Roman" w:hAnsi="Times New Roman" w:cs="Times New Roman"/>
                <w:spacing w:val="4"/>
                <w:lang w:eastAsia="zh-CN"/>
              </w:rPr>
            </w:pPr>
            <w:r>
              <w:rPr>
                <w:rFonts w:ascii="Times New Roman" w:hAnsi="Times New Roman" w:cs="Times New Roman"/>
                <w:spacing w:val="4"/>
                <w:lang w:eastAsia="zh-CN"/>
              </w:rPr>
              <w:t>投资者关系活动主要内容介</w:t>
            </w:r>
            <w:r>
              <w:rPr>
                <w:rFonts w:ascii="Times New Roman" w:hAnsi="Times New Roman" w:cs="Times New Roman"/>
                <w:lang w:eastAsia="zh-CN"/>
              </w:rPr>
              <w:t>绍</w:t>
            </w:r>
          </w:p>
        </w:tc>
        <w:tc>
          <w:tcPr>
            <w:tcW w:w="4031" w:type="pct"/>
            <w:gridSpan w:val="2"/>
            <w:vAlign w:val="center"/>
          </w:tcPr>
          <w:p w14:paraId="6491B40B">
            <w:pPr>
              <w:pStyle w:val="16"/>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beforeLines="50" w:after="120" w:afterLines="50" w:line="360" w:lineRule="auto"/>
              <w:ind w:left="0" w:firstLine="480" w:firstLineChars="200"/>
              <w:jc w:val="both"/>
              <w:textAlignment w:val="baseline"/>
              <w:rPr>
                <w:rFonts w:hint="eastAsia" w:ascii="Times New Roman" w:hAnsi="Times New Roman" w:eastAsia="宋体" w:cs="Times New Roman"/>
                <w:b/>
                <w:snapToGrid w:val="0"/>
                <w:color w:val="auto"/>
                <w:sz w:val="24"/>
                <w:szCs w:val="24"/>
                <w:highlight w:val="none"/>
                <w:lang w:val="en-US" w:eastAsia="zh-CN" w:bidi="ar-SA"/>
              </w:rPr>
            </w:pPr>
            <w:r>
              <w:rPr>
                <w:rFonts w:hint="eastAsia" w:ascii="Times New Roman" w:hAnsi="Times New Roman" w:eastAsia="宋体" w:cs="Times New Roman"/>
                <w:b/>
                <w:snapToGrid w:val="0"/>
                <w:color w:val="auto"/>
                <w:sz w:val="24"/>
                <w:szCs w:val="24"/>
                <w:highlight w:val="none"/>
                <w:lang w:val="en-US" w:eastAsia="zh-CN" w:bidi="ar-SA"/>
              </w:rPr>
              <w:t>做为显示行业的头部公司，海信视像是否有制定每年的回购计划，提升内在价值</w:t>
            </w:r>
            <w:r>
              <w:rPr>
                <w:rFonts w:hint="eastAsia" w:ascii="Times New Roman" w:hAnsi="Times New Roman" w:cs="Times New Roman"/>
                <w:b/>
                <w:snapToGrid w:val="0"/>
                <w:color w:val="auto"/>
                <w:sz w:val="24"/>
                <w:szCs w:val="24"/>
                <w:highlight w:val="none"/>
                <w:lang w:val="en-US" w:eastAsia="zh-CN" w:bidi="ar-SA"/>
              </w:rPr>
              <w:t>？</w:t>
            </w:r>
          </w:p>
          <w:p w14:paraId="25FD6968">
            <w:pPr>
              <w:pStyle w:val="16"/>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答：尊敬的投资者，您好！公司高度重视市值管理与投资者回报，自2022年以来，公司已连续多年保持现金分红比例达到归母净利润的50%（含2025年度利润分配预案），形成了稳定、可预期的股东回报机制。2025年度，公司拟向全体股东每10股派发现金红利9.403元（含税），预计派发现金红利总额为12.27亿元（含税）。同时，公司积极了运用多种资本运作工具提升公司内在价值，综合运用股权激励、员工持股、回购、高管及控股股东增持等，维护投资者权益。感谢您的关注！</w:t>
            </w:r>
          </w:p>
          <w:p w14:paraId="295A27B0">
            <w:pPr>
              <w:pStyle w:val="16"/>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p>
          <w:p w14:paraId="45C6AFF4">
            <w:pPr>
              <w:pStyle w:val="16"/>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beforeLines="50" w:after="120" w:afterLines="50" w:line="360" w:lineRule="auto"/>
              <w:ind w:left="0" w:firstLine="480" w:firstLineChars="200"/>
              <w:jc w:val="both"/>
              <w:textAlignment w:val="baseline"/>
              <w:rPr>
                <w:rFonts w:hint="eastAsia" w:ascii="Times New Roman" w:hAnsi="Times New Roman" w:eastAsia="宋体" w:cs="Times New Roman"/>
                <w:b/>
                <w:snapToGrid w:val="0"/>
                <w:color w:val="auto"/>
                <w:sz w:val="24"/>
                <w:szCs w:val="24"/>
                <w:highlight w:val="none"/>
                <w:lang w:val="en-US" w:eastAsia="zh-CN" w:bidi="ar-SA"/>
              </w:rPr>
            </w:pPr>
            <w:r>
              <w:rPr>
                <w:rFonts w:hint="eastAsia" w:ascii="Times New Roman" w:hAnsi="Times New Roman" w:eastAsia="宋体" w:cs="Times New Roman"/>
                <w:b/>
                <w:snapToGrid w:val="0"/>
                <w:color w:val="auto"/>
                <w:sz w:val="24"/>
                <w:szCs w:val="24"/>
                <w:highlight w:val="none"/>
                <w:lang w:val="en-US" w:eastAsia="zh-CN" w:bidi="ar-SA"/>
              </w:rPr>
              <w:t>请问贵司在2025年取得了哪些重大进步、还有哪些重大问题需要解决？</w:t>
            </w:r>
          </w:p>
          <w:p w14:paraId="148C6963">
            <w:pPr>
              <w:pStyle w:val="16"/>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答：尊敬的投资者，您好！2025年公司坚定推进全球化布局与高端化战略，全面推进数字化、智能化转型，逐步构建具有国际竞争力的全球化运营体系。2025年，公司品牌价值与产品竞争力持续攀升，发展韧性显著增强，2025年公司营业收入576.79亿元；归属于上市公司股东的净利润24.54亿元，同比增长9.24%；经营活动现金流量净额45.83亿元，同比增长27.43%。</w:t>
            </w:r>
          </w:p>
          <w:p w14:paraId="7B758238">
            <w:pPr>
              <w:pStyle w:val="16"/>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2025年公司取得的部分成果有：在产品与研发方面，公司率先实现RGB-Mini LED的技术与产品首发，构建了显著的技术代差壁垒。公司作为RGB-Mini LED 技术开创者和产业引领者，将持续引领和推动未来显示产业价值持续增长。在智能制造方面，海信青岛工厂获评全球电视行业首家灯塔工厂，树立了智能智造新标杆。在品牌影响力方面，公司连续9年位居BrandZ™中国全球化品牌10强。此外，以激光、商显、云服务以及多场景显示、智能硬件等为代表的新显示新业务高速增长。感谢您的关注！</w:t>
            </w:r>
          </w:p>
          <w:p w14:paraId="36C342E2">
            <w:pPr>
              <w:pStyle w:val="16"/>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p>
          <w:p w14:paraId="1FDCC8FC">
            <w:pPr>
              <w:pStyle w:val="16"/>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beforeLines="50" w:after="120" w:afterLines="50" w:line="360" w:lineRule="auto"/>
              <w:ind w:left="0" w:firstLine="480" w:firstLineChars="200"/>
              <w:jc w:val="both"/>
              <w:textAlignment w:val="baseline"/>
              <w:rPr>
                <w:rFonts w:hint="eastAsia" w:ascii="Times New Roman" w:hAnsi="Times New Roman" w:eastAsia="宋体" w:cs="Times New Roman"/>
                <w:b/>
                <w:snapToGrid w:val="0"/>
                <w:color w:val="auto"/>
                <w:sz w:val="24"/>
                <w:szCs w:val="24"/>
                <w:highlight w:val="none"/>
                <w:lang w:val="en-US" w:eastAsia="zh-CN" w:bidi="ar-SA"/>
              </w:rPr>
            </w:pPr>
            <w:r>
              <w:rPr>
                <w:rFonts w:hint="eastAsia" w:ascii="Times New Roman" w:hAnsi="Times New Roman" w:eastAsia="宋体" w:cs="Times New Roman"/>
                <w:b/>
                <w:snapToGrid w:val="0"/>
                <w:color w:val="auto"/>
                <w:sz w:val="24"/>
                <w:szCs w:val="24"/>
                <w:highlight w:val="none"/>
                <w:lang w:val="en-US" w:eastAsia="zh-CN" w:bidi="ar-SA"/>
              </w:rPr>
              <w:t>海信视像的营收及扣非的利润都没有增长，海信视像是否有第二曲线的业务来拓展未来的营收</w:t>
            </w:r>
            <w:r>
              <w:rPr>
                <w:rFonts w:hint="eastAsia" w:ascii="Times New Roman" w:hAnsi="Times New Roman" w:cs="Times New Roman"/>
                <w:b/>
                <w:snapToGrid w:val="0"/>
                <w:color w:val="auto"/>
                <w:sz w:val="24"/>
                <w:szCs w:val="24"/>
                <w:highlight w:val="none"/>
                <w:lang w:val="en-US" w:eastAsia="zh-CN" w:bidi="ar-SA"/>
              </w:rPr>
              <w:t>？</w:t>
            </w:r>
          </w:p>
          <w:p w14:paraId="3A08A4C6">
            <w:pPr>
              <w:pStyle w:val="16"/>
              <w:spacing w:before="120" w:beforeLines="50" w:after="120" w:afterLines="50" w:line="360" w:lineRule="auto"/>
              <w:ind w:firstLine="48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答：尊敬的投资者，您好！公司2025年度主营业务收入539亿元，同比基本持平，归母净利润24.54亿元，同比增长9.24%，扣非后净利润18.77亿元，同比增长3.26%；</w:t>
            </w:r>
            <w:r>
              <w:rPr>
                <w:rFonts w:hint="eastAsia" w:ascii="Times New Roman" w:hAnsi="Times New Roman" w:cs="Times New Roman"/>
                <w:color w:val="auto"/>
                <w:lang w:val="en-US" w:eastAsia="zh-CN"/>
              </w:rPr>
              <w:t>20</w:t>
            </w:r>
            <w:r>
              <w:rPr>
                <w:rFonts w:hint="default" w:ascii="Times New Roman" w:hAnsi="Times New Roman" w:cs="Times New Roman"/>
                <w:color w:val="auto"/>
                <w:lang w:val="en-US" w:eastAsia="zh-CN"/>
              </w:rPr>
              <w:t>26年</w:t>
            </w:r>
            <w:r>
              <w:rPr>
                <w:rFonts w:hint="eastAsia" w:ascii="Times New Roman" w:hAnsi="Times New Roman" w:cs="Times New Roman"/>
                <w:color w:val="auto"/>
                <w:lang w:val="en-US" w:eastAsia="zh-CN"/>
              </w:rPr>
              <w:t>第一季度</w:t>
            </w:r>
            <w:r>
              <w:rPr>
                <w:rFonts w:hint="default" w:ascii="Times New Roman" w:hAnsi="Times New Roman" w:cs="Times New Roman"/>
                <w:color w:val="auto"/>
                <w:lang w:val="en-US" w:eastAsia="zh-CN"/>
              </w:rPr>
              <w:t>主营业务收入135亿元，同比增长9.4%，归母净利润5.9亿元，同比增长6.71%</w:t>
            </w:r>
            <w:r>
              <w:rPr>
                <w:rFonts w:hint="eastAsia" w:ascii="Times New Roman" w:hAnsi="Times New Roman" w:cs="Times New Roman"/>
                <w:color w:val="auto"/>
                <w:lang w:val="en-US" w:eastAsia="zh-CN"/>
              </w:rPr>
              <w:t>。</w:t>
            </w:r>
          </w:p>
          <w:p w14:paraId="15392E36">
            <w:pPr>
              <w:pStyle w:val="16"/>
              <w:spacing w:before="120" w:beforeLines="50" w:after="120" w:afterLines="50" w:line="360" w:lineRule="auto"/>
              <w:ind w:firstLine="48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公司持续深化技术创新与产业布局，以多场景大显示为核心，持续提升激光、商显、云服务以及多场景显示等产品技术的全球市场竞争力，开拓第二增长曲线。2025年，新显示新业务的主营业务收入为84.58亿元，同比增长24.92%。</w:t>
            </w:r>
          </w:p>
          <w:p w14:paraId="5B932F50">
            <w:pPr>
              <w:pStyle w:val="16"/>
              <w:spacing w:before="120" w:beforeLines="50" w:after="120" w:afterLines="50" w:line="360" w:lineRule="auto"/>
              <w:ind w:firstLine="480" w:firstLineChars="200"/>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2026年</w:t>
            </w:r>
            <w:r>
              <w:rPr>
                <w:rFonts w:hint="default" w:ascii="Times New Roman" w:hAnsi="Times New Roman" w:cs="Times New Roman"/>
                <w:color w:val="auto"/>
                <w:lang w:val="en-US" w:eastAsia="zh-CN"/>
              </w:rPr>
              <w:t>5月8日，</w:t>
            </w:r>
            <w:r>
              <w:rPr>
                <w:rFonts w:hint="eastAsia" w:ascii="Times New Roman" w:hAnsi="Times New Roman" w:cs="Times New Roman"/>
                <w:color w:val="auto"/>
                <w:lang w:val="en-US" w:eastAsia="zh-CN"/>
              </w:rPr>
              <w:t>公司</w:t>
            </w:r>
            <w:r>
              <w:rPr>
                <w:rFonts w:hint="default" w:ascii="Times New Roman" w:hAnsi="Times New Roman" w:cs="Times New Roman"/>
                <w:color w:val="auto"/>
                <w:lang w:val="en-US" w:eastAsia="zh-CN"/>
              </w:rPr>
              <w:t>举办全场景新品发布会，聚焦显示、智能感知、移动能源，推出覆盖投影、显示器、智能终端、穿戴设备等六大3C新品，标志着海信从客厅大屏向全场景智慧生态延伸，推动3C行业进入显示智能新时代。感谢您的关注！</w:t>
            </w:r>
          </w:p>
          <w:p w14:paraId="39084CDE">
            <w:pPr>
              <w:pStyle w:val="16"/>
              <w:spacing w:before="120" w:beforeLines="50" w:after="120" w:afterLines="50" w:line="360" w:lineRule="auto"/>
              <w:ind w:firstLine="480" w:firstLineChars="200"/>
              <w:jc w:val="both"/>
              <w:rPr>
                <w:rFonts w:hint="default" w:ascii="Times New Roman" w:hAnsi="Times New Roman" w:cs="Times New Roman"/>
                <w:color w:val="auto"/>
                <w:lang w:val="en-US" w:eastAsia="zh-CN"/>
              </w:rPr>
            </w:pPr>
          </w:p>
          <w:p w14:paraId="48915E18">
            <w:pPr>
              <w:pStyle w:val="16"/>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beforeLines="50" w:after="120" w:afterLines="50" w:line="360" w:lineRule="auto"/>
              <w:ind w:left="0" w:firstLine="480" w:firstLineChars="200"/>
              <w:jc w:val="both"/>
              <w:textAlignment w:val="baseline"/>
              <w:rPr>
                <w:rFonts w:hint="default" w:ascii="Times New Roman" w:hAnsi="Times New Roman" w:eastAsia="宋体" w:cs="Times New Roman"/>
                <w:b/>
                <w:snapToGrid w:val="0"/>
                <w:color w:val="auto"/>
                <w:sz w:val="24"/>
                <w:szCs w:val="24"/>
                <w:highlight w:val="none"/>
                <w:lang w:val="en-US" w:eastAsia="zh-CN" w:bidi="ar-SA"/>
              </w:rPr>
            </w:pPr>
            <w:r>
              <w:rPr>
                <w:rFonts w:hint="default" w:ascii="Times New Roman" w:hAnsi="Times New Roman" w:eastAsia="宋体" w:cs="Times New Roman"/>
                <w:b/>
                <w:snapToGrid w:val="0"/>
                <w:color w:val="auto"/>
                <w:sz w:val="24"/>
                <w:szCs w:val="24"/>
                <w:highlight w:val="none"/>
                <w:lang w:val="en-US" w:eastAsia="zh-CN" w:bidi="ar-SA"/>
              </w:rPr>
              <w:t>海信视像与AR公司XREAL的合作产品，什么时候能够发布？</w:t>
            </w:r>
          </w:p>
          <w:p w14:paraId="7643D9D4">
            <w:pPr>
              <w:pStyle w:val="16"/>
              <w:spacing w:before="120" w:beforeLines="50" w:after="120" w:afterLines="50" w:line="360" w:lineRule="auto"/>
              <w:ind w:firstLine="48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答：尊敬的投资者，您好！公司持续积极布局智能穿戴领域，推进智能耳机、轻量化</w:t>
            </w:r>
            <w:r>
              <w:rPr>
                <w:rFonts w:hint="eastAsia" w:ascii="Times New Roman" w:hAnsi="Times New Roman" w:cs="Times New Roman"/>
                <w:color w:val="auto"/>
                <w:lang w:val="en-US" w:eastAsia="zh-CN"/>
              </w:rPr>
              <w:t>智能</w:t>
            </w:r>
            <w:r>
              <w:rPr>
                <w:rFonts w:hint="default" w:ascii="Times New Roman" w:hAnsi="Times New Roman" w:cs="Times New Roman"/>
                <w:color w:val="auto"/>
                <w:lang w:val="en-US" w:eastAsia="zh-CN"/>
              </w:rPr>
              <w:t>眼镜等智能终端产品的研发与落地，2025年10月，公司已正式发布Vidda</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G11智能眼镜产品。未来，公司将继续聚焦用户需求，推动智能终端产品的技术迭代与场景拓展。感谢您的关注！</w:t>
            </w:r>
          </w:p>
          <w:p w14:paraId="1AD3DC8B">
            <w:pPr>
              <w:pStyle w:val="16"/>
              <w:spacing w:before="120" w:beforeLines="50" w:after="120" w:afterLines="50" w:line="360" w:lineRule="auto"/>
              <w:ind w:firstLine="480" w:firstLineChars="200"/>
              <w:jc w:val="both"/>
              <w:rPr>
                <w:rFonts w:hint="default" w:ascii="Times New Roman" w:hAnsi="Times New Roman" w:cs="Times New Roman"/>
                <w:color w:val="auto"/>
                <w:lang w:val="en-US" w:eastAsia="zh-CN"/>
              </w:rPr>
            </w:pPr>
          </w:p>
          <w:p w14:paraId="0FA4314A">
            <w:pPr>
              <w:pStyle w:val="16"/>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beforeLines="50" w:after="120" w:afterLines="50" w:line="360" w:lineRule="auto"/>
              <w:ind w:left="0" w:firstLine="480" w:firstLineChars="200"/>
              <w:jc w:val="both"/>
              <w:textAlignment w:val="baseline"/>
              <w:rPr>
                <w:rFonts w:hint="default" w:ascii="Times New Roman" w:hAnsi="Times New Roman" w:eastAsia="宋体" w:cs="Times New Roman"/>
                <w:b/>
                <w:snapToGrid w:val="0"/>
                <w:color w:val="auto"/>
                <w:sz w:val="24"/>
                <w:szCs w:val="24"/>
                <w:highlight w:val="none"/>
                <w:lang w:val="en-US" w:eastAsia="zh-CN" w:bidi="ar-SA"/>
              </w:rPr>
            </w:pPr>
            <w:r>
              <w:rPr>
                <w:rFonts w:hint="default" w:ascii="Times New Roman" w:hAnsi="Times New Roman" w:eastAsia="宋体" w:cs="Times New Roman"/>
                <w:b/>
                <w:snapToGrid w:val="0"/>
                <w:color w:val="auto"/>
                <w:sz w:val="24"/>
                <w:szCs w:val="24"/>
                <w:highlight w:val="none"/>
                <w:lang w:val="en-US" w:eastAsia="zh-CN" w:bidi="ar-SA"/>
              </w:rPr>
              <w:t>贵司在自有资金投资方面，申购了大量的信托产品，请问在项目筛选风险把控方面有何举措</w:t>
            </w:r>
            <w:r>
              <w:rPr>
                <w:rFonts w:hint="eastAsia" w:ascii="Times New Roman" w:hAnsi="Times New Roman" w:cs="Times New Roman"/>
                <w:b/>
                <w:snapToGrid w:val="0"/>
                <w:color w:val="auto"/>
                <w:sz w:val="24"/>
                <w:szCs w:val="24"/>
                <w:highlight w:val="none"/>
                <w:lang w:val="en-US" w:eastAsia="zh-CN" w:bidi="ar-SA"/>
              </w:rPr>
              <w:t>？</w:t>
            </w:r>
          </w:p>
          <w:p w14:paraId="50FABF02">
            <w:pPr>
              <w:pStyle w:val="16"/>
              <w:spacing w:before="120" w:beforeLines="50" w:after="120" w:afterLines="50" w:line="360" w:lineRule="auto"/>
              <w:ind w:firstLine="48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答：尊敬的投资者，您好！公司坚持审慎稳健的风险偏好，持续通过制度建设、流程管控、优化审批标准、加强监测与评估等举措有效管理各类信用风险。在业务开展过程中，严格按照规定的程序和权限进行审查、审批，并做好业务后续跟踪，定期开展资产质量分类评估，通过压力测试验证风险抵御能力，整体信用风险管控体系运行有效，资产质量保持稳定优良水平。感谢您的关注！</w:t>
            </w:r>
          </w:p>
          <w:p w14:paraId="53ABFFBD">
            <w:pPr>
              <w:pStyle w:val="16"/>
              <w:spacing w:before="120" w:beforeLines="50" w:after="120" w:afterLines="50" w:line="360" w:lineRule="auto"/>
              <w:ind w:firstLine="480" w:firstLineChars="200"/>
              <w:jc w:val="both"/>
              <w:rPr>
                <w:rFonts w:hint="default" w:ascii="Times New Roman" w:hAnsi="Times New Roman" w:cs="Times New Roman"/>
                <w:color w:val="auto"/>
                <w:lang w:val="en-US" w:eastAsia="zh-CN"/>
              </w:rPr>
            </w:pPr>
          </w:p>
          <w:p w14:paraId="2DD011B2">
            <w:pPr>
              <w:pStyle w:val="16"/>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beforeLines="50" w:after="120" w:afterLines="50" w:line="360" w:lineRule="auto"/>
              <w:ind w:left="0" w:firstLine="480" w:firstLineChars="200"/>
              <w:jc w:val="both"/>
              <w:textAlignment w:val="baseline"/>
              <w:rPr>
                <w:rFonts w:hint="default" w:ascii="Times New Roman" w:hAnsi="Times New Roman" w:eastAsia="宋体" w:cs="Times New Roman"/>
                <w:b/>
                <w:snapToGrid w:val="0"/>
                <w:color w:val="auto"/>
                <w:sz w:val="24"/>
                <w:szCs w:val="24"/>
                <w:highlight w:val="none"/>
                <w:lang w:val="en-US" w:eastAsia="zh-CN" w:bidi="ar-SA"/>
              </w:rPr>
            </w:pPr>
            <w:r>
              <w:rPr>
                <w:rFonts w:hint="default" w:ascii="Times New Roman" w:hAnsi="Times New Roman" w:eastAsia="宋体" w:cs="Times New Roman"/>
                <w:b/>
                <w:snapToGrid w:val="0"/>
                <w:color w:val="auto"/>
                <w:sz w:val="24"/>
                <w:szCs w:val="24"/>
                <w:highlight w:val="none"/>
                <w:lang w:val="en-US" w:eastAsia="zh-CN" w:bidi="ar-SA"/>
              </w:rPr>
              <w:t>前两年管理层在路演中也有提及，海信视像引入国外优秀的资本，目前能够说说这方面的近展吗？</w:t>
            </w:r>
          </w:p>
          <w:p w14:paraId="15BEF9DC">
            <w:pPr>
              <w:pStyle w:val="16"/>
              <w:spacing w:before="120" w:beforeLines="50" w:after="120" w:afterLines="50" w:line="360" w:lineRule="auto"/>
              <w:ind w:firstLine="48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答：尊敬的投资者，您好！公司一直重视与全球投资者的沟通，积极向国际资本市场传递公司价值。从最新的持股数据来看，国际投资者对公司持续看好。根据2026年第一季度数据显示，陆股通持有公司股份的比例达4.79%，较2024年第四季度的3.63%有明显提升。这一增长反映了国际资本对公司长期发展前景与价值的认可，也是公司国际化战略与资本市场沟通成效的体现。未来公司将继续以稳健的经营和持续的创新回报广大投资者的信任。感谢您的关注！</w:t>
            </w:r>
          </w:p>
          <w:p w14:paraId="3CD2D14D">
            <w:pPr>
              <w:pStyle w:val="16"/>
              <w:spacing w:before="120" w:beforeLines="50" w:after="120" w:afterLines="50" w:line="360" w:lineRule="auto"/>
              <w:ind w:firstLine="480" w:firstLineChars="200"/>
              <w:jc w:val="both"/>
              <w:rPr>
                <w:rFonts w:hint="default" w:ascii="Times New Roman" w:hAnsi="Times New Roman" w:cs="Times New Roman"/>
                <w:color w:val="auto"/>
                <w:lang w:val="en-US" w:eastAsia="zh-CN"/>
              </w:rPr>
            </w:pPr>
          </w:p>
          <w:p w14:paraId="69908E0E">
            <w:pPr>
              <w:pStyle w:val="16"/>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beforeLines="50" w:after="120" w:afterLines="50" w:line="360" w:lineRule="auto"/>
              <w:ind w:left="0" w:firstLine="480" w:firstLineChars="200"/>
              <w:jc w:val="both"/>
              <w:textAlignment w:val="baseline"/>
              <w:rPr>
                <w:rFonts w:hint="default" w:ascii="Times New Roman" w:hAnsi="Times New Roman" w:eastAsia="宋体" w:cs="Times New Roman"/>
                <w:b/>
                <w:snapToGrid w:val="0"/>
                <w:color w:val="auto"/>
                <w:sz w:val="24"/>
                <w:szCs w:val="24"/>
                <w:highlight w:val="none"/>
                <w:lang w:val="en-US" w:eastAsia="zh-CN" w:bidi="ar-SA"/>
              </w:rPr>
            </w:pPr>
            <w:r>
              <w:rPr>
                <w:rFonts w:hint="default" w:ascii="Times New Roman" w:hAnsi="Times New Roman" w:eastAsia="宋体" w:cs="Times New Roman"/>
                <w:b/>
                <w:snapToGrid w:val="0"/>
                <w:color w:val="auto"/>
                <w:sz w:val="24"/>
                <w:szCs w:val="24"/>
                <w:highlight w:val="none"/>
                <w:lang w:val="en-US" w:eastAsia="zh-CN" w:bidi="ar-SA"/>
              </w:rPr>
              <w:t>海信视像是否打算成立投资公司，产业链并购？</w:t>
            </w:r>
          </w:p>
          <w:p w14:paraId="6436510E">
            <w:pPr>
              <w:pStyle w:val="16"/>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答：尊敬的投资者，您好！公司高度重视并购战略在公司发展中的重要作用，长期以来，公司积极采用内生增长与外延扩张相结合的路径</w:t>
            </w:r>
            <w:r>
              <w:rPr>
                <w:rFonts w:hint="eastAsia" w:ascii="Times New Roman" w:hAnsi="Times New Roman" w:cs="Times New Roman"/>
                <w:b w:val="0"/>
                <w:bCs w:val="0"/>
                <w:color w:val="auto"/>
                <w:lang w:val="en-US" w:eastAsia="zh-CN"/>
              </w:rPr>
              <w:t>。</w:t>
            </w:r>
            <w:r>
              <w:rPr>
                <w:rFonts w:hint="default" w:ascii="Times New Roman" w:hAnsi="Times New Roman" w:cs="Times New Roman"/>
                <w:b w:val="0"/>
                <w:bCs w:val="0"/>
                <w:color w:val="auto"/>
                <w:lang w:val="en-US" w:eastAsia="zh-CN"/>
              </w:rPr>
              <w:t>感谢您的关注！</w:t>
            </w:r>
          </w:p>
          <w:p w14:paraId="48476A9C">
            <w:pPr>
              <w:pStyle w:val="16"/>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p>
          <w:p w14:paraId="0BAD4540">
            <w:pPr>
              <w:pStyle w:val="16"/>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beforeLines="50" w:after="120" w:afterLines="50" w:line="360" w:lineRule="auto"/>
              <w:ind w:left="0" w:firstLine="480" w:firstLineChars="200"/>
              <w:jc w:val="both"/>
              <w:textAlignment w:val="baseline"/>
              <w:rPr>
                <w:rFonts w:hint="default" w:ascii="Times New Roman" w:hAnsi="Times New Roman" w:eastAsia="宋体" w:cs="Times New Roman"/>
                <w:b/>
                <w:snapToGrid w:val="0"/>
                <w:color w:val="auto"/>
                <w:sz w:val="24"/>
                <w:szCs w:val="24"/>
                <w:highlight w:val="none"/>
                <w:lang w:val="en-US" w:eastAsia="zh-CN" w:bidi="ar-SA"/>
              </w:rPr>
            </w:pPr>
            <w:r>
              <w:rPr>
                <w:rFonts w:hint="default" w:ascii="Times New Roman" w:hAnsi="Times New Roman" w:eastAsia="宋体" w:cs="Times New Roman"/>
                <w:b/>
                <w:snapToGrid w:val="0"/>
                <w:color w:val="auto"/>
                <w:sz w:val="24"/>
                <w:szCs w:val="24"/>
                <w:highlight w:val="none"/>
                <w:lang w:val="en-US" w:eastAsia="zh-CN" w:bidi="ar-SA"/>
              </w:rPr>
              <w:t>海信视像的信芯微目前是一个什么情况？</w:t>
            </w:r>
          </w:p>
          <w:p w14:paraId="031CE41D">
            <w:pPr>
              <w:pStyle w:val="16"/>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答：尊敬的投资者，您好！信芯微构建中大尺寸全显示芯片矩阵，加速国产化替代进程，实现视频处理技术完全自主可控，推动显示系统智能化与高端化升级。2025年，基于H7画质芯片开展的“高画质、低功耗超高清显示关键技术研究及产业化”项目，荣获山东省科技进步一等奖。2025年</w:t>
            </w:r>
            <w:r>
              <w:rPr>
                <w:rFonts w:hint="eastAsia" w:ascii="Times New Roman" w:hAnsi="Times New Roman" w:cs="Times New Roman"/>
                <w:b w:val="0"/>
                <w:bCs w:val="0"/>
                <w:color w:val="auto"/>
                <w:lang w:val="en-US" w:eastAsia="zh-CN"/>
              </w:rPr>
              <w:t>具体业务进展：</w:t>
            </w:r>
            <w:r>
              <w:rPr>
                <w:rFonts w:hint="default" w:ascii="Times New Roman" w:hAnsi="Times New Roman" w:cs="Times New Roman"/>
                <w:b w:val="0"/>
                <w:bCs w:val="0"/>
                <w:color w:val="auto"/>
                <w:lang w:val="en-US" w:eastAsia="zh-CN"/>
              </w:rPr>
              <w:t>①TCON芯片业务持续增长10%以上，其中在电视TCON领域持续保持领先地位，全球市占率约45%，显示器TCON市场占比不断提升至约12%，笔记本电脑TCON领域实现批量突破（数据来源：奥维睿沃）；②在SOC领域，推出高端QHD电竞显示器SOC芯片，完善显示器SOC产品矩阵，并在主流品牌客户中实现量产出货；③基于新一代H7画质芯片，协同联合开发四基色方案并在2026年CES展会上发布，构建海信电视终端的画质差异化优势；④在AIOT芯片方面，商空主控MCU实现批量出货，家空AI节能芯片量产出货并实现最大节能50%。感谢您的关注！</w:t>
            </w:r>
          </w:p>
          <w:p w14:paraId="29AD45B5">
            <w:pPr>
              <w:pStyle w:val="16"/>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p>
          <w:p w14:paraId="1570A96E">
            <w:pPr>
              <w:pStyle w:val="16"/>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beforeLines="50" w:after="120" w:afterLines="50" w:line="360" w:lineRule="auto"/>
              <w:ind w:left="0" w:firstLine="480" w:firstLineChars="200"/>
              <w:jc w:val="both"/>
              <w:textAlignment w:val="baseline"/>
              <w:rPr>
                <w:rFonts w:hint="default" w:ascii="Times New Roman" w:hAnsi="Times New Roman" w:eastAsia="宋体" w:cs="Times New Roman"/>
                <w:b/>
                <w:snapToGrid w:val="0"/>
                <w:color w:val="auto"/>
                <w:sz w:val="24"/>
                <w:szCs w:val="24"/>
                <w:highlight w:val="none"/>
                <w:lang w:val="en-US" w:eastAsia="zh-CN" w:bidi="ar-SA"/>
              </w:rPr>
            </w:pPr>
            <w:r>
              <w:rPr>
                <w:rFonts w:hint="default" w:ascii="Times New Roman" w:hAnsi="Times New Roman" w:eastAsia="宋体" w:cs="Times New Roman"/>
                <w:b/>
                <w:snapToGrid w:val="0"/>
                <w:color w:val="auto"/>
                <w:sz w:val="24"/>
                <w:szCs w:val="24"/>
                <w:highlight w:val="none"/>
                <w:lang w:val="en-US" w:eastAsia="zh-CN" w:bidi="ar-SA"/>
              </w:rPr>
              <w:t>2025年分红比例达50</w:t>
            </w:r>
            <w:r>
              <w:rPr>
                <w:rFonts w:hint="eastAsia" w:ascii="Times New Roman" w:hAnsi="Times New Roman" w:cs="Times New Roman"/>
                <w:b/>
                <w:snapToGrid w:val="0"/>
                <w:color w:val="auto"/>
                <w:sz w:val="24"/>
                <w:szCs w:val="24"/>
                <w:highlight w:val="none"/>
                <w:lang w:val="en-US" w:eastAsia="zh-CN" w:bidi="ar-SA"/>
              </w:rPr>
              <w:t>%</w:t>
            </w:r>
            <w:r>
              <w:rPr>
                <w:rFonts w:hint="default" w:ascii="Times New Roman" w:hAnsi="Times New Roman" w:eastAsia="宋体" w:cs="Times New Roman"/>
                <w:b/>
                <w:snapToGrid w:val="0"/>
                <w:color w:val="auto"/>
                <w:sz w:val="24"/>
                <w:szCs w:val="24"/>
                <w:highlight w:val="none"/>
                <w:lang w:val="en-US" w:eastAsia="zh-CN" w:bidi="ar-SA"/>
              </w:rPr>
              <w:t>，拟派现12.27亿元，但公司同期投资现金流为负。请问：（1）高分红政策是否与资本开支计划冲突？未来是否会通过股权融资补充资金？（2）2026年Q1股东结构是否出现显著变化（如机构增持或回购股份）？（3）公司连续多年入选ESG评级榜单，是否有计划披露更多量化指标（如碳排放强度、员工多样性数据）以增强透明度？</w:t>
            </w:r>
          </w:p>
          <w:p w14:paraId="07FC0072">
            <w:pPr>
              <w:pStyle w:val="16"/>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答：尊敬的投资者，您好！</w:t>
            </w:r>
          </w:p>
          <w:p w14:paraId="690C3331">
            <w:pPr>
              <w:pStyle w:val="16"/>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1）公司秉持稳健的财务策略，兼顾股东回报与长期发展需求。目前的高分红政策是基于公司良好的盈利能力和现金流状况，在审慎评估资本开支计划后实施的，二者并不冲突。未来如有股权融资需求，公司将严格遵守监管要求，及时履行信息披露义务。</w:t>
            </w:r>
          </w:p>
          <w:p w14:paraId="102AF975">
            <w:pPr>
              <w:pStyle w:val="16"/>
              <w:numPr>
                <w:ilvl w:val="0"/>
                <w:numId w:val="0"/>
              </w:numPr>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r>
              <w:rPr>
                <w:rFonts w:hint="default" w:ascii="Times New Roman" w:hAnsi="Times New Roman" w:eastAsia="宋体" w:cs="Times New Roman"/>
                <w:b w:val="0"/>
                <w:bCs w:val="0"/>
                <w:snapToGrid w:val="0"/>
                <w:color w:val="auto"/>
                <w:sz w:val="24"/>
                <w:szCs w:val="24"/>
                <w:lang w:val="en-US" w:eastAsia="zh-CN" w:bidi="ar-SA"/>
              </w:rPr>
              <w:t>（2）</w:t>
            </w:r>
            <w:r>
              <w:rPr>
                <w:rFonts w:hint="default" w:ascii="Times New Roman" w:hAnsi="Times New Roman" w:cs="Times New Roman"/>
                <w:b w:val="0"/>
                <w:bCs w:val="0"/>
                <w:color w:val="auto"/>
                <w:lang w:val="en-US" w:eastAsia="zh-CN"/>
              </w:rPr>
              <w:t>2026年第一季度</w:t>
            </w:r>
            <w:r>
              <w:rPr>
                <w:rFonts w:hint="eastAsia" w:ascii="Times New Roman" w:hAnsi="Times New Roman" w:cs="Times New Roman"/>
                <w:b w:val="0"/>
                <w:bCs w:val="0"/>
                <w:color w:val="auto"/>
                <w:lang w:val="en-US" w:eastAsia="zh-CN"/>
              </w:rPr>
              <w:t>公司</w:t>
            </w:r>
            <w:r>
              <w:rPr>
                <w:rFonts w:hint="default" w:ascii="Times New Roman" w:hAnsi="Times New Roman" w:cs="Times New Roman"/>
                <w:b w:val="0"/>
                <w:bCs w:val="0"/>
                <w:color w:val="auto"/>
                <w:lang w:val="en-US" w:eastAsia="zh-CN"/>
              </w:rPr>
              <w:t>股东结构总体保持稳定，未出现显著变化。机构投资者依然是公司股东构成的主导力量，反映了市场对公司基本面的持续信心。公司股东框架整体稳健，有利于治理结构的长期稳定。</w:t>
            </w:r>
          </w:p>
          <w:p w14:paraId="1FCC9A1C">
            <w:pPr>
              <w:pStyle w:val="16"/>
              <w:numPr>
                <w:ilvl w:val="0"/>
                <w:numId w:val="0"/>
              </w:numPr>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r>
              <w:rPr>
                <w:rFonts w:hint="default" w:ascii="Times New Roman" w:hAnsi="Times New Roman" w:eastAsia="宋体" w:cs="Times New Roman"/>
                <w:b w:val="0"/>
                <w:bCs w:val="0"/>
                <w:snapToGrid w:val="0"/>
                <w:color w:val="auto"/>
                <w:sz w:val="24"/>
                <w:szCs w:val="24"/>
                <w:lang w:val="en-US" w:eastAsia="zh-CN" w:bidi="ar-SA"/>
              </w:rPr>
              <w:t>（3）</w:t>
            </w:r>
            <w:r>
              <w:rPr>
                <w:rFonts w:hint="default" w:ascii="Times New Roman" w:hAnsi="Times New Roman" w:cs="Times New Roman"/>
                <w:b w:val="0"/>
                <w:bCs w:val="0"/>
                <w:color w:val="auto"/>
                <w:lang w:val="en-US" w:eastAsia="zh-CN"/>
              </w:rPr>
              <w:t>关于ESG信息披露，公司已连续多年获得外部评级认可，未来将继续推进ESG工作的深化与披露的完善。我们将积极响应市场与投资者的关注，在符合监管指引与行业实践的基础上，逐步丰富披露维度，持续提升透明度，以更好地展现公司在可持续发展方面的努力与成效。</w:t>
            </w:r>
          </w:p>
          <w:p w14:paraId="17F8ABFD">
            <w:pPr>
              <w:pStyle w:val="16"/>
              <w:numPr>
                <w:ilvl w:val="0"/>
                <w:numId w:val="0"/>
              </w:numPr>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公司</w:t>
            </w:r>
            <w:r>
              <w:rPr>
                <w:rFonts w:hint="default" w:ascii="Times New Roman" w:hAnsi="Times New Roman" w:cs="Times New Roman"/>
                <w:b w:val="0"/>
                <w:bCs w:val="0"/>
                <w:color w:val="auto"/>
                <w:lang w:val="en-US" w:eastAsia="zh-CN"/>
              </w:rPr>
              <w:t>将ESG理念深度融入企业发展战略，以技术减碳和全价值链协同双轮驱动，</w:t>
            </w:r>
            <w:r>
              <w:rPr>
                <w:rFonts w:hint="eastAsia" w:ascii="Times New Roman" w:hAnsi="Times New Roman" w:cs="Times New Roman"/>
                <w:b w:val="0"/>
                <w:bCs w:val="0"/>
                <w:color w:val="auto"/>
                <w:lang w:val="en-US" w:eastAsia="zh-CN"/>
              </w:rPr>
              <w:t>于2024年11月发布《碳中和白皮书》，</w:t>
            </w:r>
            <w:r>
              <w:rPr>
                <w:rFonts w:hint="default" w:ascii="Times New Roman" w:hAnsi="Times New Roman" w:cs="Times New Roman"/>
                <w:b w:val="0"/>
                <w:bCs w:val="0"/>
                <w:color w:val="auto"/>
                <w:lang w:val="en-US" w:eastAsia="zh-CN"/>
              </w:rPr>
              <w:t>全面推进绿色低碳转型</w:t>
            </w:r>
            <w:r>
              <w:rPr>
                <w:rFonts w:hint="eastAsia" w:ascii="Times New Roman" w:hAnsi="Times New Roman" w:cs="Times New Roman"/>
                <w:b w:val="0"/>
                <w:bCs w:val="0"/>
                <w:color w:val="auto"/>
                <w:lang w:val="en-US" w:eastAsia="zh-CN"/>
              </w:rPr>
              <w:t>，</w:t>
            </w:r>
            <w:r>
              <w:rPr>
                <w:rFonts w:hint="default" w:ascii="Times New Roman" w:hAnsi="Times New Roman" w:cs="Times New Roman"/>
                <w:b w:val="0"/>
                <w:bCs w:val="0"/>
                <w:color w:val="auto"/>
                <w:lang w:val="en-US" w:eastAsia="zh-CN"/>
              </w:rPr>
              <w:t>已连续多年蝉联Wind ESG AAA评级</w:t>
            </w:r>
            <w:r>
              <w:rPr>
                <w:rFonts w:hint="eastAsia" w:ascii="Times New Roman" w:hAnsi="Times New Roman" w:cs="Times New Roman"/>
                <w:b w:val="0"/>
                <w:bCs w:val="0"/>
                <w:color w:val="auto"/>
                <w:lang w:val="en-US" w:eastAsia="zh-CN"/>
              </w:rPr>
              <w:t>。</w:t>
            </w:r>
            <w:r>
              <w:rPr>
                <w:rFonts w:hint="default" w:ascii="Times New Roman" w:hAnsi="Times New Roman" w:cs="Times New Roman"/>
                <w:b w:val="0"/>
                <w:bCs w:val="0"/>
                <w:color w:val="auto"/>
                <w:lang w:val="en-US" w:eastAsia="zh-CN"/>
              </w:rPr>
              <w:t>2025年，公司碳中和进展成效显著：与2023年基准年相比，温室气体排放强度降低31.37%，温室气体排放量降低19.27%，自身运营绿电占比提升至34.5%，向2050年实现自身运营碳中和目标迈出坚实一步。感谢您的关注！</w:t>
            </w:r>
          </w:p>
          <w:p w14:paraId="17702B15">
            <w:pPr>
              <w:pStyle w:val="16"/>
              <w:numPr>
                <w:ilvl w:val="0"/>
                <w:numId w:val="0"/>
              </w:numPr>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p>
          <w:p w14:paraId="60767D01">
            <w:pPr>
              <w:pStyle w:val="16"/>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beforeLines="50" w:after="120" w:afterLines="50" w:line="360" w:lineRule="auto"/>
              <w:ind w:left="0" w:firstLine="480" w:firstLineChars="200"/>
              <w:jc w:val="both"/>
              <w:textAlignment w:val="baseline"/>
              <w:rPr>
                <w:rFonts w:hint="default" w:ascii="Times New Roman" w:hAnsi="Times New Roman" w:eastAsia="宋体" w:cs="Times New Roman"/>
                <w:b/>
                <w:snapToGrid w:val="0"/>
                <w:color w:val="auto"/>
                <w:sz w:val="24"/>
                <w:szCs w:val="24"/>
                <w:highlight w:val="none"/>
                <w:lang w:val="en-US" w:eastAsia="zh-CN" w:bidi="ar-SA"/>
              </w:rPr>
            </w:pPr>
            <w:r>
              <w:rPr>
                <w:rFonts w:hint="default" w:ascii="Times New Roman" w:hAnsi="Times New Roman" w:eastAsia="宋体" w:cs="Times New Roman"/>
                <w:b/>
                <w:snapToGrid w:val="0"/>
                <w:color w:val="auto"/>
                <w:sz w:val="24"/>
                <w:szCs w:val="24"/>
                <w:highlight w:val="none"/>
                <w:lang w:val="en-US" w:eastAsia="zh-CN" w:bidi="ar-SA"/>
              </w:rPr>
              <w:t>向管理层反馈，再次引入战投，优化股权结构。提升公司整体活力</w:t>
            </w:r>
            <w:r>
              <w:rPr>
                <w:rFonts w:hint="eastAsia" w:ascii="Times New Roman" w:hAnsi="Times New Roman" w:cs="Times New Roman"/>
                <w:b/>
                <w:snapToGrid w:val="0"/>
                <w:color w:val="auto"/>
                <w:sz w:val="24"/>
                <w:szCs w:val="24"/>
                <w:highlight w:val="none"/>
                <w:lang w:val="en-US" w:eastAsia="zh-CN" w:bidi="ar-SA"/>
              </w:rPr>
              <w:t>。</w:t>
            </w:r>
          </w:p>
          <w:p w14:paraId="2F07D5EC">
            <w:pPr>
              <w:pStyle w:val="16"/>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答：尊敬的投资者，您好</w:t>
            </w:r>
            <w:r>
              <w:rPr>
                <w:rFonts w:hint="eastAsia" w:ascii="Times New Roman" w:hAnsi="Times New Roman" w:cs="Times New Roman"/>
                <w:b w:val="0"/>
                <w:bCs w:val="0"/>
                <w:color w:val="auto"/>
                <w:lang w:val="en-US" w:eastAsia="zh-CN"/>
              </w:rPr>
              <w:t>！</w:t>
            </w:r>
            <w:r>
              <w:rPr>
                <w:rFonts w:hint="default" w:ascii="Times New Roman" w:hAnsi="Times New Roman" w:cs="Times New Roman"/>
                <w:b w:val="0"/>
                <w:bCs w:val="0"/>
                <w:color w:val="auto"/>
                <w:lang w:val="en-US" w:eastAsia="zh-CN"/>
              </w:rPr>
              <w:t>感谢您的建议。</w:t>
            </w:r>
          </w:p>
          <w:p w14:paraId="63655555">
            <w:pPr>
              <w:pStyle w:val="16"/>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p>
          <w:p w14:paraId="5C3B2B9A">
            <w:pPr>
              <w:pStyle w:val="16"/>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beforeLines="50" w:after="120" w:afterLines="50" w:line="360" w:lineRule="auto"/>
              <w:ind w:left="0" w:firstLine="480" w:firstLineChars="200"/>
              <w:jc w:val="both"/>
              <w:textAlignment w:val="baseline"/>
              <w:rPr>
                <w:rFonts w:hint="default" w:ascii="Times New Roman" w:hAnsi="Times New Roman" w:eastAsia="宋体" w:cs="Times New Roman"/>
                <w:b/>
                <w:snapToGrid w:val="0"/>
                <w:color w:val="auto"/>
                <w:sz w:val="24"/>
                <w:szCs w:val="24"/>
                <w:highlight w:val="none"/>
                <w:lang w:val="en-US" w:eastAsia="zh-CN" w:bidi="ar-SA"/>
              </w:rPr>
            </w:pPr>
            <w:r>
              <w:rPr>
                <w:rFonts w:hint="default" w:ascii="Times New Roman" w:hAnsi="Times New Roman" w:eastAsia="宋体" w:cs="Times New Roman"/>
                <w:b/>
                <w:snapToGrid w:val="0"/>
                <w:color w:val="auto"/>
                <w:sz w:val="24"/>
                <w:szCs w:val="24"/>
                <w:highlight w:val="none"/>
                <w:lang w:val="en-US" w:eastAsia="zh-CN" w:bidi="ar-SA"/>
              </w:rPr>
              <w:t>建议向管理层反馈视像应该立志于成为一家平台型智能化的综合家电服务商</w:t>
            </w:r>
            <w:r>
              <w:rPr>
                <w:rFonts w:hint="eastAsia" w:ascii="Times New Roman" w:hAnsi="Times New Roman" w:cs="Times New Roman"/>
                <w:b/>
                <w:snapToGrid w:val="0"/>
                <w:color w:val="auto"/>
                <w:sz w:val="24"/>
                <w:szCs w:val="24"/>
                <w:highlight w:val="none"/>
                <w:lang w:val="en-US" w:eastAsia="zh-CN" w:bidi="ar-SA"/>
              </w:rPr>
              <w:t>。</w:t>
            </w:r>
          </w:p>
          <w:p w14:paraId="4C685F38">
            <w:pPr>
              <w:pStyle w:val="16"/>
              <w:spacing w:before="120" w:beforeLines="50" w:after="120" w:afterLines="50" w:line="360" w:lineRule="auto"/>
              <w:ind w:firstLine="480" w:firstLineChars="200"/>
              <w:jc w:val="both"/>
              <w:rPr>
                <w:rFonts w:hint="eastAsia"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答：尊敬的投资者，您好</w:t>
            </w:r>
            <w:r>
              <w:rPr>
                <w:rFonts w:hint="eastAsia" w:ascii="Times New Roman" w:hAnsi="Times New Roman" w:cs="Times New Roman"/>
                <w:b w:val="0"/>
                <w:bCs w:val="0"/>
                <w:color w:val="auto"/>
                <w:lang w:val="en-US" w:eastAsia="zh-CN"/>
              </w:rPr>
              <w:t>！2026年5月8日，公司召开</w:t>
            </w:r>
            <w:r>
              <w:rPr>
                <w:rFonts w:hint="default" w:ascii="Times New Roman" w:hAnsi="Times New Roman" w:cs="Times New Roman"/>
                <w:b w:val="0"/>
                <w:bCs w:val="0"/>
                <w:color w:val="auto"/>
                <w:lang w:val="en-US" w:eastAsia="zh-CN"/>
              </w:rPr>
              <w:t>全场景新品发布会</w:t>
            </w:r>
            <w:r>
              <w:rPr>
                <w:rFonts w:hint="eastAsia" w:ascii="Times New Roman" w:hAnsi="Times New Roman" w:cs="Times New Roman"/>
                <w:b w:val="0"/>
                <w:bCs w:val="0"/>
                <w:color w:val="auto"/>
                <w:lang w:val="en-US" w:eastAsia="zh-CN"/>
              </w:rPr>
              <w:t>，</w:t>
            </w:r>
            <w:r>
              <w:rPr>
                <w:rFonts w:hint="default" w:ascii="Times New Roman" w:hAnsi="Times New Roman" w:cs="Times New Roman"/>
                <w:b w:val="0"/>
                <w:bCs w:val="0"/>
                <w:color w:val="auto"/>
                <w:lang w:val="en-US" w:eastAsia="zh-CN"/>
              </w:rPr>
              <w:t>正式从“单一电视业务”向“全场景智能硬件生态”</w:t>
            </w:r>
            <w:r>
              <w:rPr>
                <w:rFonts w:hint="eastAsia" w:ascii="Times New Roman" w:hAnsi="Times New Roman" w:cs="Times New Roman"/>
                <w:b w:val="0"/>
                <w:bCs w:val="0"/>
                <w:color w:val="auto"/>
                <w:lang w:val="en-US" w:eastAsia="zh-CN"/>
              </w:rPr>
              <w:t>实现</w:t>
            </w:r>
            <w:r>
              <w:rPr>
                <w:rFonts w:hint="default" w:ascii="Times New Roman" w:hAnsi="Times New Roman" w:cs="Times New Roman"/>
                <w:b w:val="0"/>
                <w:bCs w:val="0"/>
                <w:color w:val="auto"/>
                <w:lang w:val="en-US" w:eastAsia="zh-CN"/>
              </w:rPr>
              <w:t>战略跃迁</w:t>
            </w:r>
            <w:r>
              <w:rPr>
                <w:rFonts w:hint="eastAsia" w:ascii="Times New Roman" w:hAnsi="Times New Roman" w:cs="Times New Roman"/>
                <w:b w:val="0"/>
                <w:bCs w:val="0"/>
                <w:color w:val="auto"/>
                <w:lang w:val="en-US" w:eastAsia="zh-CN"/>
              </w:rPr>
              <w:t>。未来，公司将持续围绕用户家庭场景需求，推动产品、服务与内容生态协同发展，积极探索平台化、智能化的综合家电服务模式，不断提升核心竞争力与用户价值。感谢您的关注！</w:t>
            </w:r>
          </w:p>
          <w:p w14:paraId="41F0F589">
            <w:pPr>
              <w:pStyle w:val="16"/>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p>
          <w:p w14:paraId="4506FBA7">
            <w:pPr>
              <w:pStyle w:val="16"/>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beforeLines="50" w:after="120" w:afterLines="50" w:line="360" w:lineRule="auto"/>
              <w:ind w:left="0" w:firstLine="480" w:firstLineChars="200"/>
              <w:jc w:val="both"/>
              <w:textAlignment w:val="baseline"/>
              <w:rPr>
                <w:rFonts w:hint="default" w:ascii="Times New Roman" w:hAnsi="Times New Roman" w:eastAsia="宋体" w:cs="Times New Roman"/>
                <w:b/>
                <w:snapToGrid w:val="0"/>
                <w:color w:val="auto"/>
                <w:sz w:val="24"/>
                <w:szCs w:val="24"/>
                <w:highlight w:val="none"/>
                <w:lang w:val="en-US" w:eastAsia="zh-CN" w:bidi="ar-SA"/>
              </w:rPr>
            </w:pPr>
            <w:r>
              <w:rPr>
                <w:rFonts w:hint="default" w:ascii="Times New Roman" w:hAnsi="Times New Roman" w:eastAsia="宋体" w:cs="Times New Roman"/>
                <w:b/>
                <w:snapToGrid w:val="0"/>
                <w:color w:val="auto"/>
                <w:sz w:val="24"/>
                <w:szCs w:val="24"/>
                <w:highlight w:val="none"/>
                <w:lang w:val="en-US" w:eastAsia="zh-CN" w:bidi="ar-SA"/>
              </w:rPr>
              <w:t>目前国内电视销量才2500多万台，而北美接近5000万台，请问董秘海信视像是否能加大在北美市场的投入，提升份额及产品单价</w:t>
            </w:r>
            <w:r>
              <w:rPr>
                <w:rFonts w:hint="eastAsia" w:ascii="Times New Roman" w:hAnsi="Times New Roman" w:cs="Times New Roman"/>
                <w:b/>
                <w:snapToGrid w:val="0"/>
                <w:color w:val="auto"/>
                <w:sz w:val="24"/>
                <w:szCs w:val="24"/>
                <w:highlight w:val="none"/>
                <w:lang w:val="en-US" w:eastAsia="zh-CN" w:bidi="ar-SA"/>
              </w:rPr>
              <w:t>？</w:t>
            </w:r>
          </w:p>
          <w:p w14:paraId="609F579A">
            <w:pPr>
              <w:pStyle w:val="16"/>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答：尊敬的投资者，您好</w:t>
            </w:r>
            <w:r>
              <w:rPr>
                <w:rFonts w:hint="eastAsia" w:ascii="Times New Roman" w:hAnsi="Times New Roman" w:cs="Times New Roman"/>
                <w:b w:val="0"/>
                <w:bCs w:val="0"/>
                <w:color w:val="auto"/>
                <w:lang w:val="en-US" w:eastAsia="zh-CN"/>
              </w:rPr>
              <w:t>！</w:t>
            </w:r>
            <w:r>
              <w:rPr>
                <w:rFonts w:hint="default" w:ascii="Times New Roman" w:hAnsi="Times New Roman" w:cs="Times New Roman"/>
                <w:b w:val="0"/>
                <w:bCs w:val="0"/>
                <w:color w:val="auto"/>
                <w:lang w:val="en-US" w:eastAsia="zh-CN"/>
              </w:rPr>
              <w:t>公司一直以来高度重视北美市场，持续深化战略合作伙伴关系，稳步推进渠道结构优化与升级，进一步强化优质终端展位布局、优化终端陈列与用户体验，有效提升市场触达率与转化效率</w:t>
            </w:r>
            <w:r>
              <w:rPr>
                <w:rFonts w:hint="eastAsia" w:ascii="Times New Roman" w:hAnsi="Times New Roman" w:cs="Times New Roman"/>
                <w:b w:val="0"/>
                <w:bCs w:val="0"/>
                <w:color w:val="auto"/>
                <w:lang w:val="en-US" w:eastAsia="zh-CN"/>
              </w:rPr>
              <w:t>。公司</w:t>
            </w:r>
            <w:r>
              <w:rPr>
                <w:rFonts w:hint="default" w:ascii="Times New Roman" w:hAnsi="Times New Roman" w:cs="Times New Roman"/>
                <w:b w:val="0"/>
                <w:bCs w:val="0"/>
                <w:color w:val="auto"/>
                <w:lang w:val="en-US" w:eastAsia="zh-CN"/>
              </w:rPr>
              <w:t>聚焦大屏及高端市场深化场景化沟通，加快旗舰产品上市和多品类推广</w:t>
            </w:r>
            <w:r>
              <w:rPr>
                <w:rFonts w:hint="eastAsia" w:ascii="Times New Roman" w:hAnsi="Times New Roman" w:cs="Times New Roman"/>
                <w:b w:val="0"/>
                <w:bCs w:val="0"/>
                <w:color w:val="auto"/>
                <w:lang w:val="en-US" w:eastAsia="zh-CN"/>
              </w:rPr>
              <w:t>。</w:t>
            </w:r>
            <w:r>
              <w:rPr>
                <w:rFonts w:hint="default" w:ascii="Times New Roman" w:hAnsi="Times New Roman" w:cs="Times New Roman"/>
                <w:b w:val="0"/>
                <w:bCs w:val="0"/>
                <w:color w:val="auto"/>
                <w:lang w:val="en-US" w:eastAsia="zh-CN"/>
              </w:rPr>
              <w:t>感谢您的关注！</w:t>
            </w:r>
          </w:p>
          <w:p w14:paraId="547832F0">
            <w:pPr>
              <w:pStyle w:val="16"/>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p>
          <w:p w14:paraId="13B69EAE">
            <w:pPr>
              <w:pStyle w:val="16"/>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beforeLines="50" w:after="120" w:afterLines="50" w:line="360" w:lineRule="auto"/>
              <w:ind w:left="0" w:firstLine="480" w:firstLineChars="200"/>
              <w:jc w:val="both"/>
              <w:textAlignment w:val="baseline"/>
              <w:rPr>
                <w:rFonts w:hint="default" w:ascii="Times New Roman" w:hAnsi="Times New Roman" w:eastAsia="宋体" w:cs="Times New Roman"/>
                <w:b/>
                <w:snapToGrid w:val="0"/>
                <w:color w:val="auto"/>
                <w:sz w:val="24"/>
                <w:szCs w:val="24"/>
                <w:highlight w:val="none"/>
                <w:lang w:val="en-US" w:eastAsia="zh-CN" w:bidi="ar-SA"/>
              </w:rPr>
            </w:pPr>
            <w:r>
              <w:rPr>
                <w:rFonts w:hint="default" w:ascii="Times New Roman" w:hAnsi="Times New Roman" w:eastAsia="宋体" w:cs="Times New Roman"/>
                <w:b/>
                <w:snapToGrid w:val="0"/>
                <w:color w:val="auto"/>
                <w:sz w:val="24"/>
                <w:szCs w:val="24"/>
                <w:highlight w:val="none"/>
                <w:lang w:val="en-US" w:eastAsia="zh-CN" w:bidi="ar-SA"/>
              </w:rPr>
              <w:t>海信视像的大头在外面，当下如何应对汇率波动对利润的影响</w:t>
            </w:r>
            <w:r>
              <w:rPr>
                <w:rFonts w:hint="eastAsia" w:ascii="Times New Roman" w:hAnsi="Times New Roman" w:cs="Times New Roman"/>
                <w:b/>
                <w:snapToGrid w:val="0"/>
                <w:color w:val="auto"/>
                <w:sz w:val="24"/>
                <w:szCs w:val="24"/>
                <w:highlight w:val="none"/>
                <w:lang w:val="en-US" w:eastAsia="zh-CN" w:bidi="ar-SA"/>
              </w:rPr>
              <w:t>？</w:t>
            </w:r>
          </w:p>
          <w:p w14:paraId="3F462296">
            <w:pPr>
              <w:pStyle w:val="16"/>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答：尊敬的投资者，您好！作为一家全球化运营的公司，公司部分业务采用美元、日元等外币作为结算币种。若相关汇率频繁或大幅度波动，可能影响公司产品出口价格竞争力</w:t>
            </w:r>
            <w:r>
              <w:rPr>
                <w:rFonts w:hint="eastAsia" w:ascii="Times New Roman" w:hAnsi="Times New Roman" w:cs="Times New Roman"/>
                <w:b w:val="0"/>
                <w:bCs w:val="0"/>
                <w:color w:val="auto"/>
                <w:lang w:val="en-US" w:eastAsia="zh-CN"/>
              </w:rPr>
              <w:t>和</w:t>
            </w:r>
            <w:r>
              <w:rPr>
                <w:rFonts w:hint="default" w:ascii="Times New Roman" w:hAnsi="Times New Roman" w:cs="Times New Roman"/>
                <w:b w:val="0"/>
                <w:bCs w:val="0"/>
                <w:color w:val="auto"/>
                <w:lang w:val="en-US" w:eastAsia="zh-CN"/>
              </w:rPr>
              <w:t>财务成本。对此，公司已积极运用外汇套期保值等汇率避险工具，降低汇率波动对损益的影响。感谢您的关注！</w:t>
            </w:r>
          </w:p>
          <w:p w14:paraId="2CAEFF75">
            <w:pPr>
              <w:pStyle w:val="16"/>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p>
          <w:p w14:paraId="7433A485">
            <w:pPr>
              <w:pStyle w:val="16"/>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beforeLines="50" w:after="120" w:afterLines="50" w:line="360" w:lineRule="auto"/>
              <w:ind w:left="0" w:firstLine="480" w:firstLineChars="200"/>
              <w:jc w:val="both"/>
              <w:textAlignment w:val="baseline"/>
              <w:rPr>
                <w:rFonts w:hint="default" w:ascii="Times New Roman" w:hAnsi="Times New Roman" w:eastAsia="宋体" w:cs="Times New Roman"/>
                <w:b/>
                <w:snapToGrid w:val="0"/>
                <w:color w:val="auto"/>
                <w:sz w:val="24"/>
                <w:szCs w:val="24"/>
                <w:highlight w:val="none"/>
                <w:lang w:val="en-US" w:eastAsia="zh-CN" w:bidi="ar-SA"/>
              </w:rPr>
            </w:pPr>
            <w:r>
              <w:rPr>
                <w:rFonts w:hint="default" w:ascii="Times New Roman" w:hAnsi="Times New Roman" w:eastAsia="宋体" w:cs="Times New Roman"/>
                <w:b/>
                <w:snapToGrid w:val="0"/>
                <w:color w:val="auto"/>
                <w:sz w:val="24"/>
                <w:szCs w:val="24"/>
                <w:highlight w:val="none"/>
                <w:lang w:val="en-US" w:eastAsia="zh-CN" w:bidi="ar-SA"/>
              </w:rPr>
              <w:t>建议向管理层反馈海信视像要加大引进全球高端研发人才，提高研发投入</w:t>
            </w:r>
            <w:r>
              <w:rPr>
                <w:rFonts w:hint="eastAsia" w:ascii="Times New Roman" w:hAnsi="Times New Roman" w:cs="Times New Roman"/>
                <w:b/>
                <w:snapToGrid w:val="0"/>
                <w:color w:val="auto"/>
                <w:sz w:val="24"/>
                <w:szCs w:val="24"/>
                <w:highlight w:val="none"/>
                <w:lang w:val="en-US" w:eastAsia="zh-CN" w:bidi="ar-SA"/>
              </w:rPr>
              <w:t>。</w:t>
            </w:r>
          </w:p>
          <w:p w14:paraId="165AC84A">
            <w:pPr>
              <w:pStyle w:val="16"/>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答：尊敬的投资者，您好</w:t>
            </w:r>
            <w:r>
              <w:rPr>
                <w:rFonts w:hint="eastAsia" w:ascii="Times New Roman" w:hAnsi="Times New Roman" w:cs="Times New Roman"/>
                <w:b w:val="0"/>
                <w:bCs w:val="0"/>
                <w:color w:val="auto"/>
                <w:lang w:val="en-US" w:eastAsia="zh-CN"/>
              </w:rPr>
              <w:t>！公司始终将技术创新作为核心驱动力，持续加大研发投入与人才引进力度。2025年，公司研发投入达23.88亿元，研发人员规模达3222人，占公司总人数21.42%，为技术创新提供了坚实的资金与人才基础。公司构建了完备的“三级研发体系”，在全球布局13个研发中心，以系统化推进创新能力建设。同时，公司持续深化与国内外顶尖高校及科研机构的合作，通过共建联合实验室等方式整合全球研发资源，实现一体化协同创新。各研发中心专注于基础前沿技术、共性技术及产品化技术的研发与人才培育，并积极参与国内外标准制定与产业技术交流。未来，公司将继续依托全球化研发布局与协同体系，积极引进高端研发人才，不断夯实公司的技术壁垒与领军地位。</w:t>
            </w:r>
            <w:r>
              <w:rPr>
                <w:rFonts w:hint="default" w:ascii="Times New Roman" w:hAnsi="Times New Roman" w:cs="Times New Roman"/>
                <w:b w:val="0"/>
                <w:bCs w:val="0"/>
                <w:color w:val="auto"/>
                <w:lang w:val="en-US" w:eastAsia="zh-CN"/>
              </w:rPr>
              <w:t>感谢您的关注！</w:t>
            </w:r>
          </w:p>
          <w:p w14:paraId="29E6F13C">
            <w:pPr>
              <w:pStyle w:val="16"/>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p>
          <w:p w14:paraId="7C862E63">
            <w:pPr>
              <w:pStyle w:val="16"/>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beforeLines="50" w:after="120" w:afterLines="50" w:line="360" w:lineRule="auto"/>
              <w:ind w:left="0" w:firstLine="480" w:firstLineChars="200"/>
              <w:jc w:val="both"/>
              <w:textAlignment w:val="baseline"/>
              <w:rPr>
                <w:rFonts w:hint="default" w:ascii="Times New Roman" w:hAnsi="Times New Roman" w:eastAsia="宋体" w:cs="Times New Roman"/>
                <w:b/>
                <w:snapToGrid w:val="0"/>
                <w:color w:val="auto"/>
                <w:sz w:val="24"/>
                <w:szCs w:val="24"/>
                <w:highlight w:val="none"/>
                <w:lang w:val="en-US" w:eastAsia="zh-CN" w:bidi="ar-SA"/>
              </w:rPr>
            </w:pPr>
            <w:r>
              <w:rPr>
                <w:rFonts w:hint="default" w:ascii="Times New Roman" w:hAnsi="Times New Roman" w:eastAsia="宋体" w:cs="Times New Roman"/>
                <w:b/>
                <w:snapToGrid w:val="0"/>
                <w:color w:val="auto"/>
                <w:sz w:val="24"/>
                <w:szCs w:val="24"/>
                <w:highlight w:val="none"/>
                <w:lang w:val="en-US" w:eastAsia="zh-CN" w:bidi="ar-SA"/>
              </w:rPr>
              <w:t>公司海外收入占比42.71</w:t>
            </w:r>
            <w:r>
              <w:rPr>
                <w:rFonts w:hint="eastAsia" w:ascii="Times New Roman" w:hAnsi="Times New Roman" w:cs="Times New Roman"/>
                <w:b/>
                <w:snapToGrid w:val="0"/>
                <w:color w:val="auto"/>
                <w:sz w:val="24"/>
                <w:szCs w:val="24"/>
                <w:highlight w:val="none"/>
                <w:lang w:val="en-US" w:eastAsia="zh-CN" w:bidi="ar-SA"/>
              </w:rPr>
              <w:t>%</w:t>
            </w:r>
            <w:r>
              <w:rPr>
                <w:rFonts w:hint="default" w:ascii="Times New Roman" w:hAnsi="Times New Roman" w:eastAsia="宋体" w:cs="Times New Roman"/>
                <w:b/>
                <w:snapToGrid w:val="0"/>
                <w:color w:val="auto"/>
                <w:sz w:val="24"/>
                <w:szCs w:val="24"/>
                <w:highlight w:val="none"/>
                <w:lang w:val="en-US" w:eastAsia="zh-CN" w:bidi="ar-SA"/>
              </w:rPr>
              <w:t>，且面临国际贸易不确定性。请问：（1）是否评估过地缘风险对供应链（如关键零部件进口）或出口市场的潜在影响？（2）外汇套期保值工具的使用比例及效果如何？能否覆盖汇率波动风险？（3）关联交易中是否存在对单一供应商或客户的重大依赖？如何确保交易定价公允性？</w:t>
            </w:r>
          </w:p>
          <w:p w14:paraId="1BFC89FE">
            <w:pPr>
              <w:pStyle w:val="16"/>
              <w:spacing w:before="120" w:beforeLines="50" w:after="120" w:afterLines="50" w:line="360" w:lineRule="auto"/>
              <w:ind w:firstLine="480" w:firstLineChars="200"/>
              <w:jc w:val="both"/>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答：尊敬的投资者，您好！</w:t>
            </w:r>
            <w:r>
              <w:rPr>
                <w:rFonts w:hint="eastAsia" w:ascii="Times New Roman" w:hAnsi="Times New Roman" w:cs="Times New Roman"/>
                <w:b w:val="0"/>
                <w:bCs w:val="0"/>
                <w:color w:val="auto"/>
                <w:lang w:val="en-US" w:eastAsia="zh-CN"/>
              </w:rPr>
              <w:t>（1）</w:t>
            </w:r>
            <w:r>
              <w:rPr>
                <w:rFonts w:hint="default" w:ascii="Times New Roman" w:hAnsi="Times New Roman" w:cs="Times New Roman"/>
                <w:b w:val="0"/>
                <w:bCs w:val="0"/>
                <w:color w:val="auto"/>
                <w:lang w:val="en-US" w:eastAsia="zh-CN"/>
              </w:rPr>
              <w:t>公司持续评估地缘风险并积极应对</w:t>
            </w:r>
            <w:r>
              <w:rPr>
                <w:rFonts w:hint="eastAsia" w:ascii="Times New Roman" w:hAnsi="Times New Roman" w:cs="Times New Roman"/>
                <w:b w:val="0"/>
                <w:bCs w:val="0"/>
                <w:color w:val="auto"/>
                <w:lang w:val="en-US" w:eastAsia="zh-CN"/>
              </w:rPr>
              <w:t>，通过</w:t>
            </w:r>
            <w:r>
              <w:rPr>
                <w:rFonts w:hint="default" w:ascii="Times New Roman" w:hAnsi="Times New Roman" w:cs="Times New Roman"/>
                <w:b w:val="0"/>
                <w:bCs w:val="0"/>
                <w:color w:val="auto"/>
                <w:lang w:val="en-US" w:eastAsia="zh-CN"/>
              </w:rPr>
              <w:t>越南、墨西哥及其他区域的生产基地等</w:t>
            </w:r>
            <w:r>
              <w:rPr>
                <w:rFonts w:hint="eastAsia" w:ascii="Times New Roman" w:hAnsi="Times New Roman" w:cs="Times New Roman"/>
                <w:b w:val="0"/>
                <w:bCs w:val="0"/>
                <w:color w:val="auto"/>
                <w:lang w:val="en-US" w:eastAsia="zh-CN"/>
              </w:rPr>
              <w:t>，推进供应链区域化与本地化，增强抗风险能力</w:t>
            </w:r>
            <w:r>
              <w:rPr>
                <w:rFonts w:hint="default" w:ascii="Times New Roman" w:hAnsi="Times New Roman" w:cs="Times New Roman"/>
                <w:b w:val="0"/>
                <w:bCs w:val="0"/>
                <w:color w:val="auto"/>
                <w:lang w:val="en-US" w:eastAsia="zh-CN"/>
              </w:rPr>
              <w:t>。</w:t>
            </w:r>
            <w:r>
              <w:rPr>
                <w:rFonts w:hint="eastAsia" w:ascii="Times New Roman" w:hAnsi="Times New Roman" w:cs="Times New Roman"/>
                <w:b w:val="0"/>
                <w:bCs w:val="0"/>
                <w:color w:val="auto"/>
                <w:lang w:val="en-US" w:eastAsia="zh-CN"/>
              </w:rPr>
              <w:t>（2）</w:t>
            </w:r>
            <w:r>
              <w:rPr>
                <w:rFonts w:hint="default" w:ascii="Times New Roman" w:hAnsi="Times New Roman" w:cs="Times New Roman"/>
                <w:b w:val="0"/>
                <w:bCs w:val="0"/>
                <w:color w:val="auto"/>
                <w:lang w:val="en-US" w:eastAsia="zh-CN"/>
              </w:rPr>
              <w:t>外汇管理</w:t>
            </w:r>
            <w:r>
              <w:rPr>
                <w:rFonts w:hint="eastAsia" w:ascii="Times New Roman" w:hAnsi="Times New Roman" w:cs="Times New Roman"/>
                <w:b w:val="0"/>
                <w:bCs w:val="0"/>
                <w:color w:val="auto"/>
                <w:lang w:val="en-US" w:eastAsia="zh-CN"/>
              </w:rPr>
              <w:t>方面</w:t>
            </w:r>
            <w:r>
              <w:rPr>
                <w:rFonts w:hint="default" w:ascii="Times New Roman" w:hAnsi="Times New Roman" w:cs="Times New Roman"/>
                <w:b w:val="0"/>
                <w:bCs w:val="0"/>
                <w:color w:val="auto"/>
                <w:lang w:val="en-US" w:eastAsia="zh-CN"/>
              </w:rPr>
              <w:t>，公司坚持风险中性</w:t>
            </w:r>
            <w:r>
              <w:rPr>
                <w:rFonts w:hint="eastAsia" w:ascii="Times New Roman" w:hAnsi="Times New Roman" w:cs="Times New Roman"/>
                <w:b w:val="0"/>
                <w:bCs w:val="0"/>
                <w:color w:val="auto"/>
                <w:lang w:val="en-US" w:eastAsia="zh-CN"/>
              </w:rPr>
              <w:t>原则</w:t>
            </w:r>
            <w:r>
              <w:rPr>
                <w:rFonts w:hint="default" w:ascii="Times New Roman" w:hAnsi="Times New Roman" w:cs="Times New Roman"/>
                <w:b w:val="0"/>
                <w:bCs w:val="0"/>
                <w:color w:val="auto"/>
                <w:lang w:val="en-US" w:eastAsia="zh-CN"/>
              </w:rPr>
              <w:t>，及时关闭敞口策略，汇率波动风险整体可控。</w:t>
            </w:r>
            <w:r>
              <w:rPr>
                <w:rFonts w:hint="eastAsia" w:ascii="Times New Roman" w:hAnsi="Times New Roman" w:cs="Times New Roman"/>
                <w:b w:val="0"/>
                <w:bCs w:val="0"/>
                <w:color w:val="auto"/>
                <w:lang w:val="en-US" w:eastAsia="zh-CN"/>
              </w:rPr>
              <w:t>（3）</w:t>
            </w:r>
            <w:r>
              <w:rPr>
                <w:rFonts w:hint="default" w:ascii="Times New Roman" w:hAnsi="Times New Roman" w:cs="Times New Roman"/>
                <w:b w:val="0"/>
                <w:bCs w:val="0"/>
                <w:color w:val="auto"/>
                <w:lang w:val="en-US" w:eastAsia="zh-CN"/>
              </w:rPr>
              <w:t>公司关联交易遵循自愿平等、公平公允的市场原则，参照市场公允价格协商定价。感谢您的关注！</w:t>
            </w:r>
          </w:p>
        </w:tc>
      </w:tr>
    </w:tbl>
    <w:p w14:paraId="04E46689">
      <w:pPr>
        <w:jc w:val="center"/>
        <w:rPr>
          <w:rFonts w:ascii="Times New Roman" w:hAnsi="Times New Roman" w:cs="Times New Roman"/>
          <w:lang w:eastAsia="zh-CN"/>
        </w:rPr>
      </w:pPr>
    </w:p>
    <w:sectPr>
      <w:pgSz w:w="11907" w:h="16839"/>
      <w:pgMar w:top="737" w:right="1694" w:bottom="737" w:left="169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helvetica">
    <w:panose1 w:val="00000000000000000000"/>
    <w:charset w:val="00"/>
    <w:family w:val="auto"/>
    <w:pitch w:val="default"/>
    <w:sig w:usb0="E00002FF" w:usb1="5000785B" w:usb2="00000000" w:usb3="00000000" w:csb0="2000019F" w:csb1="4F010000"/>
  </w:font>
  <w:font w:name="Segoe UI Symbol">
    <w:altName w:val="苹方-简"/>
    <w:panose1 w:val="020B0502040204020203"/>
    <w:charset w:val="00"/>
    <w:family w:val="swiss"/>
    <w:pitch w:val="default"/>
    <w:sig w:usb0="00000000" w:usb1="00000000" w:usb2="00040000" w:usb3="04000000" w:csb0="00000001" w:csb1="4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53066"/>
    <w:multiLevelType w:val="multilevel"/>
    <w:tmpl w:val="3F753066"/>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27"/>
    <w:rsid w:val="00013270"/>
    <w:rsid w:val="000258DA"/>
    <w:rsid w:val="00026A3C"/>
    <w:rsid w:val="00027473"/>
    <w:rsid w:val="000433B0"/>
    <w:rsid w:val="000528A6"/>
    <w:rsid w:val="000566D4"/>
    <w:rsid w:val="00063A98"/>
    <w:rsid w:val="000648F2"/>
    <w:rsid w:val="000720F6"/>
    <w:rsid w:val="000878B0"/>
    <w:rsid w:val="00095EE6"/>
    <w:rsid w:val="00096328"/>
    <w:rsid w:val="000A12D3"/>
    <w:rsid w:val="000B5B1D"/>
    <w:rsid w:val="000C4CE2"/>
    <w:rsid w:val="000D7D44"/>
    <w:rsid w:val="000F6158"/>
    <w:rsid w:val="001010F6"/>
    <w:rsid w:val="00102283"/>
    <w:rsid w:val="00115C8E"/>
    <w:rsid w:val="00116842"/>
    <w:rsid w:val="00132FD5"/>
    <w:rsid w:val="001339D6"/>
    <w:rsid w:val="00135E16"/>
    <w:rsid w:val="00152FD0"/>
    <w:rsid w:val="00153A81"/>
    <w:rsid w:val="00161E1E"/>
    <w:rsid w:val="00180497"/>
    <w:rsid w:val="0018684E"/>
    <w:rsid w:val="001878F1"/>
    <w:rsid w:val="001A7542"/>
    <w:rsid w:val="001B1907"/>
    <w:rsid w:val="001B21C1"/>
    <w:rsid w:val="001B58A9"/>
    <w:rsid w:val="001C061C"/>
    <w:rsid w:val="001C5778"/>
    <w:rsid w:val="001D1F73"/>
    <w:rsid w:val="001D66E8"/>
    <w:rsid w:val="001F443D"/>
    <w:rsid w:val="001F7D21"/>
    <w:rsid w:val="00202EDC"/>
    <w:rsid w:val="002078FE"/>
    <w:rsid w:val="00215D42"/>
    <w:rsid w:val="00227F8A"/>
    <w:rsid w:val="002330D1"/>
    <w:rsid w:val="002419CA"/>
    <w:rsid w:val="00251171"/>
    <w:rsid w:val="0025222F"/>
    <w:rsid w:val="00253848"/>
    <w:rsid w:val="00254B68"/>
    <w:rsid w:val="00255864"/>
    <w:rsid w:val="002630E1"/>
    <w:rsid w:val="002639ED"/>
    <w:rsid w:val="002665EF"/>
    <w:rsid w:val="00282F35"/>
    <w:rsid w:val="002943D3"/>
    <w:rsid w:val="002E7A10"/>
    <w:rsid w:val="002F1506"/>
    <w:rsid w:val="002F636D"/>
    <w:rsid w:val="003041E7"/>
    <w:rsid w:val="00304697"/>
    <w:rsid w:val="00313B73"/>
    <w:rsid w:val="003211D9"/>
    <w:rsid w:val="0033713F"/>
    <w:rsid w:val="00347596"/>
    <w:rsid w:val="00364753"/>
    <w:rsid w:val="00365786"/>
    <w:rsid w:val="003727CA"/>
    <w:rsid w:val="0038006B"/>
    <w:rsid w:val="00381231"/>
    <w:rsid w:val="003A1EDC"/>
    <w:rsid w:val="003A6954"/>
    <w:rsid w:val="003B32E2"/>
    <w:rsid w:val="003B42D1"/>
    <w:rsid w:val="003C6F36"/>
    <w:rsid w:val="003D14E6"/>
    <w:rsid w:val="003D524D"/>
    <w:rsid w:val="003D7D3D"/>
    <w:rsid w:val="003F10D8"/>
    <w:rsid w:val="003F4193"/>
    <w:rsid w:val="003F77B0"/>
    <w:rsid w:val="00400638"/>
    <w:rsid w:val="00405F80"/>
    <w:rsid w:val="00416404"/>
    <w:rsid w:val="004264B0"/>
    <w:rsid w:val="00445ED0"/>
    <w:rsid w:val="004466A9"/>
    <w:rsid w:val="0045514D"/>
    <w:rsid w:val="0046515E"/>
    <w:rsid w:val="0047436B"/>
    <w:rsid w:val="00483747"/>
    <w:rsid w:val="004902CD"/>
    <w:rsid w:val="0049271B"/>
    <w:rsid w:val="00497D95"/>
    <w:rsid w:val="004A074D"/>
    <w:rsid w:val="004A6B28"/>
    <w:rsid w:val="004A6E80"/>
    <w:rsid w:val="004D379F"/>
    <w:rsid w:val="004D650C"/>
    <w:rsid w:val="004E110E"/>
    <w:rsid w:val="004F0040"/>
    <w:rsid w:val="005018B5"/>
    <w:rsid w:val="00503B28"/>
    <w:rsid w:val="00511139"/>
    <w:rsid w:val="005155C1"/>
    <w:rsid w:val="005203B6"/>
    <w:rsid w:val="005242AD"/>
    <w:rsid w:val="005436D0"/>
    <w:rsid w:val="00555B77"/>
    <w:rsid w:val="0057355D"/>
    <w:rsid w:val="00582B2F"/>
    <w:rsid w:val="00593B99"/>
    <w:rsid w:val="0059784C"/>
    <w:rsid w:val="005978C7"/>
    <w:rsid w:val="005A20E2"/>
    <w:rsid w:val="005A7D2E"/>
    <w:rsid w:val="005B57CE"/>
    <w:rsid w:val="005B5D5C"/>
    <w:rsid w:val="005C35F8"/>
    <w:rsid w:val="005E02BA"/>
    <w:rsid w:val="005F3B68"/>
    <w:rsid w:val="00602685"/>
    <w:rsid w:val="00603B0A"/>
    <w:rsid w:val="0060571A"/>
    <w:rsid w:val="0061331C"/>
    <w:rsid w:val="006262FC"/>
    <w:rsid w:val="00642804"/>
    <w:rsid w:val="0064439F"/>
    <w:rsid w:val="00646BDD"/>
    <w:rsid w:val="0065359E"/>
    <w:rsid w:val="00654F37"/>
    <w:rsid w:val="00660ACD"/>
    <w:rsid w:val="006642E7"/>
    <w:rsid w:val="006771F2"/>
    <w:rsid w:val="0068377E"/>
    <w:rsid w:val="00691AF0"/>
    <w:rsid w:val="00694F83"/>
    <w:rsid w:val="00697AF8"/>
    <w:rsid w:val="006A40AC"/>
    <w:rsid w:val="006B0432"/>
    <w:rsid w:val="006B1E29"/>
    <w:rsid w:val="006B3BF4"/>
    <w:rsid w:val="006B5826"/>
    <w:rsid w:val="006B6C0C"/>
    <w:rsid w:val="006C6E82"/>
    <w:rsid w:val="006D6CFE"/>
    <w:rsid w:val="006D76E5"/>
    <w:rsid w:val="006F253E"/>
    <w:rsid w:val="006F3A6B"/>
    <w:rsid w:val="00701A97"/>
    <w:rsid w:val="00701CDE"/>
    <w:rsid w:val="007069FF"/>
    <w:rsid w:val="0071271A"/>
    <w:rsid w:val="0071680F"/>
    <w:rsid w:val="00721A3C"/>
    <w:rsid w:val="007235DA"/>
    <w:rsid w:val="007253E1"/>
    <w:rsid w:val="00734E08"/>
    <w:rsid w:val="00735CFA"/>
    <w:rsid w:val="00735FB6"/>
    <w:rsid w:val="0073618F"/>
    <w:rsid w:val="00747F36"/>
    <w:rsid w:val="007514AB"/>
    <w:rsid w:val="00754290"/>
    <w:rsid w:val="00754498"/>
    <w:rsid w:val="0075590F"/>
    <w:rsid w:val="00756484"/>
    <w:rsid w:val="00763464"/>
    <w:rsid w:val="00776833"/>
    <w:rsid w:val="0078668C"/>
    <w:rsid w:val="00790039"/>
    <w:rsid w:val="007A0FB9"/>
    <w:rsid w:val="007B14E0"/>
    <w:rsid w:val="007C57A9"/>
    <w:rsid w:val="007C6CB9"/>
    <w:rsid w:val="007D2BC0"/>
    <w:rsid w:val="007D3C9B"/>
    <w:rsid w:val="007F30CB"/>
    <w:rsid w:val="007F60B3"/>
    <w:rsid w:val="008035EF"/>
    <w:rsid w:val="008062D6"/>
    <w:rsid w:val="008071CB"/>
    <w:rsid w:val="0081198C"/>
    <w:rsid w:val="008254FF"/>
    <w:rsid w:val="00830360"/>
    <w:rsid w:val="00832AC0"/>
    <w:rsid w:val="008435C9"/>
    <w:rsid w:val="008449E3"/>
    <w:rsid w:val="00855870"/>
    <w:rsid w:val="0087238E"/>
    <w:rsid w:val="00877B66"/>
    <w:rsid w:val="00887818"/>
    <w:rsid w:val="00897825"/>
    <w:rsid w:val="008A4DB6"/>
    <w:rsid w:val="008B4BD6"/>
    <w:rsid w:val="008B68E8"/>
    <w:rsid w:val="008C224B"/>
    <w:rsid w:val="008C24E6"/>
    <w:rsid w:val="008C2D1A"/>
    <w:rsid w:val="008C4D9D"/>
    <w:rsid w:val="008D5C2C"/>
    <w:rsid w:val="008D6412"/>
    <w:rsid w:val="008D768F"/>
    <w:rsid w:val="008F0267"/>
    <w:rsid w:val="00900F18"/>
    <w:rsid w:val="00912E03"/>
    <w:rsid w:val="0091785A"/>
    <w:rsid w:val="009301CB"/>
    <w:rsid w:val="0093392E"/>
    <w:rsid w:val="00935084"/>
    <w:rsid w:val="009445BA"/>
    <w:rsid w:val="009570DB"/>
    <w:rsid w:val="00963F33"/>
    <w:rsid w:val="009715D6"/>
    <w:rsid w:val="00971B3B"/>
    <w:rsid w:val="0098378D"/>
    <w:rsid w:val="00985409"/>
    <w:rsid w:val="00987326"/>
    <w:rsid w:val="00994859"/>
    <w:rsid w:val="009A1671"/>
    <w:rsid w:val="009A66CD"/>
    <w:rsid w:val="009A7ED2"/>
    <w:rsid w:val="009B2534"/>
    <w:rsid w:val="009B5B12"/>
    <w:rsid w:val="009B7B0F"/>
    <w:rsid w:val="009C1127"/>
    <w:rsid w:val="009E6DBB"/>
    <w:rsid w:val="009E77AC"/>
    <w:rsid w:val="009F5C67"/>
    <w:rsid w:val="009F6113"/>
    <w:rsid w:val="00A007F4"/>
    <w:rsid w:val="00A23B10"/>
    <w:rsid w:val="00A25571"/>
    <w:rsid w:val="00A25AB4"/>
    <w:rsid w:val="00A262F1"/>
    <w:rsid w:val="00A30CCF"/>
    <w:rsid w:val="00A3641B"/>
    <w:rsid w:val="00A4434C"/>
    <w:rsid w:val="00A634F6"/>
    <w:rsid w:val="00A77627"/>
    <w:rsid w:val="00AA0E52"/>
    <w:rsid w:val="00AA70F6"/>
    <w:rsid w:val="00AB32CF"/>
    <w:rsid w:val="00AB5A40"/>
    <w:rsid w:val="00AC7BB4"/>
    <w:rsid w:val="00B16D06"/>
    <w:rsid w:val="00B42227"/>
    <w:rsid w:val="00B54DEB"/>
    <w:rsid w:val="00B608BD"/>
    <w:rsid w:val="00B635FD"/>
    <w:rsid w:val="00B75C0D"/>
    <w:rsid w:val="00B77915"/>
    <w:rsid w:val="00B82CFC"/>
    <w:rsid w:val="00B84A94"/>
    <w:rsid w:val="00B90D34"/>
    <w:rsid w:val="00B97E05"/>
    <w:rsid w:val="00BA54F6"/>
    <w:rsid w:val="00BC36E1"/>
    <w:rsid w:val="00BC7451"/>
    <w:rsid w:val="00BE2107"/>
    <w:rsid w:val="00BE5771"/>
    <w:rsid w:val="00C012C4"/>
    <w:rsid w:val="00C04086"/>
    <w:rsid w:val="00C06DF6"/>
    <w:rsid w:val="00C12561"/>
    <w:rsid w:val="00C21C58"/>
    <w:rsid w:val="00C22DFC"/>
    <w:rsid w:val="00C235CF"/>
    <w:rsid w:val="00C248D5"/>
    <w:rsid w:val="00C3085F"/>
    <w:rsid w:val="00C330F9"/>
    <w:rsid w:val="00C54CCF"/>
    <w:rsid w:val="00C55CE5"/>
    <w:rsid w:val="00C721DD"/>
    <w:rsid w:val="00C80C4A"/>
    <w:rsid w:val="00C8294D"/>
    <w:rsid w:val="00C92ECE"/>
    <w:rsid w:val="00C9419A"/>
    <w:rsid w:val="00C95359"/>
    <w:rsid w:val="00CA5D74"/>
    <w:rsid w:val="00CB6B05"/>
    <w:rsid w:val="00CB7634"/>
    <w:rsid w:val="00CB78FF"/>
    <w:rsid w:val="00CC30E7"/>
    <w:rsid w:val="00CC6824"/>
    <w:rsid w:val="00CD4A4E"/>
    <w:rsid w:val="00D05F96"/>
    <w:rsid w:val="00D0641B"/>
    <w:rsid w:val="00D15993"/>
    <w:rsid w:val="00D21F86"/>
    <w:rsid w:val="00D25D6B"/>
    <w:rsid w:val="00D30CD2"/>
    <w:rsid w:val="00D434B6"/>
    <w:rsid w:val="00D46F9C"/>
    <w:rsid w:val="00D51F0B"/>
    <w:rsid w:val="00D6574B"/>
    <w:rsid w:val="00D70681"/>
    <w:rsid w:val="00D82759"/>
    <w:rsid w:val="00D96A06"/>
    <w:rsid w:val="00DE0B40"/>
    <w:rsid w:val="00DE3D73"/>
    <w:rsid w:val="00DE5956"/>
    <w:rsid w:val="00DF152D"/>
    <w:rsid w:val="00DF24CF"/>
    <w:rsid w:val="00E104C3"/>
    <w:rsid w:val="00E116A1"/>
    <w:rsid w:val="00E13EDA"/>
    <w:rsid w:val="00E22F5A"/>
    <w:rsid w:val="00E2376B"/>
    <w:rsid w:val="00E273C3"/>
    <w:rsid w:val="00E33296"/>
    <w:rsid w:val="00E36234"/>
    <w:rsid w:val="00E40699"/>
    <w:rsid w:val="00E4143F"/>
    <w:rsid w:val="00E503CA"/>
    <w:rsid w:val="00E61428"/>
    <w:rsid w:val="00E61436"/>
    <w:rsid w:val="00E72277"/>
    <w:rsid w:val="00E73F47"/>
    <w:rsid w:val="00E80FFB"/>
    <w:rsid w:val="00EA0E43"/>
    <w:rsid w:val="00EB2569"/>
    <w:rsid w:val="00EC2BB0"/>
    <w:rsid w:val="00F01655"/>
    <w:rsid w:val="00F04FBD"/>
    <w:rsid w:val="00F066C2"/>
    <w:rsid w:val="00F078B0"/>
    <w:rsid w:val="00F1678C"/>
    <w:rsid w:val="00F16B8C"/>
    <w:rsid w:val="00F27911"/>
    <w:rsid w:val="00F564FC"/>
    <w:rsid w:val="00F60D2B"/>
    <w:rsid w:val="00F6150B"/>
    <w:rsid w:val="00F63A0D"/>
    <w:rsid w:val="00F65269"/>
    <w:rsid w:val="00F654B8"/>
    <w:rsid w:val="00F65985"/>
    <w:rsid w:val="00F67A80"/>
    <w:rsid w:val="00FB37BD"/>
    <w:rsid w:val="00FC266A"/>
    <w:rsid w:val="00FD1A68"/>
    <w:rsid w:val="00FD4774"/>
    <w:rsid w:val="00FD7C16"/>
    <w:rsid w:val="00FE1CDA"/>
    <w:rsid w:val="00FE4037"/>
    <w:rsid w:val="00FE57BF"/>
    <w:rsid w:val="00FF4DC1"/>
    <w:rsid w:val="012B4701"/>
    <w:rsid w:val="01A473FF"/>
    <w:rsid w:val="01D628BE"/>
    <w:rsid w:val="02203B3A"/>
    <w:rsid w:val="0261487E"/>
    <w:rsid w:val="02CC7B09"/>
    <w:rsid w:val="03035935"/>
    <w:rsid w:val="036A7762"/>
    <w:rsid w:val="037C716B"/>
    <w:rsid w:val="038720C2"/>
    <w:rsid w:val="03930A79"/>
    <w:rsid w:val="03CA2248"/>
    <w:rsid w:val="03E219EE"/>
    <w:rsid w:val="04137DFA"/>
    <w:rsid w:val="047343F5"/>
    <w:rsid w:val="056A57F8"/>
    <w:rsid w:val="05F652DD"/>
    <w:rsid w:val="061439B5"/>
    <w:rsid w:val="066C1739"/>
    <w:rsid w:val="076C7F34"/>
    <w:rsid w:val="07F1509C"/>
    <w:rsid w:val="080261BB"/>
    <w:rsid w:val="08A70B11"/>
    <w:rsid w:val="091A424A"/>
    <w:rsid w:val="091E40AA"/>
    <w:rsid w:val="09671F72"/>
    <w:rsid w:val="0972111F"/>
    <w:rsid w:val="09BC05EC"/>
    <w:rsid w:val="09DD72C1"/>
    <w:rsid w:val="09E10052"/>
    <w:rsid w:val="09FB7366"/>
    <w:rsid w:val="0A6D7B38"/>
    <w:rsid w:val="0B15662E"/>
    <w:rsid w:val="0BA6296F"/>
    <w:rsid w:val="0BE80A87"/>
    <w:rsid w:val="0CC65882"/>
    <w:rsid w:val="0CDA7707"/>
    <w:rsid w:val="0DB24763"/>
    <w:rsid w:val="0E9E4764"/>
    <w:rsid w:val="0EB9334C"/>
    <w:rsid w:val="0F8B28D2"/>
    <w:rsid w:val="0FBF79A8"/>
    <w:rsid w:val="10030B85"/>
    <w:rsid w:val="101051ED"/>
    <w:rsid w:val="10190546"/>
    <w:rsid w:val="12527D3F"/>
    <w:rsid w:val="12AA1929"/>
    <w:rsid w:val="12AB2A46"/>
    <w:rsid w:val="13170AE0"/>
    <w:rsid w:val="138403CC"/>
    <w:rsid w:val="1384217A"/>
    <w:rsid w:val="14E629C1"/>
    <w:rsid w:val="150D0E85"/>
    <w:rsid w:val="155D48B9"/>
    <w:rsid w:val="160E6673"/>
    <w:rsid w:val="1708666A"/>
    <w:rsid w:val="17D42FA4"/>
    <w:rsid w:val="19037FE5"/>
    <w:rsid w:val="19900A12"/>
    <w:rsid w:val="19C24C2F"/>
    <w:rsid w:val="19F33BB6"/>
    <w:rsid w:val="1A310B82"/>
    <w:rsid w:val="1A8D7508"/>
    <w:rsid w:val="1AC437A4"/>
    <w:rsid w:val="1B5A59F0"/>
    <w:rsid w:val="1BF105C9"/>
    <w:rsid w:val="1CB11B06"/>
    <w:rsid w:val="1CDD1FCF"/>
    <w:rsid w:val="1CFA16FF"/>
    <w:rsid w:val="1D2422D8"/>
    <w:rsid w:val="1D5202A2"/>
    <w:rsid w:val="1D532BBD"/>
    <w:rsid w:val="1DA13AFA"/>
    <w:rsid w:val="1E000793"/>
    <w:rsid w:val="1E370533"/>
    <w:rsid w:val="1EE95587"/>
    <w:rsid w:val="1F182311"/>
    <w:rsid w:val="1F5844BB"/>
    <w:rsid w:val="1F69491A"/>
    <w:rsid w:val="1F980D5B"/>
    <w:rsid w:val="1FA3063F"/>
    <w:rsid w:val="1FAD3F88"/>
    <w:rsid w:val="20897AC0"/>
    <w:rsid w:val="208D2876"/>
    <w:rsid w:val="20F46465"/>
    <w:rsid w:val="210B63F6"/>
    <w:rsid w:val="211D3DA7"/>
    <w:rsid w:val="2129610F"/>
    <w:rsid w:val="21747CD2"/>
    <w:rsid w:val="21FB3F4F"/>
    <w:rsid w:val="220821C8"/>
    <w:rsid w:val="22291FCF"/>
    <w:rsid w:val="22AB6B3F"/>
    <w:rsid w:val="23937AC8"/>
    <w:rsid w:val="23E00F22"/>
    <w:rsid w:val="24B0361B"/>
    <w:rsid w:val="25203CCD"/>
    <w:rsid w:val="252D7F94"/>
    <w:rsid w:val="25FD42CD"/>
    <w:rsid w:val="26154EB4"/>
    <w:rsid w:val="26661BB3"/>
    <w:rsid w:val="267F67D1"/>
    <w:rsid w:val="26C012C4"/>
    <w:rsid w:val="28420146"/>
    <w:rsid w:val="299B7DC6"/>
    <w:rsid w:val="2A4E308A"/>
    <w:rsid w:val="2B6A7A50"/>
    <w:rsid w:val="2B822FEC"/>
    <w:rsid w:val="2BDA654F"/>
    <w:rsid w:val="2CA15303"/>
    <w:rsid w:val="2D8C63A3"/>
    <w:rsid w:val="2E0A025C"/>
    <w:rsid w:val="2E7B3D35"/>
    <w:rsid w:val="2EA927A9"/>
    <w:rsid w:val="2EAB0AAB"/>
    <w:rsid w:val="2F274D9B"/>
    <w:rsid w:val="2F6649D2"/>
    <w:rsid w:val="2F991CA5"/>
    <w:rsid w:val="30DD2A72"/>
    <w:rsid w:val="315076E8"/>
    <w:rsid w:val="3227669B"/>
    <w:rsid w:val="32854830"/>
    <w:rsid w:val="34930017"/>
    <w:rsid w:val="35244AF8"/>
    <w:rsid w:val="358D0FE4"/>
    <w:rsid w:val="35D7578A"/>
    <w:rsid w:val="35DC59EE"/>
    <w:rsid w:val="35E674FA"/>
    <w:rsid w:val="36405F7D"/>
    <w:rsid w:val="3652180C"/>
    <w:rsid w:val="36A007CA"/>
    <w:rsid w:val="378659C1"/>
    <w:rsid w:val="37922808"/>
    <w:rsid w:val="37EB1F18"/>
    <w:rsid w:val="38363929"/>
    <w:rsid w:val="38BD1B07"/>
    <w:rsid w:val="38F60B75"/>
    <w:rsid w:val="39380748"/>
    <w:rsid w:val="39FE4185"/>
    <w:rsid w:val="3A2B2AA0"/>
    <w:rsid w:val="3A396F6B"/>
    <w:rsid w:val="3AC67785"/>
    <w:rsid w:val="3AD55680"/>
    <w:rsid w:val="3B874CE3"/>
    <w:rsid w:val="3BE63813"/>
    <w:rsid w:val="3C3519B4"/>
    <w:rsid w:val="3DC6320C"/>
    <w:rsid w:val="3EFB0C93"/>
    <w:rsid w:val="3F5D7BA0"/>
    <w:rsid w:val="3F7B000C"/>
    <w:rsid w:val="3FBDE036"/>
    <w:rsid w:val="3FF3309B"/>
    <w:rsid w:val="3FF54374"/>
    <w:rsid w:val="403D52DB"/>
    <w:rsid w:val="404B6D6F"/>
    <w:rsid w:val="41B45A71"/>
    <w:rsid w:val="42E514F0"/>
    <w:rsid w:val="432205D2"/>
    <w:rsid w:val="436A63E7"/>
    <w:rsid w:val="437E6337"/>
    <w:rsid w:val="44537B7B"/>
    <w:rsid w:val="44B32884"/>
    <w:rsid w:val="44E879B5"/>
    <w:rsid w:val="45B846D6"/>
    <w:rsid w:val="46813FDD"/>
    <w:rsid w:val="46F3437B"/>
    <w:rsid w:val="47617B01"/>
    <w:rsid w:val="47F008D6"/>
    <w:rsid w:val="484F02A2"/>
    <w:rsid w:val="488C4C47"/>
    <w:rsid w:val="48A44149"/>
    <w:rsid w:val="48C46704"/>
    <w:rsid w:val="492D2391"/>
    <w:rsid w:val="49D62A28"/>
    <w:rsid w:val="49E8450A"/>
    <w:rsid w:val="4A4A0D21"/>
    <w:rsid w:val="4A6E0CD3"/>
    <w:rsid w:val="4AD60806"/>
    <w:rsid w:val="4B683F6F"/>
    <w:rsid w:val="4BF74ED8"/>
    <w:rsid w:val="4BFC429C"/>
    <w:rsid w:val="4C013FBC"/>
    <w:rsid w:val="4C5FC75B"/>
    <w:rsid w:val="4C7402D7"/>
    <w:rsid w:val="4C8B22A5"/>
    <w:rsid w:val="4F0F2539"/>
    <w:rsid w:val="4F1B7FA7"/>
    <w:rsid w:val="4F55619D"/>
    <w:rsid w:val="4F7C497F"/>
    <w:rsid w:val="4FA7451F"/>
    <w:rsid w:val="4FE039D8"/>
    <w:rsid w:val="50264753"/>
    <w:rsid w:val="503A176D"/>
    <w:rsid w:val="51581605"/>
    <w:rsid w:val="51C26265"/>
    <w:rsid w:val="51FD48CA"/>
    <w:rsid w:val="528A2602"/>
    <w:rsid w:val="529A036B"/>
    <w:rsid w:val="529B7BC9"/>
    <w:rsid w:val="53255590"/>
    <w:rsid w:val="53853260"/>
    <w:rsid w:val="53D77AC9"/>
    <w:rsid w:val="53E06252"/>
    <w:rsid w:val="55F10BEA"/>
    <w:rsid w:val="57415259"/>
    <w:rsid w:val="57995095"/>
    <w:rsid w:val="58D05804"/>
    <w:rsid w:val="5A335695"/>
    <w:rsid w:val="5AB77ABD"/>
    <w:rsid w:val="5B0847CE"/>
    <w:rsid w:val="5C2B2A4F"/>
    <w:rsid w:val="5CC63083"/>
    <w:rsid w:val="5CC83CEB"/>
    <w:rsid w:val="5CEB76B4"/>
    <w:rsid w:val="5D212727"/>
    <w:rsid w:val="5D464BE3"/>
    <w:rsid w:val="5DE03A1E"/>
    <w:rsid w:val="5DE30E18"/>
    <w:rsid w:val="5F3D2D8C"/>
    <w:rsid w:val="5F7F2DC3"/>
    <w:rsid w:val="5FF39DF9"/>
    <w:rsid w:val="603262EF"/>
    <w:rsid w:val="60B13450"/>
    <w:rsid w:val="60FE2644"/>
    <w:rsid w:val="625E7607"/>
    <w:rsid w:val="63021D41"/>
    <w:rsid w:val="63057A83"/>
    <w:rsid w:val="63AD76F5"/>
    <w:rsid w:val="642A7E72"/>
    <w:rsid w:val="64671D6D"/>
    <w:rsid w:val="64CA0FF6"/>
    <w:rsid w:val="64F102BF"/>
    <w:rsid w:val="64F551FD"/>
    <w:rsid w:val="654F5217"/>
    <w:rsid w:val="657F3B1C"/>
    <w:rsid w:val="660D1128"/>
    <w:rsid w:val="66553BDD"/>
    <w:rsid w:val="665925BF"/>
    <w:rsid w:val="67281F92"/>
    <w:rsid w:val="67397F49"/>
    <w:rsid w:val="67670D0C"/>
    <w:rsid w:val="677671A1"/>
    <w:rsid w:val="691A4E3E"/>
    <w:rsid w:val="691C78D4"/>
    <w:rsid w:val="6A3A6264"/>
    <w:rsid w:val="6A4315BC"/>
    <w:rsid w:val="6A57468A"/>
    <w:rsid w:val="6A8F27B0"/>
    <w:rsid w:val="6AB875E3"/>
    <w:rsid w:val="6ACA6966"/>
    <w:rsid w:val="6AF6662F"/>
    <w:rsid w:val="6B596BBE"/>
    <w:rsid w:val="6C651125"/>
    <w:rsid w:val="6CD429A0"/>
    <w:rsid w:val="6D120AFE"/>
    <w:rsid w:val="6E2D7E8C"/>
    <w:rsid w:val="6E712470"/>
    <w:rsid w:val="6E7B6E4B"/>
    <w:rsid w:val="6E9A5523"/>
    <w:rsid w:val="6EC60143"/>
    <w:rsid w:val="6F024E2E"/>
    <w:rsid w:val="6F293585"/>
    <w:rsid w:val="6F2A4AF9"/>
    <w:rsid w:val="6FA348AB"/>
    <w:rsid w:val="6FD06242"/>
    <w:rsid w:val="701513F0"/>
    <w:rsid w:val="7060279C"/>
    <w:rsid w:val="70BF74C3"/>
    <w:rsid w:val="71C34D91"/>
    <w:rsid w:val="722B4B4E"/>
    <w:rsid w:val="722E0038"/>
    <w:rsid w:val="72E5624E"/>
    <w:rsid w:val="72EE0006"/>
    <w:rsid w:val="73987733"/>
    <w:rsid w:val="73B452D9"/>
    <w:rsid w:val="73EF5594"/>
    <w:rsid w:val="74BC04A6"/>
    <w:rsid w:val="752244C4"/>
    <w:rsid w:val="75285696"/>
    <w:rsid w:val="75287D2D"/>
    <w:rsid w:val="75822CF1"/>
    <w:rsid w:val="760D0CD1"/>
    <w:rsid w:val="76781F92"/>
    <w:rsid w:val="770045CD"/>
    <w:rsid w:val="77170059"/>
    <w:rsid w:val="77212C85"/>
    <w:rsid w:val="77534E09"/>
    <w:rsid w:val="775F515F"/>
    <w:rsid w:val="779C230C"/>
    <w:rsid w:val="796B2DFE"/>
    <w:rsid w:val="7AB67B89"/>
    <w:rsid w:val="7AFBA8C8"/>
    <w:rsid w:val="7B547650"/>
    <w:rsid w:val="7BEF3A5B"/>
    <w:rsid w:val="7BFDCE84"/>
    <w:rsid w:val="7CE26037"/>
    <w:rsid w:val="7D605990"/>
    <w:rsid w:val="7D8C038C"/>
    <w:rsid w:val="7DAE00ED"/>
    <w:rsid w:val="7DD16A88"/>
    <w:rsid w:val="7DD30D3F"/>
    <w:rsid w:val="7E1153D8"/>
    <w:rsid w:val="7E6B7C1A"/>
    <w:rsid w:val="7EAB7A4E"/>
    <w:rsid w:val="7F02218E"/>
    <w:rsid w:val="7F2A1125"/>
    <w:rsid w:val="7F4F4108"/>
    <w:rsid w:val="7F5576EC"/>
    <w:rsid w:val="7F6851CA"/>
    <w:rsid w:val="7FA2808B"/>
    <w:rsid w:val="7FFDBB95"/>
    <w:rsid w:val="9B8DEDBB"/>
    <w:rsid w:val="AF0FC11E"/>
    <w:rsid w:val="BEEB0060"/>
    <w:rsid w:val="BF725717"/>
    <w:rsid w:val="BF7F01BF"/>
    <w:rsid w:val="CFFA9BEF"/>
    <w:rsid w:val="DAE569EB"/>
    <w:rsid w:val="DFDBE67B"/>
    <w:rsid w:val="DFEBE20D"/>
    <w:rsid w:val="DFFF6725"/>
    <w:rsid w:val="EBBEE6E8"/>
    <w:rsid w:val="EBF81392"/>
    <w:rsid w:val="ED76CB37"/>
    <w:rsid w:val="EFF9420B"/>
    <w:rsid w:val="F557AB4B"/>
    <w:rsid w:val="F5A7D12F"/>
    <w:rsid w:val="F777F637"/>
    <w:rsid w:val="F7FF7445"/>
    <w:rsid w:val="F9F5FAF0"/>
    <w:rsid w:val="FCF403F1"/>
    <w:rsid w:val="FDC677CE"/>
    <w:rsid w:val="FFDF8FA6"/>
    <w:rsid w:val="FFEFF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style>
  <w:style w:type="paragraph" w:styleId="3">
    <w:name w:val="Balloon Text"/>
    <w:basedOn w:val="1"/>
    <w:link w:val="23"/>
    <w:qFormat/>
    <w:uiPriority w:val="0"/>
    <w:rPr>
      <w:sz w:val="18"/>
      <w:szCs w:val="18"/>
    </w:rPr>
  </w:style>
  <w:style w:type="paragraph" w:styleId="4">
    <w:name w:val="footer"/>
    <w:basedOn w:val="1"/>
    <w:link w:val="19"/>
    <w:qFormat/>
    <w:uiPriority w:val="0"/>
    <w:pPr>
      <w:tabs>
        <w:tab w:val="center" w:pos="4153"/>
        <w:tab w:val="right" w:pos="8306"/>
      </w:tabs>
    </w:pPr>
    <w:rPr>
      <w:sz w:val="18"/>
      <w:szCs w:val="18"/>
    </w:rPr>
  </w:style>
  <w:style w:type="paragraph" w:styleId="5">
    <w:name w:val="header"/>
    <w:basedOn w:val="1"/>
    <w:link w:val="18"/>
    <w:qFormat/>
    <w:uiPriority w:val="0"/>
    <w:pPr>
      <w:pBdr>
        <w:bottom w:val="single" w:color="auto" w:sz="6" w:space="1"/>
      </w:pBdr>
      <w:tabs>
        <w:tab w:val="center" w:pos="4153"/>
        <w:tab w:val="right" w:pos="8306"/>
      </w:tabs>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eastAsia="zh-CN"/>
    </w:rPr>
  </w:style>
  <w:style w:type="paragraph" w:styleId="7">
    <w:name w:val="Normal (Web)"/>
    <w:basedOn w:val="1"/>
    <w:qFormat/>
    <w:uiPriority w:val="99"/>
    <w:pPr>
      <w:widowControl w:val="0"/>
      <w:kinsoku/>
      <w:autoSpaceDE/>
      <w:autoSpaceDN/>
      <w:adjustRightInd/>
      <w:snapToGrid/>
      <w:jc w:val="both"/>
      <w:textAlignment w:val="auto"/>
    </w:pPr>
    <w:rPr>
      <w:rFonts w:asciiTheme="minorHAnsi" w:hAnsiTheme="minorHAnsi" w:eastAsiaTheme="minorEastAsia" w:cstheme="minorBidi"/>
      <w:snapToGrid/>
      <w:color w:val="auto"/>
      <w:kern w:val="2"/>
      <w:sz w:val="24"/>
      <w:szCs w:val="24"/>
      <w:lang w:eastAsia="zh-CN"/>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800080"/>
      <w:u w:val="single"/>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4"/>
      <w:szCs w:val="24"/>
    </w:rPr>
  </w:style>
  <w:style w:type="paragraph" w:styleId="17">
    <w:name w:val="List Paragraph"/>
    <w:basedOn w:val="1"/>
    <w:qFormat/>
    <w:uiPriority w:val="34"/>
    <w:pPr>
      <w:ind w:firstLine="420" w:firstLineChars="200"/>
    </w:pPr>
  </w:style>
  <w:style w:type="character" w:customStyle="1" w:styleId="18">
    <w:name w:val="页眉 字符"/>
    <w:basedOn w:val="11"/>
    <w:link w:val="5"/>
    <w:qFormat/>
    <w:uiPriority w:val="0"/>
    <w:rPr>
      <w:rFonts w:ascii="Arial" w:hAnsi="Arial" w:eastAsia="Arial" w:cs="Arial"/>
      <w:snapToGrid w:val="0"/>
      <w:color w:val="000000"/>
      <w:sz w:val="18"/>
      <w:szCs w:val="18"/>
      <w:lang w:eastAsia="en-US"/>
    </w:rPr>
  </w:style>
  <w:style w:type="character" w:customStyle="1" w:styleId="19">
    <w:name w:val="页脚 字符"/>
    <w:basedOn w:val="11"/>
    <w:link w:val="4"/>
    <w:qFormat/>
    <w:uiPriority w:val="0"/>
    <w:rPr>
      <w:rFonts w:ascii="Arial" w:hAnsi="Arial" w:eastAsia="Arial" w:cs="Arial"/>
      <w:snapToGrid w:val="0"/>
      <w:color w:val="000000"/>
      <w:sz w:val="18"/>
      <w:szCs w:val="18"/>
      <w:lang w:eastAsia="en-US"/>
    </w:rPr>
  </w:style>
  <w:style w:type="paragraph" w:customStyle="1" w:styleId="20">
    <w:name w:val="修订1"/>
    <w:hidden/>
    <w:semiHidden/>
    <w:qFormat/>
    <w:uiPriority w:val="99"/>
    <w:rPr>
      <w:rFonts w:ascii="Arial" w:hAnsi="Arial" w:eastAsia="Arial" w:cs="Arial"/>
      <w:snapToGrid w:val="0"/>
      <w:color w:val="000000"/>
      <w:sz w:val="21"/>
      <w:szCs w:val="21"/>
      <w:lang w:val="en-US" w:eastAsia="en-US" w:bidi="ar-SA"/>
    </w:rPr>
  </w:style>
  <w:style w:type="character" w:customStyle="1" w:styleId="21">
    <w:name w:val="批注文字 字符"/>
    <w:basedOn w:val="11"/>
    <w:link w:val="2"/>
    <w:semiHidden/>
    <w:qFormat/>
    <w:uiPriority w:val="99"/>
    <w:rPr>
      <w:rFonts w:ascii="Arial" w:hAnsi="Arial" w:eastAsia="Arial" w:cs="Arial"/>
      <w:snapToGrid w:val="0"/>
      <w:color w:val="000000"/>
      <w:sz w:val="21"/>
      <w:szCs w:val="21"/>
      <w:lang w:eastAsia="en-US"/>
    </w:rPr>
  </w:style>
  <w:style w:type="character" w:customStyle="1" w:styleId="22">
    <w:name w:val="批注主题 字符"/>
    <w:basedOn w:val="21"/>
    <w:link w:val="8"/>
    <w:qFormat/>
    <w:uiPriority w:val="0"/>
    <w:rPr>
      <w:rFonts w:ascii="Arial" w:hAnsi="Arial" w:eastAsia="Arial" w:cs="Arial"/>
      <w:b/>
      <w:bCs/>
      <w:snapToGrid w:val="0"/>
      <w:color w:val="000000"/>
      <w:sz w:val="21"/>
      <w:szCs w:val="21"/>
      <w:lang w:eastAsia="en-US"/>
    </w:rPr>
  </w:style>
  <w:style w:type="character" w:customStyle="1" w:styleId="23">
    <w:name w:val="批注框文本 字符"/>
    <w:basedOn w:val="11"/>
    <w:link w:val="3"/>
    <w:qFormat/>
    <w:uiPriority w:val="0"/>
    <w:rPr>
      <w:rFonts w:ascii="Arial" w:hAnsi="Arial" w:eastAsia="Arial" w:cs="Arial"/>
      <w:snapToGrid w:val="0"/>
      <w:color w:val="000000"/>
      <w:sz w:val="18"/>
      <w:szCs w:val="18"/>
      <w:lang w:eastAsia="en-US"/>
    </w:rPr>
  </w:style>
  <w:style w:type="paragraph" w:customStyle="1" w:styleId="24">
    <w:name w:val="修订2"/>
    <w:hidden/>
    <w:unhideWhenUsed/>
    <w:qFormat/>
    <w:uiPriority w:val="99"/>
    <w:rPr>
      <w:rFonts w:ascii="Arial" w:hAnsi="Arial" w:eastAsia="Arial" w:cs="Arial"/>
      <w:snapToGrid w:val="0"/>
      <w:color w:val="000000"/>
      <w:sz w:val="21"/>
      <w:szCs w:val="21"/>
      <w:lang w:val="en-US" w:eastAsia="en-US" w:bidi="ar-SA"/>
    </w:rPr>
  </w:style>
  <w:style w:type="paragraph" w:customStyle="1" w:styleId="25">
    <w:name w:val="修订3"/>
    <w:hidden/>
    <w:semiHidden/>
    <w:qFormat/>
    <w:uiPriority w:val="99"/>
    <w:rPr>
      <w:rFonts w:ascii="Arial" w:hAnsi="Arial" w:eastAsia="Arial" w:cs="Arial"/>
      <w:snapToGrid w:val="0"/>
      <w:color w:val="000000"/>
      <w:sz w:val="21"/>
      <w:szCs w:val="21"/>
      <w:lang w:val="en-US" w:eastAsia="en-US" w:bidi="ar-SA"/>
    </w:rPr>
  </w:style>
  <w:style w:type="character" w:customStyle="1" w:styleId="26">
    <w:name w:val="15"/>
    <w:basedOn w:val="11"/>
    <w:qFormat/>
    <w:uiPriority w:val="0"/>
    <w:rPr>
      <w:rFonts w:hint="default" w:ascii="Times New Roman" w:hAnsi="Times New Roman" w:cs="Times New Roman"/>
      <w:color w:val="0000FF"/>
      <w:u w:val="single"/>
    </w:rPr>
  </w:style>
  <w:style w:type="character" w:customStyle="1" w:styleId="27">
    <w:name w:val="10"/>
    <w:basedOn w:val="11"/>
    <w:qFormat/>
    <w:uiPriority w:val="0"/>
    <w:rPr>
      <w:rFonts w:hint="default" w:ascii="Times New Roman" w:hAnsi="Times New Roman" w:cs="Times New Roman"/>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E4720B19-EEC4-43BE-8B41-AA0BAD137779}">
  <ds:schemaRefs/>
</ds:datastoreItem>
</file>

<file path=docProps/app.xml><?xml version="1.0" encoding="utf-8"?>
<Properties xmlns="http://schemas.openxmlformats.org/officeDocument/2006/extended-properties" xmlns:vt="http://schemas.openxmlformats.org/officeDocument/2006/docPropsVTypes">
  <Template>Normal.dotm</Template>
  <Pages>6</Pages>
  <Words>5160</Words>
  <Characters>5567</Characters>
  <Lines>17</Lines>
  <Paragraphs>5</Paragraphs>
  <TotalTime>22</TotalTime>
  <ScaleCrop>false</ScaleCrop>
  <LinksUpToDate>false</LinksUpToDate>
  <CharactersWithSpaces>5576</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2025-05-03T15:42:00Z</dcterms:created>
  <dc:creator>Data</dc:creator>
  <cp:lastModifiedBy>王璐</cp:lastModifiedBy>
  <dcterms:modified xsi:type="dcterms:W3CDTF">2026-05-14T16:34:47Z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2024-08-12T09:26:14Z</vt:filetime>
  </property>
  <property fmtid="{D5CDD505-2E9C-101B-9397-08002B2CF9AE}" pid="4" name="KSOProductBuildVer">
    <vt:lpwstr>2052-12.1.24031.24031</vt:lpwstr>
  </property>
  <property fmtid="{D5CDD505-2E9C-101B-9397-08002B2CF9AE}" pid="5" name="ICV">
    <vt:lpwstr>BC89743F978148828B0953F72235046F_13</vt:lpwstr>
  </property>
  <property fmtid="{D5CDD505-2E9C-101B-9397-08002B2CF9AE}" pid="6" name="KSOTemplateDocerSaveRecord">
    <vt:lpwstr>eyJoZGlkIjoiN2IzMzA0YWE2NGEzMTM1MzNkM2QyYjVkMzViNTRjMjEiLCJ1c2VySWQiOiIxMjA2NjU3OTI1In0=</vt:lpwstr>
  </property>
</Properties>
</file>