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8B06D">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603168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莎普爱思</w:t>
      </w:r>
    </w:p>
    <w:p w14:paraId="65D09B73">
      <w:pPr>
        <w:spacing w:line="360" w:lineRule="auto"/>
        <w:jc w:val="center"/>
        <w:rPr>
          <w:rFonts w:ascii="宋体" w:hAnsi="宋体" w:eastAsia="宋体" w:cs="宋体"/>
          <w:b/>
          <w:bCs/>
          <w:sz w:val="44"/>
          <w:szCs w:val="44"/>
        </w:rPr>
      </w:pPr>
    </w:p>
    <w:p w14:paraId="291DF877">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浙江莎普爱思药业股份有限公司</w:t>
      </w:r>
    </w:p>
    <w:p w14:paraId="0996CC55">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6D2BC76">
      <w:pPr>
        <w:spacing w:before="51" w:after="32"/>
        <w:ind w:right="6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6700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4B544A7">
            <w:pPr>
              <w:pStyle w:val="12"/>
              <w:spacing w:before="7"/>
              <w:rPr>
                <w:rFonts w:ascii="宋体" w:hAnsi="宋体" w:eastAsia="宋体" w:cs="宋体"/>
                <w:b/>
                <w:bCs/>
                <w:sz w:val="20"/>
                <w:szCs w:val="20"/>
              </w:rPr>
            </w:pPr>
          </w:p>
          <w:p w14:paraId="5964039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75099912">
            <w:pPr>
              <w:pStyle w:val="12"/>
              <w:spacing w:before="7"/>
              <w:rPr>
                <w:rFonts w:ascii="宋体" w:hAnsi="宋体" w:eastAsia="宋体" w:cs="宋体"/>
                <w:sz w:val="20"/>
                <w:szCs w:val="20"/>
              </w:rPr>
            </w:pPr>
          </w:p>
          <w:p w14:paraId="527C4660">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20A92AFC">
            <w:pPr>
              <w:pStyle w:val="12"/>
              <w:spacing w:before="11"/>
              <w:rPr>
                <w:rFonts w:ascii="宋体" w:hAnsi="宋体" w:eastAsia="宋体" w:cs="宋体"/>
                <w:sz w:val="20"/>
                <w:szCs w:val="20"/>
              </w:rPr>
            </w:pPr>
          </w:p>
          <w:p w14:paraId="529EE3A1">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4554CEC">
            <w:pPr>
              <w:pStyle w:val="12"/>
              <w:spacing w:before="8"/>
              <w:rPr>
                <w:rFonts w:ascii="宋体" w:hAnsi="宋体" w:eastAsia="宋体" w:cs="宋体"/>
                <w:sz w:val="20"/>
                <w:szCs w:val="20"/>
              </w:rPr>
            </w:pPr>
          </w:p>
          <w:p w14:paraId="0D9C8A3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1D0FF932">
            <w:pPr>
              <w:pStyle w:val="12"/>
              <w:spacing w:before="8"/>
              <w:rPr>
                <w:rFonts w:ascii="宋体" w:hAnsi="宋体" w:eastAsia="宋体" w:cs="宋体"/>
                <w:sz w:val="20"/>
                <w:szCs w:val="20"/>
              </w:rPr>
            </w:pPr>
          </w:p>
          <w:p w14:paraId="071D0A4D">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DF803FA">
            <w:pPr>
              <w:pStyle w:val="12"/>
              <w:spacing w:before="11"/>
              <w:rPr>
                <w:rFonts w:ascii="宋体" w:hAnsi="宋体" w:eastAsia="宋体" w:cs="宋体"/>
                <w:sz w:val="20"/>
                <w:szCs w:val="20"/>
              </w:rPr>
            </w:pPr>
          </w:p>
          <w:p w14:paraId="586512D5">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451D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2A23310">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F9CF09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线上参与莎普爱思（603168）2025年度暨2026年第一季度业绩说明会的全体投资者</w:t>
            </w:r>
          </w:p>
        </w:tc>
      </w:tr>
      <w:tr w14:paraId="76F8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59085B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398E333F">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2026年05月15日 15:30-16:30</w:t>
            </w:r>
          </w:p>
        </w:tc>
      </w:tr>
      <w:tr w14:paraId="3B61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572503C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D9D680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74F3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FF46D7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6879FA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董事长、总经理 林弘立</w:t>
            </w:r>
            <w:r>
              <w:rPr>
                <w:rFonts w:ascii="宋体" w:hAnsi="宋体" w:eastAsia="宋体" w:cs="宋体"/>
                <w:sz w:val="20"/>
                <w:szCs w:val="20"/>
              </w:rPr>
              <w:br w:type="textWrapping"/>
            </w:r>
            <w:r>
              <w:rPr>
                <w:rFonts w:ascii="宋体" w:hAnsi="宋体" w:eastAsia="宋体" w:cs="宋体"/>
                <w:sz w:val="20"/>
                <w:szCs w:val="20"/>
              </w:rPr>
              <w:t>独立董事 陈胜群</w:t>
            </w:r>
            <w:r>
              <w:rPr>
                <w:rFonts w:ascii="宋体" w:hAnsi="宋体" w:eastAsia="宋体" w:cs="宋体"/>
                <w:sz w:val="20"/>
                <w:szCs w:val="20"/>
              </w:rPr>
              <w:br w:type="textWrapping"/>
            </w:r>
            <w:r>
              <w:rPr>
                <w:rFonts w:ascii="宋体" w:hAnsi="宋体" w:eastAsia="宋体" w:cs="宋体"/>
                <w:sz w:val="20"/>
                <w:szCs w:val="20"/>
              </w:rPr>
              <w:t>财务总监 林秀松</w:t>
            </w:r>
            <w:r>
              <w:rPr>
                <w:rFonts w:ascii="宋体" w:hAnsi="宋体" w:eastAsia="宋体" w:cs="宋体"/>
                <w:sz w:val="20"/>
                <w:szCs w:val="20"/>
              </w:rPr>
              <w:br w:type="textWrapping"/>
            </w:r>
            <w:r>
              <w:rPr>
                <w:rFonts w:ascii="宋体" w:hAnsi="宋体" w:eastAsia="宋体" w:cs="宋体"/>
                <w:sz w:val="20"/>
                <w:szCs w:val="20"/>
              </w:rPr>
              <w:t>董事会秘书 黄明雄</w:t>
            </w:r>
          </w:p>
        </w:tc>
      </w:tr>
      <w:tr w14:paraId="4D3A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76CDEB8A">
            <w:pPr>
              <w:pStyle w:val="12"/>
              <w:rPr>
                <w:rFonts w:ascii="宋体" w:hAnsi="宋体" w:eastAsia="宋体" w:cs="宋体"/>
                <w:b/>
                <w:bCs/>
                <w:sz w:val="20"/>
                <w:szCs w:val="20"/>
              </w:rPr>
            </w:pPr>
          </w:p>
          <w:p w14:paraId="4A6592F3">
            <w:pPr>
              <w:pStyle w:val="12"/>
              <w:rPr>
                <w:rFonts w:ascii="宋体" w:hAnsi="宋体" w:eastAsia="宋体" w:cs="宋体"/>
                <w:b/>
                <w:bCs/>
                <w:sz w:val="20"/>
                <w:szCs w:val="20"/>
              </w:rPr>
            </w:pPr>
          </w:p>
          <w:p w14:paraId="116C9D83">
            <w:pPr>
              <w:pStyle w:val="12"/>
              <w:spacing w:before="5"/>
              <w:rPr>
                <w:rFonts w:ascii="宋体" w:hAnsi="宋体" w:eastAsia="宋体" w:cs="宋体"/>
                <w:b/>
                <w:bCs/>
                <w:sz w:val="20"/>
                <w:szCs w:val="20"/>
              </w:rPr>
            </w:pPr>
          </w:p>
          <w:p w14:paraId="54BDFEF2">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27F501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1.苄达赖氨酸滴眼液一致性评价推进节奏、上市预期？</w:t>
            </w:r>
            <w:r>
              <w:rPr>
                <w:rFonts w:ascii="宋体" w:hAnsi="宋体" w:eastAsia="宋体" w:cs="宋体"/>
                <w:b/>
                <w:sz w:val="20"/>
              </w:rPr>
              <w:br w:type="textWrapping"/>
            </w:r>
            <w:r>
              <w:rPr>
                <w:rFonts w:ascii="宋体" w:hAnsi="宋体" w:eastAsia="宋体" w:cs="宋体"/>
                <w:b w:val="0"/>
                <w:sz w:val="20"/>
              </w:rPr>
              <w:t xml:space="preserve">    答:尊敬的投资者，您好，感谢您的关注！2026年度，公司继续全力以赴推进苄达赖氨酸滴眼液一致性评价相关工作。按照国家药监局、浙江省药监局等有关要求，完成苄达赖氨酸滴眼液 上市后临床研究，并上报国家药监局。如果后续有相关进展我们将按照相关法律法规的要求及时履行信息披露义务。</w:t>
            </w:r>
            <w:r>
              <w:rPr>
                <w:rFonts w:ascii="宋体" w:hAnsi="宋体" w:eastAsia="宋体" w:cs="宋体"/>
                <w:b w:val="0"/>
                <w:sz w:val="20"/>
              </w:rPr>
              <w:br w:type="textWrapping"/>
            </w:r>
            <w:r>
              <w:rPr>
                <w:rFonts w:ascii="宋体" w:hAnsi="宋体" w:eastAsia="宋体" w:cs="宋体"/>
                <w:b/>
                <w:sz w:val="20"/>
              </w:rPr>
              <w:t xml:space="preserve">    2.25年集采、医保控费常态化，对公司OTC滴眼液和抗感染药实际影响有多大？</w:t>
            </w:r>
            <w:r>
              <w:rPr>
                <w:rFonts w:ascii="宋体" w:hAnsi="宋体" w:eastAsia="宋体" w:cs="宋体"/>
                <w:b/>
                <w:sz w:val="20"/>
              </w:rPr>
              <w:br w:type="textWrapping"/>
            </w:r>
            <w:r>
              <w:rPr>
                <w:rFonts w:ascii="宋体" w:hAnsi="宋体" w:eastAsia="宋体" w:cs="宋体"/>
                <w:b w:val="0"/>
                <w:sz w:val="20"/>
              </w:rPr>
              <w:t xml:space="preserve">    答:尊敬的投资者您好，具体财务数据情况请您关注公司披露的定期报告。2026年，公司将进一步加快重点品种市场化步伐，同时推进在研品种临床进展和转化，提升产品组合的梯次结构。关于相关政策调整的影响，公司正持续跟踪政策动态，积极优化产品结构与市场布局。感谢您的关注。</w:t>
            </w:r>
            <w:r>
              <w:rPr>
                <w:rFonts w:ascii="宋体" w:hAnsi="宋体" w:eastAsia="宋体" w:cs="宋体"/>
                <w:b w:val="0"/>
                <w:sz w:val="20"/>
              </w:rPr>
              <w:br w:type="textWrapping"/>
            </w:r>
            <w:r>
              <w:rPr>
                <w:rFonts w:ascii="宋体" w:hAnsi="宋体" w:eastAsia="宋体" w:cs="宋体"/>
                <w:b/>
                <w:sz w:val="20"/>
              </w:rPr>
              <w:t xml:space="preserve">    3.硫酸阿托品、立他司特滴眼液研发到哪个阶段，26年预期？</w:t>
            </w:r>
            <w:r>
              <w:rPr>
                <w:rFonts w:ascii="宋体" w:hAnsi="宋体" w:eastAsia="宋体" w:cs="宋体"/>
                <w:b/>
                <w:sz w:val="20"/>
              </w:rPr>
              <w:br w:type="textWrapping"/>
            </w:r>
            <w:r>
              <w:rPr>
                <w:rFonts w:ascii="宋体" w:hAnsi="宋体" w:eastAsia="宋体" w:cs="宋体"/>
                <w:b w:val="0"/>
                <w:sz w:val="20"/>
              </w:rPr>
              <w:t xml:space="preserve">    答:尊敬的投资者，您好，感谢您的关注！硫酸阿托品滴眼液的研发项目已完成临床III期全部受试者入组，立他司特滴眼液正在开展临床研究。2026年度，关于研发项目的后续进展我们将按照相关法律法规的要求及时履行信息披露义务。</w:t>
            </w:r>
            <w:r>
              <w:rPr>
                <w:rFonts w:ascii="宋体" w:hAnsi="宋体" w:eastAsia="宋体" w:cs="宋体"/>
                <w:b w:val="0"/>
                <w:sz w:val="20"/>
              </w:rPr>
              <w:br w:type="textWrapping"/>
            </w:r>
            <w:r>
              <w:rPr>
                <w:rFonts w:ascii="宋体" w:hAnsi="宋体" w:eastAsia="宋体" w:cs="宋体"/>
                <w:b/>
                <w:sz w:val="20"/>
              </w:rPr>
              <w:t xml:space="preserve">    4.集采常态化下，抗感染药品降价压力怎么化解？</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面对集采政策的变化，公司结合行业和自身发展情况，合理配置市场资源，科学制定市场化策略。通过优化产品结构升级，提质增效、降本控费，加强产业链一体化建设，构筑核心竞争优势。谢谢!</w:t>
            </w:r>
            <w:r>
              <w:rPr>
                <w:rFonts w:ascii="宋体" w:hAnsi="宋体" w:eastAsia="宋体" w:cs="宋体"/>
                <w:b w:val="0"/>
                <w:sz w:val="20"/>
              </w:rPr>
              <w:br w:type="textWrapping"/>
            </w:r>
            <w:r>
              <w:rPr>
                <w:rFonts w:ascii="宋体" w:hAnsi="宋体" w:eastAsia="宋体" w:cs="宋体"/>
                <w:b/>
                <w:sz w:val="20"/>
              </w:rPr>
              <w:t xml:space="preserve">    5.公司有没有回购股份、提振股价的计划？</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答:尊敬的投资者，您好！感谢您对公司的关注。目前，公司暂无回购股份等计划，如有回购公司股份等相关计划，公司将严格按照监管法规等要求，及时履行信息披露义务。感谢关注！</w:t>
            </w:r>
            <w:r>
              <w:rPr>
                <w:rFonts w:ascii="宋体" w:hAnsi="宋体" w:eastAsia="宋体" w:cs="宋体"/>
                <w:b w:val="0"/>
                <w:sz w:val="20"/>
              </w:rPr>
              <w:br w:type="textWrapping"/>
            </w:r>
            <w:r>
              <w:rPr>
                <w:rFonts w:ascii="宋体" w:hAnsi="宋体" w:eastAsia="宋体" w:cs="宋体"/>
                <w:b/>
                <w:sz w:val="20"/>
              </w:rPr>
              <w:t xml:space="preserve">    6.苄达赖氨酸一致性评价临床进展、审批节奏？</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答:尊敬的投资者，您好！感谢您对公司的关注。相关问题您可以关注公司在法定信息披露媒体上披露的定期报告及相关临时公告，谢谢！</w:t>
            </w:r>
            <w:r>
              <w:rPr>
                <w:rFonts w:ascii="宋体" w:hAnsi="宋体" w:eastAsia="宋体" w:cs="宋体"/>
                <w:b w:val="0"/>
                <w:sz w:val="20"/>
              </w:rPr>
              <w:br w:type="textWrapping"/>
            </w:r>
            <w:r>
              <w:rPr>
                <w:rFonts w:ascii="宋体" w:hAnsi="宋体" w:eastAsia="宋体" w:cs="宋体"/>
                <w:b/>
                <w:sz w:val="20"/>
              </w:rPr>
              <w:t xml:space="preserve">    7.后续分红恢复条件是什么？</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答:尊敬的投资者，您好！感谢您对公司的关注。相关问题您可以关注公司2026年4月15日在法定信息披露媒体上披露的莎普爱思未来三年（2026年-2028年）股东分红回报规划。</w:t>
            </w:r>
            <w:r>
              <w:rPr>
                <w:rFonts w:ascii="宋体" w:hAnsi="宋体" w:eastAsia="宋体" w:cs="宋体"/>
                <w:b w:val="0"/>
                <w:sz w:val="20"/>
              </w:rPr>
              <w:br w:type="textWrapping"/>
            </w:r>
            <w:r>
              <w:rPr>
                <w:rFonts w:ascii="宋体" w:hAnsi="宋体" w:eastAsia="宋体" w:cs="宋体"/>
                <w:b/>
                <w:sz w:val="20"/>
              </w:rPr>
              <w:t xml:space="preserve">    8.25年经营现金流4493万、同比增75.01%，回款改善原因？</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答:尊敬的投资者，您好！感谢您对公司的关注。回款改善原因主要系业务回款效率提升及人效提高支付给职工以及为职工支付的现金减少所致。</w:t>
            </w:r>
            <w:r>
              <w:rPr>
                <w:rFonts w:ascii="宋体" w:hAnsi="宋体" w:eastAsia="宋体" w:cs="宋体"/>
                <w:b w:val="0"/>
                <w:sz w:val="20"/>
              </w:rPr>
              <w:br w:type="textWrapping"/>
            </w:r>
            <w:r>
              <w:rPr>
                <w:rFonts w:ascii="宋体" w:hAnsi="宋体" w:eastAsia="宋体" w:cs="宋体"/>
                <w:b/>
                <w:sz w:val="20"/>
              </w:rPr>
              <w:t xml:space="preserve">    9.25年研发资本化率46.45%，主要对应哪些项目？</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答:尊敬的投资者，您好！感谢您对公司的关注。主要对应盐酸毛果芸香碱滴眼液、立他司特滴眼液、硫酸阿托品滴眼液、阿奇霉素滴眼液等项目的研发。</w:t>
            </w:r>
          </w:p>
        </w:tc>
      </w:tr>
      <w:tr w14:paraId="0B4C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2E5258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67172D24">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5396DFC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2325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664AF4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52239B0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995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27580C0">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3C99FA48">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2026年05月15日</w:t>
            </w:r>
          </w:p>
        </w:tc>
      </w:tr>
    </w:tbl>
    <w:p w14:paraId="68B0AD53">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351856"/>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1271</Words>
  <Characters>1376</Characters>
  <Lines>2</Lines>
  <Paragraphs>1</Paragraphs>
  <TotalTime>0</TotalTime>
  <ScaleCrop>false</ScaleCrop>
  <LinksUpToDate>false</LinksUpToDate>
  <CharactersWithSpaces>1505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罗琪</cp:lastModifiedBy>
  <dcterms:modified xsi:type="dcterms:W3CDTF">2026-05-15T08:40:51Z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