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42278">
      <w:pPr>
        <w:spacing w:before="156" w:beforeLines="50" w:after="156" w:afterLines="50" w:line="400" w:lineRule="exact"/>
        <w:rPr>
          <w:rFonts w:eastAsiaTheme="minorEastAsia"/>
          <w:bCs/>
          <w:iCs/>
          <w:sz w:val="24"/>
        </w:rPr>
      </w:pPr>
      <w:r>
        <w:rPr>
          <w:rFonts w:hint="eastAsia" w:eastAsiaTheme="minorEastAsia"/>
          <w:bCs/>
          <w:iCs/>
          <w:sz w:val="24"/>
        </w:rPr>
        <w:t>证券代码：688139</w:t>
      </w:r>
      <w:r>
        <w:rPr>
          <w:rFonts w:eastAsiaTheme="minorEastAsia"/>
          <w:bCs/>
          <w:iCs/>
          <w:sz w:val="24"/>
        </w:rPr>
        <w:t xml:space="preserve">                                 </w:t>
      </w:r>
      <w:r>
        <w:rPr>
          <w:rFonts w:hint="eastAsia" w:eastAsiaTheme="minorEastAsia"/>
          <w:bCs/>
          <w:iCs/>
          <w:sz w:val="24"/>
        </w:rPr>
        <w:t xml:space="preserve">   证券简称：海尔生物</w:t>
      </w:r>
    </w:p>
    <w:p w14:paraId="6EBB0698">
      <w:pPr>
        <w:spacing w:before="156" w:beforeLines="50" w:after="156" w:afterLines="50" w:line="400" w:lineRule="exact"/>
        <w:jc w:val="center"/>
        <w:rPr>
          <w:rFonts w:eastAsiaTheme="minorEastAsia"/>
          <w:b/>
          <w:bCs/>
          <w:iCs/>
          <w:sz w:val="30"/>
          <w:szCs w:val="30"/>
        </w:rPr>
      </w:pPr>
      <w:r>
        <w:rPr>
          <w:rFonts w:hint="eastAsia" w:eastAsiaTheme="minorEastAsia"/>
          <w:b/>
          <w:bCs/>
          <w:iCs/>
          <w:sz w:val="30"/>
          <w:szCs w:val="30"/>
        </w:rPr>
        <w:t>青岛海尔生物医疗股份有限公司</w:t>
      </w:r>
    </w:p>
    <w:p w14:paraId="17F8ED7B">
      <w:pPr>
        <w:spacing w:before="156" w:beforeLines="50" w:after="156" w:afterLines="50" w:line="400" w:lineRule="exact"/>
        <w:jc w:val="center"/>
        <w:rPr>
          <w:rFonts w:eastAsiaTheme="minorEastAsia"/>
          <w:b/>
          <w:bCs/>
          <w:iCs/>
          <w:sz w:val="30"/>
          <w:szCs w:val="30"/>
        </w:rPr>
      </w:pPr>
      <w:r>
        <w:rPr>
          <w:rFonts w:hint="eastAsia" w:eastAsiaTheme="minorEastAsia"/>
          <w:b/>
          <w:bCs/>
          <w:iCs/>
          <w:sz w:val="30"/>
          <w:szCs w:val="30"/>
        </w:rPr>
        <w:t>投资者关系活动记录表</w:t>
      </w:r>
    </w:p>
    <w:p w14:paraId="43BB4FB1">
      <w:pPr>
        <w:spacing w:line="400" w:lineRule="exact"/>
        <w:rPr>
          <w:rFonts w:eastAsiaTheme="minorEastAsia"/>
          <w:bCs/>
          <w:iCs/>
          <w:sz w:val="24"/>
          <w:szCs w:val="24"/>
        </w:rPr>
      </w:pPr>
      <w:r>
        <w:rPr>
          <w:rFonts w:eastAsiaTheme="minorEastAsia"/>
          <w:bCs/>
          <w:iCs/>
          <w:sz w:val="24"/>
          <w:szCs w:val="24"/>
        </w:rPr>
        <w:t xml:space="preserve">                                                    </w:t>
      </w:r>
      <w:r>
        <w:rPr>
          <w:rFonts w:hint="eastAsia" w:eastAsiaTheme="minorEastAsia"/>
          <w:bCs/>
          <w:iCs/>
          <w:sz w:val="24"/>
          <w:szCs w:val="24"/>
        </w:rPr>
        <w:t xml:space="preserve">  </w:t>
      </w:r>
      <w:r>
        <w:rPr>
          <w:rFonts w:eastAsiaTheme="minorEastAsia"/>
          <w:bCs/>
          <w:iCs/>
          <w:sz w:val="24"/>
          <w:szCs w:val="24"/>
        </w:rPr>
        <w:t xml:space="preserve">  </w:t>
      </w:r>
      <w:r>
        <w:rPr>
          <w:rFonts w:hint="eastAsia" w:eastAsiaTheme="minorEastAsia"/>
          <w:bCs/>
          <w:iCs/>
          <w:sz w:val="24"/>
          <w:szCs w:val="24"/>
        </w:rPr>
        <w:t>编号：</w:t>
      </w:r>
      <w:r>
        <w:rPr>
          <w:rFonts w:eastAsiaTheme="minorEastAsia"/>
          <w:bCs/>
          <w:iCs/>
          <w:sz w:val="24"/>
          <w:szCs w:val="24"/>
        </w:rPr>
        <w:t>2026-007</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1C64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tcBorders>
              <w:top w:val="single" w:color="auto" w:sz="4" w:space="0"/>
              <w:left w:val="single" w:color="auto" w:sz="4" w:space="0"/>
              <w:bottom w:val="single" w:color="auto" w:sz="4" w:space="0"/>
              <w:right w:val="single" w:color="auto" w:sz="4" w:space="0"/>
            </w:tcBorders>
          </w:tcPr>
          <w:p w14:paraId="03ED0223">
            <w:pPr>
              <w:spacing w:line="360" w:lineRule="auto"/>
              <w:rPr>
                <w:rFonts w:eastAsiaTheme="minorEastAsia"/>
                <w:b/>
                <w:bCs/>
                <w:iCs/>
                <w:sz w:val="24"/>
                <w:szCs w:val="24"/>
              </w:rPr>
            </w:pPr>
            <w:r>
              <w:rPr>
                <w:rFonts w:hint="eastAsia" w:eastAsiaTheme="minorEastAsia"/>
                <w:b/>
                <w:bCs/>
                <w:iCs/>
                <w:sz w:val="24"/>
                <w:szCs w:val="24"/>
              </w:rPr>
              <w:t>投资者关系活动类别</w:t>
            </w:r>
          </w:p>
          <w:p w14:paraId="36779B1C">
            <w:pPr>
              <w:spacing w:line="360" w:lineRule="auto"/>
              <w:rPr>
                <w:rFonts w:eastAsiaTheme="minorEastAsia"/>
                <w:b/>
                <w:bCs/>
                <w:iCs/>
                <w:sz w:val="24"/>
                <w:szCs w:val="24"/>
              </w:rPr>
            </w:pPr>
          </w:p>
        </w:tc>
        <w:tc>
          <w:tcPr>
            <w:tcW w:w="6614" w:type="dxa"/>
            <w:tcBorders>
              <w:top w:val="single" w:color="auto" w:sz="4" w:space="0"/>
              <w:left w:val="single" w:color="auto" w:sz="4" w:space="0"/>
              <w:bottom w:val="single" w:color="auto" w:sz="4" w:space="0"/>
              <w:right w:val="single" w:color="auto" w:sz="4" w:space="0"/>
            </w:tcBorders>
          </w:tcPr>
          <w:p w14:paraId="258642F6">
            <w:pPr>
              <w:spacing w:line="360" w:lineRule="auto"/>
              <w:rPr>
                <w:rFonts w:eastAsiaTheme="minorEastAsia"/>
                <w:bCs/>
                <w:iCs/>
                <w:sz w:val="24"/>
                <w:szCs w:val="24"/>
              </w:rPr>
            </w:pPr>
            <w:r>
              <w:rPr>
                <w:rFonts w:hint="eastAsia" w:eastAsiaTheme="minorEastAsia"/>
                <w:bCs/>
                <w:iCs/>
                <w:sz w:val="24"/>
                <w:szCs w:val="24"/>
              </w:rPr>
              <w:sym w:font="Wingdings 2" w:char="0052"/>
            </w:r>
            <w:r>
              <w:rPr>
                <w:rFonts w:hint="eastAsia" w:eastAsiaTheme="minorEastAsia"/>
                <w:sz w:val="24"/>
                <w:szCs w:val="24"/>
              </w:rPr>
              <w:t xml:space="preserve">特定对象调研       </w:t>
            </w:r>
            <w:r>
              <w:rPr>
                <w:rFonts w:hint="eastAsia" w:eastAsiaTheme="minorEastAsia"/>
                <w:bCs/>
                <w:iCs/>
                <w:sz w:val="24"/>
                <w:szCs w:val="24"/>
              </w:rPr>
              <w:t>□</w:t>
            </w:r>
            <w:r>
              <w:rPr>
                <w:rFonts w:hint="eastAsia" w:eastAsiaTheme="minorEastAsia"/>
                <w:sz w:val="24"/>
                <w:szCs w:val="24"/>
              </w:rPr>
              <w:t>分析师会议</w:t>
            </w:r>
          </w:p>
          <w:p w14:paraId="2AC39D47">
            <w:pPr>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媒体采访            </w:t>
            </w:r>
            <w:r>
              <w:rPr>
                <w:rFonts w:hint="eastAsia" w:eastAsiaTheme="minorEastAsia"/>
                <w:bCs/>
                <w:iCs/>
                <w:sz w:val="24"/>
                <w:szCs w:val="24"/>
              </w:rPr>
              <w:t>□</w:t>
            </w:r>
            <w:r>
              <w:rPr>
                <w:rFonts w:hint="eastAsia" w:eastAsiaTheme="minorEastAsia"/>
                <w:sz w:val="24"/>
                <w:szCs w:val="24"/>
              </w:rPr>
              <w:t>业绩说明会</w:t>
            </w:r>
          </w:p>
          <w:p w14:paraId="2D757254">
            <w:pPr>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新闻发布会          </w:t>
            </w:r>
            <w:r>
              <w:rPr>
                <w:rFonts w:hint="eastAsia" w:eastAsiaTheme="minorEastAsia"/>
                <w:bCs/>
                <w:iCs/>
                <w:sz w:val="24"/>
                <w:szCs w:val="24"/>
              </w:rPr>
              <w:t>□</w:t>
            </w:r>
            <w:r>
              <w:rPr>
                <w:rFonts w:hint="eastAsia" w:eastAsiaTheme="minorEastAsia"/>
                <w:sz w:val="24"/>
                <w:szCs w:val="24"/>
              </w:rPr>
              <w:t>路演活动</w:t>
            </w:r>
          </w:p>
          <w:p w14:paraId="0DAFC993">
            <w:pPr>
              <w:tabs>
                <w:tab w:val="left" w:pos="3045"/>
                <w:tab w:val="center" w:pos="3199"/>
              </w:tabs>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现场参观            </w:t>
            </w:r>
            <w:r>
              <w:rPr>
                <w:rFonts w:hint="eastAsia" w:eastAsiaTheme="minorEastAsia"/>
                <w:bCs/>
                <w:iCs/>
                <w:sz w:val="24"/>
                <w:szCs w:val="24"/>
              </w:rPr>
              <w:t>□</w:t>
            </w:r>
            <w:r>
              <w:rPr>
                <w:rFonts w:hint="eastAsia" w:eastAsiaTheme="minorEastAsia"/>
                <w:sz w:val="24"/>
                <w:szCs w:val="24"/>
              </w:rPr>
              <w:t>电话会议</w:t>
            </w:r>
          </w:p>
          <w:p w14:paraId="2BD4C3B3">
            <w:pPr>
              <w:tabs>
                <w:tab w:val="center" w:pos="3199"/>
              </w:tabs>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其他 （</w:t>
            </w:r>
            <w:r>
              <w:rPr>
                <w:rFonts w:hint="eastAsia" w:eastAsiaTheme="minorEastAsia"/>
                <w:sz w:val="24"/>
                <w:szCs w:val="24"/>
                <w:u w:val="single"/>
              </w:rPr>
              <w:t>请文字说明其他活动内容）</w:t>
            </w:r>
          </w:p>
        </w:tc>
      </w:tr>
      <w:tr w14:paraId="58E3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576E69F5">
            <w:pPr>
              <w:spacing w:line="360" w:lineRule="auto"/>
              <w:rPr>
                <w:rFonts w:eastAsiaTheme="minorEastAsia"/>
                <w:b/>
                <w:bCs/>
                <w:iCs/>
                <w:sz w:val="24"/>
                <w:szCs w:val="24"/>
              </w:rPr>
            </w:pPr>
            <w:r>
              <w:rPr>
                <w:rFonts w:hint="eastAsia" w:eastAsiaTheme="minorEastAsia"/>
                <w:b/>
                <w:bCs/>
                <w:iCs/>
                <w:sz w:val="24"/>
                <w:szCs w:val="24"/>
              </w:rPr>
              <w:t>参与单位名称</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41E3BD56">
            <w:pPr>
              <w:widowControl/>
              <w:jc w:val="left"/>
              <w:rPr>
                <w:rFonts w:ascii="宋体" w:hAnsi="宋体" w:cs="宋体"/>
                <w:kern w:val="0"/>
                <w:sz w:val="24"/>
                <w:szCs w:val="24"/>
              </w:rPr>
            </w:pPr>
            <w:r>
              <w:rPr>
                <w:rFonts w:hint="eastAsia" w:ascii="宋体" w:hAnsi="宋体" w:cs="宋体"/>
                <w:sz w:val="24"/>
                <w:szCs w:val="24"/>
              </w:rPr>
              <w:t>工银瑞信基金、光大保德信基金、宏道投资、皇石投资、久实投资、平安养老、施罗德基金、兴业证券、兴银理财、招银理财、中加基金、中金资管、中信建投证券、众安保险、重阳投资共1</w:t>
            </w:r>
            <w:r>
              <w:rPr>
                <w:rFonts w:ascii="宋体" w:hAnsi="宋体" w:cs="宋体"/>
                <w:sz w:val="24"/>
                <w:szCs w:val="24"/>
              </w:rPr>
              <w:t>5</w:t>
            </w:r>
            <w:r>
              <w:rPr>
                <w:rFonts w:hint="eastAsia" w:ascii="宋体" w:hAnsi="宋体" w:cs="宋体"/>
                <w:kern w:val="0"/>
                <w:sz w:val="24"/>
                <w:szCs w:val="24"/>
              </w:rPr>
              <w:t>家机构</w:t>
            </w:r>
          </w:p>
        </w:tc>
      </w:tr>
      <w:tr w14:paraId="0739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08" w:type="dxa"/>
            <w:tcBorders>
              <w:top w:val="single" w:color="auto" w:sz="4" w:space="0"/>
              <w:left w:val="single" w:color="auto" w:sz="4" w:space="0"/>
              <w:bottom w:val="single" w:color="auto" w:sz="4" w:space="0"/>
              <w:right w:val="single" w:color="auto" w:sz="4" w:space="0"/>
            </w:tcBorders>
            <w:vAlign w:val="center"/>
          </w:tcPr>
          <w:p w14:paraId="26882889">
            <w:pPr>
              <w:spacing w:line="360" w:lineRule="auto"/>
              <w:rPr>
                <w:rFonts w:eastAsiaTheme="minorEastAsia"/>
                <w:b/>
                <w:bCs/>
                <w:iCs/>
                <w:sz w:val="24"/>
                <w:szCs w:val="24"/>
              </w:rPr>
            </w:pPr>
            <w:r>
              <w:rPr>
                <w:rFonts w:hint="eastAsia" w:eastAsiaTheme="minorEastAsia"/>
                <w:b/>
                <w:bCs/>
                <w:iCs/>
                <w:sz w:val="24"/>
                <w:szCs w:val="24"/>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5087DD18">
            <w:pPr>
              <w:spacing w:line="360" w:lineRule="auto"/>
              <w:rPr>
                <w:rFonts w:eastAsiaTheme="minorEastAsia"/>
                <w:bCs/>
                <w:iCs/>
                <w:sz w:val="24"/>
                <w:szCs w:val="24"/>
              </w:rPr>
            </w:pPr>
            <w:r>
              <w:rPr>
                <w:rFonts w:hint="eastAsia" w:eastAsiaTheme="minorEastAsia"/>
                <w:bCs/>
                <w:iCs/>
                <w:sz w:val="24"/>
                <w:szCs w:val="24"/>
              </w:rPr>
              <w:t>202</w:t>
            </w:r>
            <w:r>
              <w:rPr>
                <w:rFonts w:eastAsiaTheme="minorEastAsia"/>
                <w:bCs/>
                <w:iCs/>
                <w:sz w:val="24"/>
                <w:szCs w:val="24"/>
              </w:rPr>
              <w:t>6</w:t>
            </w:r>
            <w:r>
              <w:rPr>
                <w:rFonts w:hint="eastAsia" w:eastAsiaTheme="minorEastAsia"/>
                <w:bCs/>
                <w:iCs/>
                <w:sz w:val="24"/>
                <w:szCs w:val="24"/>
              </w:rPr>
              <w:t>年5月1</w:t>
            </w:r>
            <w:r>
              <w:rPr>
                <w:rFonts w:eastAsiaTheme="minorEastAsia"/>
                <w:bCs/>
                <w:iCs/>
                <w:sz w:val="24"/>
                <w:szCs w:val="24"/>
              </w:rPr>
              <w:t>4</w:t>
            </w:r>
            <w:r>
              <w:rPr>
                <w:rFonts w:hint="eastAsia" w:eastAsiaTheme="minorEastAsia"/>
                <w:bCs/>
                <w:iCs/>
                <w:sz w:val="24"/>
                <w:szCs w:val="24"/>
              </w:rPr>
              <w:t>日-</w:t>
            </w:r>
            <w:r>
              <w:rPr>
                <w:rFonts w:eastAsiaTheme="minorEastAsia"/>
                <w:bCs/>
                <w:iCs/>
                <w:sz w:val="24"/>
                <w:szCs w:val="24"/>
              </w:rPr>
              <w:t>2026</w:t>
            </w:r>
            <w:r>
              <w:rPr>
                <w:rFonts w:hint="eastAsia" w:eastAsiaTheme="minorEastAsia"/>
                <w:bCs/>
                <w:iCs/>
                <w:sz w:val="24"/>
                <w:szCs w:val="24"/>
              </w:rPr>
              <w:t>年5月1</w:t>
            </w:r>
            <w:r>
              <w:rPr>
                <w:rFonts w:eastAsiaTheme="minorEastAsia"/>
                <w:bCs/>
                <w:iCs/>
                <w:sz w:val="24"/>
                <w:szCs w:val="24"/>
              </w:rPr>
              <w:t>5</w:t>
            </w:r>
            <w:r>
              <w:rPr>
                <w:rFonts w:hint="eastAsia" w:eastAsiaTheme="minorEastAsia"/>
                <w:bCs/>
                <w:iCs/>
                <w:sz w:val="24"/>
                <w:szCs w:val="24"/>
              </w:rPr>
              <w:t>日</w:t>
            </w:r>
          </w:p>
        </w:tc>
      </w:tr>
      <w:tr w14:paraId="5CDB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F78109E">
            <w:pPr>
              <w:spacing w:line="360" w:lineRule="auto"/>
              <w:rPr>
                <w:rFonts w:eastAsiaTheme="minorEastAsia"/>
                <w:b/>
                <w:bCs/>
                <w:iCs/>
                <w:sz w:val="24"/>
                <w:szCs w:val="24"/>
              </w:rPr>
            </w:pPr>
            <w:r>
              <w:rPr>
                <w:rFonts w:hint="eastAsia" w:eastAsiaTheme="minorEastAsia"/>
                <w:b/>
                <w:bCs/>
                <w:iCs/>
                <w:sz w:val="24"/>
                <w:szCs w:val="24"/>
              </w:rPr>
              <w:t>参会方式</w:t>
            </w:r>
          </w:p>
        </w:tc>
        <w:tc>
          <w:tcPr>
            <w:tcW w:w="6614" w:type="dxa"/>
            <w:tcBorders>
              <w:top w:val="single" w:color="auto" w:sz="4" w:space="0"/>
              <w:left w:val="single" w:color="auto" w:sz="4" w:space="0"/>
              <w:bottom w:val="single" w:color="auto" w:sz="4" w:space="0"/>
              <w:right w:val="single" w:color="auto" w:sz="4" w:space="0"/>
            </w:tcBorders>
            <w:vAlign w:val="center"/>
          </w:tcPr>
          <w:p w14:paraId="4C2259C9">
            <w:pPr>
              <w:spacing w:line="360" w:lineRule="auto"/>
              <w:rPr>
                <w:rFonts w:eastAsiaTheme="minorEastAsia"/>
                <w:bCs/>
                <w:iCs/>
                <w:sz w:val="24"/>
                <w:szCs w:val="24"/>
              </w:rPr>
            </w:pPr>
            <w:r>
              <w:rPr>
                <w:rFonts w:hint="eastAsia" w:eastAsiaTheme="minorEastAsia"/>
                <w:bCs/>
                <w:iCs/>
                <w:sz w:val="24"/>
                <w:szCs w:val="24"/>
              </w:rPr>
              <w:t>线上会议、线下会议</w:t>
            </w:r>
          </w:p>
        </w:tc>
      </w:tr>
      <w:tr w14:paraId="38F3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410250D">
            <w:pPr>
              <w:spacing w:line="360" w:lineRule="auto"/>
              <w:rPr>
                <w:rFonts w:eastAsiaTheme="minorEastAsia"/>
                <w:b/>
                <w:bCs/>
                <w:iCs/>
                <w:sz w:val="24"/>
                <w:szCs w:val="24"/>
              </w:rPr>
            </w:pPr>
            <w:r>
              <w:rPr>
                <w:rFonts w:hint="eastAsia" w:eastAsiaTheme="minorEastAsia"/>
                <w:b/>
                <w:bCs/>
                <w:iCs/>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tcPr>
          <w:p w14:paraId="5A6A3EAF">
            <w:pPr>
              <w:spacing w:line="360" w:lineRule="auto"/>
              <w:rPr>
                <w:rFonts w:eastAsiaTheme="minorEastAsia"/>
                <w:bCs/>
                <w:iCs/>
                <w:sz w:val="24"/>
                <w:szCs w:val="24"/>
              </w:rPr>
            </w:pPr>
            <w:r>
              <w:rPr>
                <w:rFonts w:hint="eastAsia" w:eastAsiaTheme="minorEastAsia"/>
                <w:bCs/>
                <w:iCs/>
                <w:sz w:val="24"/>
                <w:szCs w:val="24"/>
              </w:rPr>
              <w:t>董事会秘书黄艳莉</w:t>
            </w:r>
          </w:p>
        </w:tc>
      </w:tr>
      <w:tr w14:paraId="39B9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08" w:type="dxa"/>
            <w:tcBorders>
              <w:top w:val="single" w:color="auto" w:sz="4" w:space="0"/>
              <w:left w:val="single" w:color="auto" w:sz="4" w:space="0"/>
              <w:bottom w:val="single" w:color="auto" w:sz="4" w:space="0"/>
              <w:right w:val="single" w:color="auto" w:sz="4" w:space="0"/>
            </w:tcBorders>
            <w:vAlign w:val="center"/>
          </w:tcPr>
          <w:p w14:paraId="4981A274">
            <w:pPr>
              <w:spacing w:line="480" w:lineRule="atLeast"/>
              <w:rPr>
                <w:rFonts w:eastAsiaTheme="minorEastAsia"/>
                <w:b/>
                <w:bCs/>
                <w:iCs/>
                <w:sz w:val="24"/>
                <w:szCs w:val="24"/>
              </w:rPr>
            </w:pPr>
            <w:r>
              <w:rPr>
                <w:rFonts w:hint="eastAsia" w:eastAsiaTheme="minorEastAsia"/>
                <w:b/>
                <w:bCs/>
                <w:iCs/>
                <w:sz w:val="24"/>
                <w:szCs w:val="24"/>
              </w:rPr>
              <w:t>投资者关系活动主要内容介绍</w:t>
            </w:r>
          </w:p>
        </w:tc>
        <w:tc>
          <w:tcPr>
            <w:tcW w:w="6614" w:type="dxa"/>
            <w:tcBorders>
              <w:top w:val="single" w:color="auto" w:sz="4" w:space="0"/>
              <w:left w:val="single" w:color="auto" w:sz="4" w:space="0"/>
              <w:bottom w:val="single" w:color="auto" w:sz="4" w:space="0"/>
              <w:right w:val="single" w:color="auto" w:sz="4" w:space="0"/>
            </w:tcBorders>
          </w:tcPr>
          <w:p w14:paraId="329FD85C">
            <w:pPr>
              <w:spacing w:before="156" w:beforeLines="50" w:line="360" w:lineRule="auto"/>
              <w:ind w:firstLine="482" w:firstLineChars="200"/>
              <w:jc w:val="left"/>
              <w:rPr>
                <w:rFonts w:hint="eastAsia" w:ascii="宋体" w:hAnsi="宋体"/>
                <w:b/>
                <w:sz w:val="24"/>
              </w:rPr>
            </w:pPr>
            <w:r>
              <w:rPr>
                <w:rFonts w:hint="eastAsia" w:ascii="宋体" w:hAnsi="宋体"/>
                <w:b/>
                <w:sz w:val="24"/>
              </w:rPr>
              <w:t>问题一：公司2</w:t>
            </w:r>
            <w:r>
              <w:rPr>
                <w:rFonts w:ascii="宋体" w:hAnsi="宋体"/>
                <w:b/>
                <w:sz w:val="24"/>
              </w:rPr>
              <w:t>026</w:t>
            </w:r>
            <w:r>
              <w:rPr>
                <w:rFonts w:hint="eastAsia" w:ascii="宋体" w:hAnsi="宋体"/>
                <w:b/>
                <w:sz w:val="24"/>
              </w:rPr>
              <w:t>年全年发展目标是什么</w:t>
            </w:r>
            <w:r>
              <w:rPr>
                <w:rFonts w:ascii="宋体" w:hAnsi="宋体"/>
                <w:b/>
                <w:sz w:val="24"/>
              </w:rPr>
              <w:t>？</w:t>
            </w:r>
            <w:r>
              <w:rPr>
                <w:rFonts w:hint="eastAsia" w:ascii="宋体" w:hAnsi="宋体"/>
                <w:b/>
                <w:sz w:val="24"/>
              </w:rPr>
              <w:t>重点聚焦在哪些工作的开展呢？</w:t>
            </w:r>
          </w:p>
          <w:p w14:paraId="0B2F06DA">
            <w:pPr>
              <w:spacing w:before="156" w:beforeLines="50" w:line="360" w:lineRule="auto"/>
              <w:ind w:firstLine="482" w:firstLineChars="200"/>
              <w:jc w:val="left"/>
              <w:rPr>
                <w:rFonts w:ascii="宋体" w:hAnsi="宋体"/>
                <w:bCs/>
                <w:sz w:val="24"/>
              </w:rPr>
            </w:pPr>
            <w:r>
              <w:rPr>
                <w:rFonts w:ascii="宋体" w:hAnsi="宋体"/>
                <w:b/>
                <w:sz w:val="24"/>
              </w:rPr>
              <w:t>答:</w:t>
            </w:r>
            <w:r>
              <w:rPr>
                <w:rFonts w:hint="eastAsia"/>
                <w:sz w:val="24"/>
                <w:szCs w:val="22"/>
              </w:rPr>
              <w:t>受2020年全球公共卫生事件的影响，过去几年公司收入的季度间分布与行业常态有所偏离，预计自2026年起随行业常态化发展逐渐回归上、下半年收入“前低后高”的发展态势，公司将全力实现员工持股计划中设定的收入考核目标，并继续兑现“利润端有望在2026年迎来拐点”的指引。</w:t>
            </w:r>
          </w:p>
          <w:p w14:paraId="393C13C5">
            <w:pPr>
              <w:spacing w:before="156" w:beforeLines="50" w:line="360" w:lineRule="auto"/>
              <w:ind w:firstLine="480" w:firstLineChars="200"/>
              <w:jc w:val="left"/>
              <w:rPr>
                <w:rFonts w:ascii="宋体" w:hAnsi="宋体"/>
                <w:bCs/>
                <w:sz w:val="24"/>
              </w:rPr>
            </w:pPr>
            <w:r>
              <w:rPr>
                <w:rFonts w:hint="eastAsia" w:ascii="宋体" w:hAnsi="宋体"/>
                <w:bCs/>
                <w:sz w:val="24"/>
              </w:rPr>
              <w:t>2</w:t>
            </w:r>
            <w:r>
              <w:rPr>
                <w:rFonts w:ascii="宋体" w:hAnsi="宋体"/>
                <w:bCs/>
                <w:sz w:val="24"/>
              </w:rPr>
              <w:t>02</w:t>
            </w:r>
            <w:bookmarkStart w:id="0" w:name="_GoBack"/>
            <w:bookmarkEnd w:id="0"/>
            <w:r>
              <w:rPr>
                <w:rFonts w:ascii="宋体" w:hAnsi="宋体"/>
                <w:bCs/>
                <w:sz w:val="24"/>
              </w:rPr>
              <w:t>6</w:t>
            </w:r>
            <w:r>
              <w:rPr>
                <w:rFonts w:hint="eastAsia" w:ascii="宋体" w:hAnsi="宋体"/>
                <w:bCs/>
                <w:sz w:val="24"/>
              </w:rPr>
              <w:t>年，公司全年工作主要围绕收入、盈利和组织能力的三项提升展开。收入端围绕海外高增长、新产业持续增长、低温产业稳增长三个方面开展；利润端通过产业结构优化、市场结构优化以及全流程提效实现落地目标；同时聚焦AI+、并购和高效协同的内部组织能力提升，夯实公司体系化能力，为中长期发展奠定基础。</w:t>
            </w:r>
          </w:p>
          <w:p w14:paraId="0E0C5B23">
            <w:pPr>
              <w:spacing w:before="156" w:beforeLines="50" w:line="360" w:lineRule="auto"/>
              <w:ind w:firstLine="482" w:firstLineChars="200"/>
              <w:jc w:val="left"/>
              <w:rPr>
                <w:rFonts w:ascii="宋体" w:hAnsi="宋体"/>
                <w:b/>
                <w:sz w:val="24"/>
              </w:rPr>
            </w:pPr>
            <w:r>
              <w:rPr>
                <w:rFonts w:hint="eastAsia" w:ascii="宋体" w:hAnsi="宋体"/>
                <w:b/>
                <w:sz w:val="24"/>
              </w:rPr>
              <w:t>问题二：公司海外业务的增长动力来自于哪里</w:t>
            </w:r>
            <w:r>
              <w:rPr>
                <w:rFonts w:ascii="宋体" w:hAnsi="宋体"/>
                <w:b/>
                <w:sz w:val="24"/>
              </w:rPr>
              <w:t xml:space="preserve">？ </w:t>
            </w:r>
          </w:p>
          <w:p w14:paraId="0B110624">
            <w:pPr>
              <w:spacing w:before="156" w:beforeLines="50" w:line="360" w:lineRule="auto"/>
              <w:ind w:firstLine="482" w:firstLineChars="200"/>
              <w:jc w:val="left"/>
              <w:rPr>
                <w:rFonts w:ascii="宋体" w:hAnsi="宋体"/>
                <w:bCs/>
                <w:sz w:val="24"/>
              </w:rPr>
            </w:pPr>
            <w:r>
              <w:rPr>
                <w:rFonts w:ascii="宋体" w:hAnsi="宋体"/>
                <w:b/>
                <w:sz w:val="24"/>
              </w:rPr>
              <w:t>答:</w:t>
            </w:r>
            <w:r>
              <w:rPr>
                <w:rFonts w:hint="eastAsia" w:ascii="宋体" w:hAnsi="宋体"/>
                <w:bCs/>
                <w:sz w:val="24"/>
              </w:rPr>
              <w:t>全年来看，公司有信心保持海外业务的持续快速增长。这主要基于海尔生物长期以来形成的海外竞争优势，以及清晰的海外增长战略。</w:t>
            </w:r>
          </w:p>
          <w:p w14:paraId="532F405B">
            <w:pPr>
              <w:spacing w:before="156" w:beforeLines="50" w:line="360" w:lineRule="auto"/>
              <w:ind w:firstLine="480" w:firstLineChars="200"/>
              <w:jc w:val="left"/>
              <w:rPr>
                <w:rFonts w:ascii="宋体" w:hAnsi="宋体"/>
                <w:bCs/>
                <w:sz w:val="24"/>
              </w:rPr>
            </w:pPr>
            <w:r>
              <w:rPr>
                <w:rFonts w:hint="eastAsia" w:ascii="宋体" w:hAnsi="宋体"/>
                <w:bCs/>
                <w:sz w:val="24"/>
              </w:rPr>
              <w:t>海尔生物出海十余年，经历了从抓项目机会，到布局网络能力，再到在地化深耕3个阶段，始终保持领先一步，过去十年复合增长率超过20%。未来，公司海外业务的增长主要来自3个方面，也得到了实践验证：</w:t>
            </w:r>
          </w:p>
          <w:p w14:paraId="060ACBB1">
            <w:pPr>
              <w:spacing w:before="156" w:beforeLines="50" w:line="360" w:lineRule="auto"/>
              <w:ind w:firstLine="480" w:firstLineChars="200"/>
              <w:jc w:val="left"/>
              <w:rPr>
                <w:rFonts w:ascii="宋体" w:hAnsi="宋体"/>
                <w:bCs/>
                <w:sz w:val="24"/>
              </w:rPr>
            </w:pPr>
            <w:r>
              <w:rPr>
                <w:rFonts w:hint="eastAsia" w:ascii="宋体" w:hAnsi="宋体"/>
                <w:bCs/>
                <w:sz w:val="24"/>
              </w:rPr>
              <w:t>（1）体量大的成熟市场和增量大的新兴市场。一季度德国、澳大利亚、加拿大等高端核心市场增速超50%，东欧、南亚、巴西等新兴增量市场增速亮眼翻倍增长。在欧美为主的存量市场，通过高端系列牵引实现了高速增长，但是从市场体量来看，即使是我们最具优势的超低温品类，市场占比仍然不足10%，发展空间巨大。在亚太、东欧、拉美等增量市场，凭借场景方案能力和丰富的产品矩阵，抓住新建医疗机构、科研机构、生物制药等发展机会，区域规模快速拉升。</w:t>
            </w:r>
          </w:p>
          <w:p w14:paraId="797F090E">
            <w:pPr>
              <w:spacing w:before="156" w:beforeLines="50" w:line="360" w:lineRule="auto"/>
              <w:ind w:firstLine="480" w:firstLineChars="200"/>
              <w:jc w:val="left"/>
              <w:rPr>
                <w:rFonts w:ascii="宋体" w:hAnsi="宋体"/>
                <w:bCs/>
                <w:sz w:val="24"/>
              </w:rPr>
            </w:pPr>
            <w:r>
              <w:rPr>
                <w:rFonts w:hint="eastAsia" w:ascii="宋体" w:hAnsi="宋体"/>
                <w:bCs/>
                <w:sz w:val="24"/>
              </w:rPr>
              <w:t>（2）景气度高的制药用户。一季度，除了医疗、科研、工业等用户，海尔生物积极耕耘生物制药领域，并且取得积极效果。全球Top25的药企，目前已经进入6家，在新加坡、瑞士、德国、意大利、丹麦等市场打开局面。未来在精准医疗、细胞基因治疗等新兴赛道的高速发展下，该垂直领域会持续带来增量。</w:t>
            </w:r>
          </w:p>
          <w:p w14:paraId="0B35212B">
            <w:pPr>
              <w:spacing w:before="156" w:beforeLines="50" w:line="360" w:lineRule="auto"/>
              <w:ind w:firstLine="480" w:firstLineChars="200"/>
              <w:jc w:val="left"/>
              <w:rPr>
                <w:rFonts w:hint="eastAsia" w:ascii="宋体" w:hAnsi="宋体"/>
                <w:bCs/>
                <w:sz w:val="24"/>
              </w:rPr>
            </w:pPr>
            <w:r>
              <w:rPr>
                <w:rFonts w:hint="eastAsia" w:ascii="宋体" w:hAnsi="宋体"/>
                <w:bCs/>
                <w:sz w:val="24"/>
              </w:rPr>
              <w:t>（3）创新品类。在国际巨头研发投入缩减，管线萎缩的情况下，海尔生物充分发挥科创优势，除了低温产品在7个国家份额登顶，离心纯化、消毒灭菌、生物培养、空气安全、血液技术、自动化、纯水、冻干、冻融等管线产品逐步丰富，在海外市场实现了多品类的高速增长，其中离心机、培养箱规模翻番增长。</w:t>
            </w:r>
          </w:p>
          <w:p w14:paraId="7074542E">
            <w:pPr>
              <w:spacing w:before="156" w:beforeLines="50" w:line="360" w:lineRule="auto"/>
              <w:ind w:firstLine="482" w:firstLineChars="200"/>
              <w:jc w:val="left"/>
              <w:rPr>
                <w:rFonts w:ascii="宋体" w:hAnsi="宋体"/>
                <w:b/>
                <w:sz w:val="24"/>
              </w:rPr>
            </w:pPr>
            <w:r>
              <w:rPr>
                <w:rFonts w:hint="eastAsia" w:ascii="宋体" w:hAnsi="宋体"/>
                <w:b/>
                <w:sz w:val="24"/>
              </w:rPr>
              <w:t>问题三：实验室解决方案产业公司一季度经营情况如何？后续应该如何预期？</w:t>
            </w:r>
          </w:p>
          <w:p w14:paraId="202EEFB1">
            <w:pPr>
              <w:spacing w:before="156" w:beforeLines="50" w:line="360" w:lineRule="auto"/>
              <w:ind w:firstLine="480" w:firstLineChars="200"/>
              <w:jc w:val="left"/>
              <w:rPr>
                <w:rFonts w:ascii="宋体" w:hAnsi="宋体"/>
                <w:bCs/>
                <w:sz w:val="24"/>
              </w:rPr>
            </w:pPr>
            <w:r>
              <w:rPr>
                <w:rFonts w:hint="eastAsia" w:ascii="宋体" w:hAnsi="宋体"/>
                <w:bCs/>
                <w:sz w:val="24"/>
              </w:rPr>
              <w:t>答：实验室解决方案产业一季度销售收入同比增长1.2%，得益于公司前期的产品方案布局和市场拓展，海外市场持续双位数增长，国内市场行业承压，但是凭借差异化产品竞争优势实现各类产品市场份额的持续提升。随着产品系列持续丰富及AI自动化技术应用的加持，该业务板块今年有望实现收入增长的较大提速，同时通过规模化的拓展实现盈利能力的稳步提升。</w:t>
            </w:r>
          </w:p>
          <w:p w14:paraId="3719C6C1">
            <w:pPr>
              <w:spacing w:before="156" w:beforeLines="50" w:line="360" w:lineRule="auto"/>
              <w:ind w:firstLine="480" w:firstLineChars="200"/>
              <w:jc w:val="left"/>
              <w:rPr>
                <w:rFonts w:ascii="宋体" w:hAnsi="宋体"/>
                <w:bCs/>
                <w:sz w:val="24"/>
              </w:rPr>
            </w:pPr>
            <w:r>
              <w:rPr>
                <w:rFonts w:hint="eastAsia" w:ascii="宋体" w:hAnsi="宋体"/>
                <w:bCs/>
                <w:sz w:val="24"/>
              </w:rPr>
              <w:t>后续，实验室解决方案产业将会聚焦创新和提速两个重点。</w:t>
            </w:r>
          </w:p>
          <w:p w14:paraId="7A0ADCAF">
            <w:pPr>
              <w:spacing w:before="156" w:beforeLines="50" w:line="360" w:lineRule="auto"/>
              <w:ind w:firstLine="480" w:firstLineChars="200"/>
              <w:jc w:val="left"/>
              <w:rPr>
                <w:rFonts w:ascii="宋体" w:hAnsi="宋体"/>
                <w:bCs/>
                <w:sz w:val="24"/>
              </w:rPr>
            </w:pPr>
            <w:r>
              <w:rPr>
                <w:rFonts w:hint="eastAsia" w:ascii="宋体" w:hAnsi="宋体"/>
                <w:bCs/>
                <w:sz w:val="24"/>
              </w:rPr>
              <w:t>从创新维度，公司将持续丰富产品系列，并基于AI自动化技术底座创新嵌入用户工作流程的解决方案。在4月初的CMEF上公司首发首展了立式振荡培养箱、超速离心机等系列新品，逐渐夯实产品全面布局。其中超速离心机于今年上市，目前处于市场导入期，已经有多家生物科技企业、研究所等用户订单录入，预计自明年起逐渐进入规模化放量阶段。解决方案目前以全自动细胞培养工作站为代表，这个方案嵌入了从细胞复苏、扩增放大、浓缩收获到分装收集的工作流，离心、分离、培养、收集、存储等全程在封闭环境中自动流转，使得细胞制备效率大幅提升、培养批间差大幅降低，已成功落地海南博鳌玖诺细胞、上海吉美瑞生超级器官研发中心等用户，在4月初正式取得医疗器械注册认证，成功迈入规范化临床应用阶段。</w:t>
            </w:r>
          </w:p>
          <w:p w14:paraId="081015C0">
            <w:pPr>
              <w:spacing w:before="156" w:beforeLines="50" w:line="360" w:lineRule="auto"/>
              <w:ind w:firstLine="480" w:firstLineChars="200"/>
              <w:jc w:val="left"/>
              <w:rPr>
                <w:rFonts w:ascii="宋体" w:hAnsi="宋体"/>
                <w:bCs/>
                <w:sz w:val="24"/>
              </w:rPr>
            </w:pPr>
            <w:r>
              <w:rPr>
                <w:rFonts w:hint="eastAsia" w:ascii="宋体" w:hAnsi="宋体"/>
                <w:bCs/>
                <w:sz w:val="24"/>
              </w:rPr>
              <w:t>从提速维度，国产替代、自动化智能化升级以及全球生物科技及生物制药景气度的提升，都将带来持续的用户需求支撑，行业前景向好。在精准的产品和市场策略下，我们会发力市场拓展尤其是海外市场，推动离心机、培养箱等品类持续放量；加快从产品向方案的升级，满足用户对数智场景方案需求。 全年来看，今年实验室解决方案产业将会实现收入增长的较大提速，并通过业务规模化的拓展实现实验室解决方案产业盈利水平的稳步提升。</w:t>
            </w:r>
          </w:p>
          <w:p w14:paraId="58EA9479">
            <w:pPr>
              <w:spacing w:before="156" w:beforeLines="50" w:line="360" w:lineRule="auto"/>
              <w:ind w:firstLine="482" w:firstLineChars="200"/>
              <w:jc w:val="left"/>
              <w:rPr>
                <w:rFonts w:ascii="宋体" w:hAnsi="宋体"/>
                <w:b/>
                <w:sz w:val="24"/>
              </w:rPr>
            </w:pPr>
            <w:r>
              <w:rPr>
                <w:rFonts w:hint="eastAsia" w:ascii="宋体" w:hAnsi="宋体"/>
                <w:b/>
                <w:sz w:val="24"/>
              </w:rPr>
              <w:t>问题四：公司一季度新产业的占比下降、增速下滑，后续是个什么趋势？</w:t>
            </w:r>
          </w:p>
          <w:p w14:paraId="3C434417">
            <w:pPr>
              <w:spacing w:before="156" w:beforeLines="50" w:line="360" w:lineRule="auto"/>
              <w:ind w:firstLine="482" w:firstLineChars="200"/>
              <w:jc w:val="left"/>
              <w:rPr>
                <w:rFonts w:ascii="宋体" w:hAnsi="宋体"/>
                <w:bCs/>
                <w:sz w:val="24"/>
              </w:rPr>
            </w:pPr>
            <w:r>
              <w:rPr>
                <w:rFonts w:ascii="宋体" w:hAnsi="宋体"/>
                <w:b/>
                <w:sz w:val="24"/>
              </w:rPr>
              <w:t>答:</w:t>
            </w:r>
            <w:r>
              <w:rPr>
                <w:rFonts w:hint="eastAsia" w:ascii="宋体" w:hAnsi="宋体"/>
                <w:bCs/>
                <w:sz w:val="24"/>
              </w:rPr>
              <w:t>公司的新产业主要包括实验室解决方案产业、血液技术产业和智慧用药产业，如前面和大家交互的，单季度的波动不会动摇新产业占比持续提升、业务持续增长的趋势，全年来看新产业是“前低后高”的态势，预计二季度起大幅提速。具体到产业上：</w:t>
            </w:r>
          </w:p>
          <w:p w14:paraId="43664DE9">
            <w:pPr>
              <w:spacing w:before="156" w:beforeLines="50" w:line="360" w:lineRule="auto"/>
              <w:ind w:firstLine="480" w:firstLineChars="200"/>
              <w:jc w:val="left"/>
              <w:rPr>
                <w:rFonts w:ascii="宋体" w:hAnsi="宋体"/>
                <w:bCs/>
                <w:sz w:val="24"/>
              </w:rPr>
            </w:pPr>
            <w:r>
              <w:rPr>
                <w:rFonts w:hint="eastAsia" w:ascii="宋体" w:hAnsi="宋体"/>
                <w:bCs/>
                <w:sz w:val="24"/>
              </w:rPr>
              <w:t>一季度血液技术产业波动属行业采购的季度间正常调整，基于需求景气度、新产品放量和未来出海前景，全年有望延续双位数增长；</w:t>
            </w:r>
          </w:p>
          <w:p w14:paraId="30E4A888">
            <w:pPr>
              <w:spacing w:before="156" w:beforeLines="50" w:line="360" w:lineRule="auto"/>
              <w:ind w:firstLine="480" w:firstLineChars="200"/>
              <w:jc w:val="left"/>
              <w:rPr>
                <w:rFonts w:ascii="宋体" w:hAnsi="宋体"/>
                <w:bCs/>
                <w:sz w:val="24"/>
              </w:rPr>
            </w:pPr>
            <w:r>
              <w:rPr>
                <w:rFonts w:hint="eastAsia" w:ascii="宋体" w:hAnsi="宋体"/>
                <w:bCs/>
                <w:sz w:val="24"/>
              </w:rPr>
              <w:t>一季度智慧用药产业受到去年同期欧洲自动化药房项目基数的影响，目前该项目二期正在顺利推进，截至一季度末公司在手订单增幅超过50%，全年有望延续双位数增长；</w:t>
            </w:r>
          </w:p>
          <w:p w14:paraId="5FF519C5">
            <w:pPr>
              <w:spacing w:before="156" w:beforeLines="50" w:line="360" w:lineRule="auto"/>
              <w:ind w:firstLine="480" w:firstLineChars="200"/>
              <w:jc w:val="left"/>
              <w:rPr>
                <w:rFonts w:hint="eastAsia" w:ascii="宋体" w:hAnsi="宋体"/>
                <w:bCs/>
                <w:sz w:val="24"/>
              </w:rPr>
            </w:pPr>
            <w:r>
              <w:rPr>
                <w:rFonts w:hint="eastAsia" w:ascii="宋体" w:hAnsi="宋体"/>
                <w:bCs/>
                <w:sz w:val="24"/>
              </w:rPr>
              <w:t>一季度实验室解决方案产业在高基数背景下仍然实现增长，随着海外快速发展和国内市占率提升，全年有望迎来增长的增速和盈利的改善。</w:t>
            </w:r>
          </w:p>
          <w:p w14:paraId="0FAB8E1C">
            <w:pPr>
              <w:spacing w:before="156" w:beforeLines="50" w:line="360" w:lineRule="auto"/>
              <w:ind w:firstLine="482" w:firstLineChars="200"/>
              <w:jc w:val="left"/>
              <w:rPr>
                <w:rFonts w:ascii="宋体" w:hAnsi="宋体"/>
                <w:b/>
                <w:sz w:val="24"/>
              </w:rPr>
            </w:pPr>
            <w:r>
              <w:rPr>
                <w:rFonts w:hint="eastAsia" w:ascii="宋体" w:hAnsi="宋体"/>
                <w:b/>
                <w:sz w:val="24"/>
              </w:rPr>
              <w:t>问题五：请公司详细介绍对于并购来的公司，后续如何进行管理整合？效果如何？</w:t>
            </w:r>
          </w:p>
          <w:p w14:paraId="43779007">
            <w:pPr>
              <w:spacing w:before="156" w:beforeLines="50" w:line="360" w:lineRule="auto"/>
              <w:ind w:firstLine="482" w:firstLineChars="200"/>
              <w:jc w:val="left"/>
              <w:rPr>
                <w:rFonts w:ascii="宋体" w:hAnsi="宋体"/>
                <w:bCs/>
                <w:sz w:val="24"/>
              </w:rPr>
            </w:pPr>
            <w:r>
              <w:rPr>
                <w:rFonts w:ascii="宋体" w:hAnsi="宋体"/>
                <w:b/>
                <w:sz w:val="24"/>
              </w:rPr>
              <w:t>答:</w:t>
            </w:r>
            <w:r>
              <w:rPr>
                <w:rFonts w:hint="eastAsia" w:ascii="宋体" w:hAnsi="宋体"/>
                <w:bCs/>
                <w:sz w:val="24"/>
              </w:rPr>
              <w:t>在生命科学工具行业，并购整合是行业内公司非常重要的增长引擎，而对于正在成长期的本土品牌来说，并购整合是稀缺的核心竞争力。公司从并购的数量、规模、标的后续发展等角度看了一下，在本土品牌中海尔生物的并购整合力位居前列，测算下来实现了“两个30%”，一个是并购业务对公司收入贡献超30%，第二个是并购业务收入复合增长率为30%，在液氮存储、血液技术、自动化药房等多个领域领跑行业。</w:t>
            </w:r>
          </w:p>
          <w:p w14:paraId="5CDD3DCC">
            <w:pPr>
              <w:spacing w:before="156" w:beforeLines="50" w:line="360" w:lineRule="auto"/>
              <w:ind w:firstLine="480" w:firstLineChars="200"/>
              <w:jc w:val="left"/>
              <w:rPr>
                <w:rFonts w:ascii="宋体" w:hAnsi="宋体"/>
                <w:bCs/>
                <w:sz w:val="24"/>
              </w:rPr>
            </w:pPr>
            <w:r>
              <w:rPr>
                <w:rFonts w:hint="eastAsia" w:ascii="宋体" w:hAnsi="宋体"/>
                <w:bCs/>
                <w:sz w:val="24"/>
              </w:rPr>
              <w:t>在长期的并购整合实践中，海尔生物沉淀出了自己的“选/并/补/强的‘同心圆’并购及卓越运营体系”，逐渐构筑起支撑公司长期发展的竞争优势。</w:t>
            </w:r>
          </w:p>
          <w:p w14:paraId="2E98B279">
            <w:pPr>
              <w:spacing w:before="156" w:beforeLines="50" w:line="360" w:lineRule="auto"/>
              <w:ind w:firstLine="480" w:firstLineChars="200"/>
              <w:jc w:val="left"/>
              <w:rPr>
                <w:rFonts w:ascii="宋体" w:hAnsi="宋体"/>
                <w:bCs/>
                <w:sz w:val="24"/>
              </w:rPr>
            </w:pPr>
            <w:r>
              <w:rPr>
                <w:rFonts w:hint="eastAsia" w:ascii="宋体" w:hAnsi="宋体"/>
                <w:bCs/>
                <w:sz w:val="24"/>
              </w:rPr>
              <w:t>以海尔血技为例，并购完成后，通过生产体系的协同提升产能与生产效率，通过一流研发资源的整合加速产品的国际认证和技术创新，通过全球化市场体系的协同布局打开血站新渠道和海外新区域。目前，海尔血技的产能较2020年刚加入时提升了1倍，收入复合增长率达双位数为行业的1.3倍，在国内采浆市场取得了超50%份额的市场份额。2025年海尔血技发布了“一次性使用去白细胞塑料血袋”，填补了公司在血袋耗材领域的空白，并于近期在国内率先完成了采浆产品线“设备+耗材”的系统性MDR认证，有望在以欧洲为代表的高端市场实现快速渗透。</w:t>
            </w:r>
          </w:p>
          <w:p w14:paraId="052554A6">
            <w:pPr>
              <w:spacing w:before="156" w:beforeLines="50" w:line="360" w:lineRule="auto"/>
              <w:ind w:firstLine="480" w:firstLineChars="200"/>
              <w:jc w:val="left"/>
              <w:rPr>
                <w:rFonts w:ascii="宋体" w:hAnsi="宋体"/>
                <w:bCs/>
                <w:sz w:val="24"/>
              </w:rPr>
            </w:pPr>
            <w:r>
              <w:rPr>
                <w:rFonts w:hint="eastAsia" w:ascii="宋体" w:hAnsi="宋体"/>
                <w:bCs/>
                <w:sz w:val="24"/>
              </w:rPr>
              <w:t>作为世界500强海尔集团旗下的科创板上市公司，海尔生物基于充裕的现金流与健康的资产负债表，始终将并购作为资本配置的首选。随着公司并购战略的升级，同心圆体系也将不断演进，持续夯实公司的长期成长根基</w:t>
            </w:r>
            <w:r>
              <w:rPr>
                <w:rFonts w:ascii="宋体" w:hAnsi="宋体"/>
                <w:bCs/>
                <w:sz w:val="24"/>
              </w:rPr>
              <w:t>。</w:t>
            </w:r>
          </w:p>
          <w:p w14:paraId="042D14A3">
            <w:pPr>
              <w:spacing w:before="156" w:beforeLines="50" w:line="360" w:lineRule="auto"/>
              <w:ind w:firstLine="482" w:firstLineChars="200"/>
              <w:jc w:val="left"/>
              <w:rPr>
                <w:rFonts w:ascii="宋体" w:hAnsi="宋体"/>
                <w:b/>
                <w:sz w:val="24"/>
              </w:rPr>
            </w:pPr>
            <w:r>
              <w:rPr>
                <w:rFonts w:hint="eastAsia" w:ascii="宋体" w:hAnsi="宋体"/>
                <w:b/>
                <w:sz w:val="24"/>
              </w:rPr>
              <w:t>问题六：有看到公司低温存储业务于今年一季度出现了好转，是什么原因？后续应该如何预期？</w:t>
            </w:r>
          </w:p>
          <w:p w14:paraId="56CBE3E0">
            <w:pPr>
              <w:spacing w:before="156" w:beforeLines="50" w:line="360" w:lineRule="auto"/>
              <w:ind w:firstLine="482" w:firstLineChars="200"/>
              <w:jc w:val="left"/>
              <w:rPr>
                <w:rFonts w:ascii="宋体" w:hAnsi="宋体"/>
                <w:bCs/>
                <w:sz w:val="24"/>
              </w:rPr>
            </w:pPr>
            <w:r>
              <w:rPr>
                <w:rFonts w:ascii="宋体" w:hAnsi="宋体"/>
                <w:b/>
                <w:sz w:val="24"/>
              </w:rPr>
              <w:t>答:</w:t>
            </w:r>
            <w:r>
              <w:rPr>
                <w:rFonts w:hint="eastAsia"/>
              </w:rPr>
              <w:t xml:space="preserve"> </w:t>
            </w:r>
            <w:r>
              <w:rPr>
                <w:rFonts w:hint="eastAsia" w:ascii="宋体" w:hAnsi="宋体"/>
                <w:bCs/>
                <w:sz w:val="24"/>
              </w:rPr>
              <w:t>2026 年一季度，在去年单季最高基数的情况下，公司低温存储产业继续边际好转，同比增长0.87%，已连续三个季度实现同比正增长。这主要得益于公司持续推进产品升级迭代、围绕全球用户需求打造差异化的产品和方案矩阵，推动了市场份额的提升，尤其海外市场表现良好。</w:t>
            </w:r>
          </w:p>
          <w:p w14:paraId="2BCF0AC0">
            <w:pPr>
              <w:spacing w:before="156" w:beforeLines="50" w:line="360" w:lineRule="auto"/>
              <w:ind w:firstLine="480" w:firstLineChars="200"/>
              <w:jc w:val="left"/>
              <w:rPr>
                <w:rFonts w:ascii="宋体" w:hAnsi="宋体"/>
                <w:bCs/>
                <w:sz w:val="24"/>
              </w:rPr>
            </w:pPr>
            <w:r>
              <w:rPr>
                <w:rFonts w:hint="eastAsia" w:ascii="宋体" w:hAnsi="宋体"/>
                <w:bCs/>
                <w:sz w:val="24"/>
              </w:rPr>
              <w:t>公司超低温和低温系列产品，继原有6个国家市场份额摘得第一之后，一季度成功新增丹麦，目前已在7个国家位居市场首位。丹麦市场的准入门槛极为严苛，公司能够在激烈的竞争中脱颖而出，有赖于在提供标准产品的同时，以用户为中心的量身定制方案。比如说3月份公司成功为丹麦国家级样本库——哥本哈根赫尔勒夫医院量身打造了包括100多台超低温保存箱在内的样本存储解决方案，可以实现50%以上能耗节省、极致稳定的存储环境，以及20%以上存储效率的提升，赢得了用户的高度认可。</w:t>
            </w:r>
          </w:p>
          <w:p w14:paraId="18EFE93D">
            <w:pPr>
              <w:spacing w:before="156" w:beforeLines="50" w:line="360" w:lineRule="auto"/>
              <w:ind w:firstLine="480" w:firstLineChars="200"/>
              <w:jc w:val="left"/>
              <w:rPr>
                <w:rFonts w:ascii="宋体" w:hAnsi="宋体"/>
                <w:bCs/>
                <w:sz w:val="24"/>
              </w:rPr>
            </w:pPr>
            <w:r>
              <w:rPr>
                <w:rFonts w:hint="eastAsia" w:ascii="宋体" w:hAnsi="宋体"/>
                <w:bCs/>
                <w:sz w:val="24"/>
              </w:rPr>
              <w:t>此外，公司继续把握自动化、智能化的趋势，在推出爱德蒙高端系列的基础上，对原有方舟系列进行迭代，并推出 Smart系列覆盖下沉市场，产品体系进一步完善，综合竞争力持续提升。截至一季度末，AI自动化样本库场景方案的在手订单实现倍速增长，其中海外市场也实现了订单的突破。</w:t>
            </w:r>
          </w:p>
          <w:p w14:paraId="3A47AD1A">
            <w:pPr>
              <w:spacing w:before="156" w:beforeLines="50" w:line="360" w:lineRule="auto"/>
              <w:ind w:firstLine="480" w:firstLineChars="200"/>
              <w:jc w:val="left"/>
              <w:rPr>
                <w:rFonts w:hint="eastAsia" w:ascii="宋体" w:hAnsi="宋体"/>
                <w:bCs/>
                <w:sz w:val="24"/>
              </w:rPr>
            </w:pPr>
            <w:r>
              <w:rPr>
                <w:rFonts w:hint="eastAsia" w:ascii="宋体" w:hAnsi="宋体"/>
                <w:bCs/>
                <w:sz w:val="24"/>
              </w:rPr>
              <w:t>展望未来，目前公司低温存储业务的海外市场占有率仅为7%；而随着自动化技术的应用，根据Research Nester公开数据，全球自动化样本库的市场规模在2035年有望达到16亿美元、保持10%左右增长。在广阔的发展空间下，低温存储产业将继续发力海外市场建设，加大AI自动化方案创新力度，“公司的低温存储产业正在走出底部“的结论将继续得到验证。</w:t>
            </w:r>
          </w:p>
        </w:tc>
      </w:tr>
      <w:tr w14:paraId="381D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04FDC98">
            <w:pPr>
              <w:spacing w:line="480" w:lineRule="atLeast"/>
              <w:rPr>
                <w:rFonts w:eastAsiaTheme="minorEastAsia"/>
                <w:b/>
                <w:bCs/>
                <w:iCs/>
                <w:sz w:val="24"/>
                <w:szCs w:val="24"/>
              </w:rPr>
            </w:pPr>
            <w:r>
              <w:rPr>
                <w:rFonts w:hint="eastAsia" w:eastAsiaTheme="minorEastAsia"/>
                <w:b/>
                <w:bCs/>
                <w:iCs/>
                <w:sz w:val="24"/>
                <w:szCs w:val="24"/>
              </w:rPr>
              <w:t>附件清单</w:t>
            </w:r>
          </w:p>
        </w:tc>
        <w:tc>
          <w:tcPr>
            <w:tcW w:w="6614" w:type="dxa"/>
            <w:tcBorders>
              <w:top w:val="single" w:color="auto" w:sz="4" w:space="0"/>
              <w:left w:val="single" w:color="auto" w:sz="4" w:space="0"/>
              <w:bottom w:val="single" w:color="auto" w:sz="4" w:space="0"/>
              <w:right w:val="single" w:color="auto" w:sz="4" w:space="0"/>
            </w:tcBorders>
          </w:tcPr>
          <w:p w14:paraId="32CE86FD">
            <w:pPr>
              <w:spacing w:line="480" w:lineRule="atLeast"/>
              <w:rPr>
                <w:rFonts w:eastAsiaTheme="minorEastAsia"/>
                <w:bCs/>
                <w:iCs/>
                <w:sz w:val="24"/>
                <w:szCs w:val="24"/>
              </w:rPr>
            </w:pPr>
            <w:r>
              <w:rPr>
                <w:rFonts w:eastAsiaTheme="minorEastAsia"/>
                <w:bCs/>
                <w:iCs/>
                <w:sz w:val="24"/>
                <w:szCs w:val="24"/>
              </w:rPr>
              <w:t>无</w:t>
            </w:r>
          </w:p>
        </w:tc>
      </w:tr>
      <w:tr w14:paraId="2E32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D0EDF82">
            <w:pPr>
              <w:spacing w:line="480" w:lineRule="atLeast"/>
              <w:rPr>
                <w:rFonts w:eastAsiaTheme="minorEastAsia"/>
                <w:b/>
                <w:bCs/>
                <w:iCs/>
                <w:sz w:val="24"/>
                <w:szCs w:val="24"/>
              </w:rPr>
            </w:pPr>
            <w:r>
              <w:rPr>
                <w:rFonts w:hint="eastAsia" w:eastAsiaTheme="minorEastAsia"/>
                <w:b/>
                <w:bCs/>
                <w:iCs/>
                <w:sz w:val="24"/>
                <w:szCs w:val="24"/>
              </w:rPr>
              <w:t>日期</w:t>
            </w:r>
          </w:p>
        </w:tc>
        <w:tc>
          <w:tcPr>
            <w:tcW w:w="6614" w:type="dxa"/>
            <w:tcBorders>
              <w:top w:val="single" w:color="auto" w:sz="4" w:space="0"/>
              <w:left w:val="single" w:color="auto" w:sz="4" w:space="0"/>
              <w:bottom w:val="single" w:color="auto" w:sz="4" w:space="0"/>
              <w:right w:val="single" w:color="auto" w:sz="4" w:space="0"/>
            </w:tcBorders>
          </w:tcPr>
          <w:p w14:paraId="1EA15479">
            <w:pPr>
              <w:spacing w:line="480" w:lineRule="atLeast"/>
              <w:rPr>
                <w:rFonts w:eastAsiaTheme="minorEastAsia"/>
                <w:bCs/>
                <w:iCs/>
                <w:sz w:val="24"/>
                <w:szCs w:val="24"/>
              </w:rPr>
            </w:pPr>
            <w:r>
              <w:rPr>
                <w:rFonts w:hint="eastAsia" w:eastAsiaTheme="minorEastAsia"/>
                <w:bCs/>
                <w:iCs/>
                <w:sz w:val="24"/>
                <w:szCs w:val="24"/>
              </w:rPr>
              <w:t>202</w:t>
            </w:r>
            <w:r>
              <w:rPr>
                <w:rFonts w:eastAsiaTheme="minorEastAsia"/>
                <w:bCs/>
                <w:iCs/>
                <w:sz w:val="24"/>
                <w:szCs w:val="24"/>
              </w:rPr>
              <w:t>6</w:t>
            </w:r>
            <w:r>
              <w:rPr>
                <w:rFonts w:hint="eastAsia" w:eastAsiaTheme="minorEastAsia"/>
                <w:bCs/>
                <w:iCs/>
                <w:sz w:val="24"/>
                <w:szCs w:val="24"/>
              </w:rPr>
              <w:t>年5月1</w:t>
            </w:r>
            <w:r>
              <w:rPr>
                <w:rFonts w:eastAsiaTheme="minorEastAsia"/>
                <w:bCs/>
                <w:iCs/>
                <w:sz w:val="24"/>
                <w:szCs w:val="24"/>
              </w:rPr>
              <w:t>5</w:t>
            </w:r>
            <w:r>
              <w:rPr>
                <w:rFonts w:hint="eastAsia" w:eastAsiaTheme="minorEastAsia"/>
                <w:bCs/>
                <w:iCs/>
                <w:sz w:val="24"/>
                <w:szCs w:val="24"/>
              </w:rPr>
              <w:t>日</w:t>
            </w:r>
          </w:p>
        </w:tc>
      </w:tr>
    </w:tbl>
    <w:p w14:paraId="1CF085B1">
      <w:pPr>
        <w:widowControl/>
        <w:jc w:val="left"/>
        <w:rPr>
          <w:b/>
          <w:sz w:val="24"/>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A7CD">
    <w:pPr>
      <w:pStyle w:val="14"/>
    </w:pPr>
  </w:p>
  <w:p w14:paraId="62B21A8B">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28C6"/>
    <w:rsid w:val="00022C29"/>
    <w:rsid w:val="00023EB9"/>
    <w:rsid w:val="0002765E"/>
    <w:rsid w:val="0003029C"/>
    <w:rsid w:val="00031606"/>
    <w:rsid w:val="00035660"/>
    <w:rsid w:val="0003672C"/>
    <w:rsid w:val="00037F57"/>
    <w:rsid w:val="000405A3"/>
    <w:rsid w:val="00040A0E"/>
    <w:rsid w:val="0004258A"/>
    <w:rsid w:val="00042EA6"/>
    <w:rsid w:val="000458D6"/>
    <w:rsid w:val="00045CCC"/>
    <w:rsid w:val="00046644"/>
    <w:rsid w:val="000468A3"/>
    <w:rsid w:val="00046995"/>
    <w:rsid w:val="00046E7E"/>
    <w:rsid w:val="000476B7"/>
    <w:rsid w:val="00052F09"/>
    <w:rsid w:val="000533ED"/>
    <w:rsid w:val="0005480F"/>
    <w:rsid w:val="00054DC2"/>
    <w:rsid w:val="00055D56"/>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120"/>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07139"/>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49F0"/>
    <w:rsid w:val="001771B3"/>
    <w:rsid w:val="0018013C"/>
    <w:rsid w:val="00182462"/>
    <w:rsid w:val="00182F54"/>
    <w:rsid w:val="00183247"/>
    <w:rsid w:val="001834D5"/>
    <w:rsid w:val="00185E78"/>
    <w:rsid w:val="0018607F"/>
    <w:rsid w:val="00187127"/>
    <w:rsid w:val="001873B7"/>
    <w:rsid w:val="001900D5"/>
    <w:rsid w:val="0019029A"/>
    <w:rsid w:val="0019036B"/>
    <w:rsid w:val="001914C9"/>
    <w:rsid w:val="001916AD"/>
    <w:rsid w:val="00193ABF"/>
    <w:rsid w:val="00195BBA"/>
    <w:rsid w:val="00197B14"/>
    <w:rsid w:val="001A0846"/>
    <w:rsid w:val="001A1C4B"/>
    <w:rsid w:val="001A45AB"/>
    <w:rsid w:val="001A4E93"/>
    <w:rsid w:val="001A6170"/>
    <w:rsid w:val="001A6231"/>
    <w:rsid w:val="001A7FEB"/>
    <w:rsid w:val="001B0D52"/>
    <w:rsid w:val="001B4E4F"/>
    <w:rsid w:val="001B5402"/>
    <w:rsid w:val="001B66D4"/>
    <w:rsid w:val="001B7855"/>
    <w:rsid w:val="001B7DE5"/>
    <w:rsid w:val="001C0692"/>
    <w:rsid w:val="001C0806"/>
    <w:rsid w:val="001C0D2B"/>
    <w:rsid w:val="001C2AF1"/>
    <w:rsid w:val="001C2CA9"/>
    <w:rsid w:val="001C414F"/>
    <w:rsid w:val="001C4A26"/>
    <w:rsid w:val="001D0E8A"/>
    <w:rsid w:val="001D2E07"/>
    <w:rsid w:val="001D5BDB"/>
    <w:rsid w:val="001D5EBC"/>
    <w:rsid w:val="001E028B"/>
    <w:rsid w:val="001E0E38"/>
    <w:rsid w:val="001E1371"/>
    <w:rsid w:val="001E14F5"/>
    <w:rsid w:val="001E3FB9"/>
    <w:rsid w:val="001E5E85"/>
    <w:rsid w:val="001F2373"/>
    <w:rsid w:val="001F2E16"/>
    <w:rsid w:val="001F344A"/>
    <w:rsid w:val="001F6E1A"/>
    <w:rsid w:val="0020238B"/>
    <w:rsid w:val="002033C0"/>
    <w:rsid w:val="00206FB9"/>
    <w:rsid w:val="00212B05"/>
    <w:rsid w:val="00214D8A"/>
    <w:rsid w:val="002162C0"/>
    <w:rsid w:val="00222E65"/>
    <w:rsid w:val="002244DC"/>
    <w:rsid w:val="00225C40"/>
    <w:rsid w:val="00226289"/>
    <w:rsid w:val="00226B38"/>
    <w:rsid w:val="0022729A"/>
    <w:rsid w:val="00232004"/>
    <w:rsid w:val="002326C5"/>
    <w:rsid w:val="00233645"/>
    <w:rsid w:val="0023418B"/>
    <w:rsid w:val="002349C9"/>
    <w:rsid w:val="00236262"/>
    <w:rsid w:val="00240FB5"/>
    <w:rsid w:val="00242F78"/>
    <w:rsid w:val="002435A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76EC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2A6C"/>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3EAE"/>
    <w:rsid w:val="003163FB"/>
    <w:rsid w:val="00320AAE"/>
    <w:rsid w:val="0032300B"/>
    <w:rsid w:val="003237A1"/>
    <w:rsid w:val="00326D52"/>
    <w:rsid w:val="003321E8"/>
    <w:rsid w:val="00332F4D"/>
    <w:rsid w:val="00333091"/>
    <w:rsid w:val="0033453D"/>
    <w:rsid w:val="00336C84"/>
    <w:rsid w:val="00337DC8"/>
    <w:rsid w:val="003400DB"/>
    <w:rsid w:val="003419E1"/>
    <w:rsid w:val="00342065"/>
    <w:rsid w:val="0034270A"/>
    <w:rsid w:val="003447E1"/>
    <w:rsid w:val="00344BD5"/>
    <w:rsid w:val="00345DEE"/>
    <w:rsid w:val="00346152"/>
    <w:rsid w:val="00346E94"/>
    <w:rsid w:val="0035150A"/>
    <w:rsid w:val="0035220C"/>
    <w:rsid w:val="003535B2"/>
    <w:rsid w:val="003564B4"/>
    <w:rsid w:val="003568DB"/>
    <w:rsid w:val="00360444"/>
    <w:rsid w:val="00362C69"/>
    <w:rsid w:val="00364635"/>
    <w:rsid w:val="00365469"/>
    <w:rsid w:val="00371B31"/>
    <w:rsid w:val="00373697"/>
    <w:rsid w:val="0037405B"/>
    <w:rsid w:val="00375BC7"/>
    <w:rsid w:val="00376D4E"/>
    <w:rsid w:val="003774D6"/>
    <w:rsid w:val="00380AAF"/>
    <w:rsid w:val="003815D8"/>
    <w:rsid w:val="003828DB"/>
    <w:rsid w:val="0038733C"/>
    <w:rsid w:val="00387AE5"/>
    <w:rsid w:val="00390753"/>
    <w:rsid w:val="003925A2"/>
    <w:rsid w:val="00394C8F"/>
    <w:rsid w:val="00397458"/>
    <w:rsid w:val="003A30E3"/>
    <w:rsid w:val="003A3F94"/>
    <w:rsid w:val="003A62F1"/>
    <w:rsid w:val="003A7A68"/>
    <w:rsid w:val="003B325C"/>
    <w:rsid w:val="003B3283"/>
    <w:rsid w:val="003B42D2"/>
    <w:rsid w:val="003B460C"/>
    <w:rsid w:val="003B5856"/>
    <w:rsid w:val="003B662B"/>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B67"/>
    <w:rsid w:val="00427D08"/>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1D77"/>
    <w:rsid w:val="00464896"/>
    <w:rsid w:val="00464C95"/>
    <w:rsid w:val="00465101"/>
    <w:rsid w:val="004654CA"/>
    <w:rsid w:val="00466F1B"/>
    <w:rsid w:val="004700EF"/>
    <w:rsid w:val="004706E1"/>
    <w:rsid w:val="00473CD7"/>
    <w:rsid w:val="004757C9"/>
    <w:rsid w:val="004772C6"/>
    <w:rsid w:val="00477377"/>
    <w:rsid w:val="00480443"/>
    <w:rsid w:val="00480D98"/>
    <w:rsid w:val="0048346D"/>
    <w:rsid w:val="004848C1"/>
    <w:rsid w:val="00486B72"/>
    <w:rsid w:val="00490316"/>
    <w:rsid w:val="004904B8"/>
    <w:rsid w:val="00492518"/>
    <w:rsid w:val="0049390D"/>
    <w:rsid w:val="004A115D"/>
    <w:rsid w:val="004A3138"/>
    <w:rsid w:val="004A524C"/>
    <w:rsid w:val="004A5C75"/>
    <w:rsid w:val="004B020A"/>
    <w:rsid w:val="004B035B"/>
    <w:rsid w:val="004B048D"/>
    <w:rsid w:val="004B33ED"/>
    <w:rsid w:val="004B477F"/>
    <w:rsid w:val="004B5A0A"/>
    <w:rsid w:val="004B6A57"/>
    <w:rsid w:val="004B6B27"/>
    <w:rsid w:val="004B6DE4"/>
    <w:rsid w:val="004C188B"/>
    <w:rsid w:val="004C1CC2"/>
    <w:rsid w:val="004C29DC"/>
    <w:rsid w:val="004C3904"/>
    <w:rsid w:val="004C3A7C"/>
    <w:rsid w:val="004C3E08"/>
    <w:rsid w:val="004C4D90"/>
    <w:rsid w:val="004C5945"/>
    <w:rsid w:val="004C6554"/>
    <w:rsid w:val="004D0A9B"/>
    <w:rsid w:val="004D14A7"/>
    <w:rsid w:val="004D16C7"/>
    <w:rsid w:val="004D293A"/>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4C39"/>
    <w:rsid w:val="004F5004"/>
    <w:rsid w:val="004F709D"/>
    <w:rsid w:val="004F7FAB"/>
    <w:rsid w:val="00501D36"/>
    <w:rsid w:val="005039F6"/>
    <w:rsid w:val="00503F8D"/>
    <w:rsid w:val="00504328"/>
    <w:rsid w:val="00506116"/>
    <w:rsid w:val="00510442"/>
    <w:rsid w:val="00510A62"/>
    <w:rsid w:val="00511FFB"/>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66D4"/>
    <w:rsid w:val="0055740F"/>
    <w:rsid w:val="00557FC1"/>
    <w:rsid w:val="00560241"/>
    <w:rsid w:val="005610CD"/>
    <w:rsid w:val="00562B25"/>
    <w:rsid w:val="005644B9"/>
    <w:rsid w:val="00564F41"/>
    <w:rsid w:val="005650CB"/>
    <w:rsid w:val="00565E14"/>
    <w:rsid w:val="00566C44"/>
    <w:rsid w:val="00567D27"/>
    <w:rsid w:val="0057099B"/>
    <w:rsid w:val="0057272C"/>
    <w:rsid w:val="0057279D"/>
    <w:rsid w:val="0057286B"/>
    <w:rsid w:val="00572D52"/>
    <w:rsid w:val="0057419D"/>
    <w:rsid w:val="00577E48"/>
    <w:rsid w:val="00580DD1"/>
    <w:rsid w:val="0058331D"/>
    <w:rsid w:val="0058551A"/>
    <w:rsid w:val="00592A8A"/>
    <w:rsid w:val="00597250"/>
    <w:rsid w:val="00597545"/>
    <w:rsid w:val="005A24BE"/>
    <w:rsid w:val="005A32ED"/>
    <w:rsid w:val="005A3EB3"/>
    <w:rsid w:val="005A436D"/>
    <w:rsid w:val="005A541C"/>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E6BD2"/>
    <w:rsid w:val="005F0A5E"/>
    <w:rsid w:val="005F281E"/>
    <w:rsid w:val="005F458C"/>
    <w:rsid w:val="005F4749"/>
    <w:rsid w:val="005F4E2B"/>
    <w:rsid w:val="005F5003"/>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3FD"/>
    <w:rsid w:val="00625C0C"/>
    <w:rsid w:val="0062669E"/>
    <w:rsid w:val="0063094B"/>
    <w:rsid w:val="006333A7"/>
    <w:rsid w:val="0063378B"/>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70157"/>
    <w:rsid w:val="00672D9F"/>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4E5E"/>
    <w:rsid w:val="006A54BD"/>
    <w:rsid w:val="006A7C15"/>
    <w:rsid w:val="006B0D96"/>
    <w:rsid w:val="006B1F24"/>
    <w:rsid w:val="006B2A02"/>
    <w:rsid w:val="006B4F2F"/>
    <w:rsid w:val="006B5D65"/>
    <w:rsid w:val="006B75E9"/>
    <w:rsid w:val="006C0A16"/>
    <w:rsid w:val="006C0AEB"/>
    <w:rsid w:val="006C1009"/>
    <w:rsid w:val="006C23E3"/>
    <w:rsid w:val="006C2BCF"/>
    <w:rsid w:val="006C6272"/>
    <w:rsid w:val="006C753E"/>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6F714D"/>
    <w:rsid w:val="007000AB"/>
    <w:rsid w:val="00700536"/>
    <w:rsid w:val="00701700"/>
    <w:rsid w:val="00702929"/>
    <w:rsid w:val="00703036"/>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27949"/>
    <w:rsid w:val="00735734"/>
    <w:rsid w:val="0074079F"/>
    <w:rsid w:val="0074093D"/>
    <w:rsid w:val="00742D56"/>
    <w:rsid w:val="00743087"/>
    <w:rsid w:val="00743090"/>
    <w:rsid w:val="00743192"/>
    <w:rsid w:val="007459D6"/>
    <w:rsid w:val="00746EA9"/>
    <w:rsid w:val="007479A8"/>
    <w:rsid w:val="00750CD6"/>
    <w:rsid w:val="00751BE0"/>
    <w:rsid w:val="00752754"/>
    <w:rsid w:val="007536F2"/>
    <w:rsid w:val="00755935"/>
    <w:rsid w:val="00755D87"/>
    <w:rsid w:val="00756F30"/>
    <w:rsid w:val="007602E4"/>
    <w:rsid w:val="00760B23"/>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06208"/>
    <w:rsid w:val="008129CC"/>
    <w:rsid w:val="00812A28"/>
    <w:rsid w:val="0081457D"/>
    <w:rsid w:val="00814C9B"/>
    <w:rsid w:val="00816A1C"/>
    <w:rsid w:val="00816A92"/>
    <w:rsid w:val="00816AA2"/>
    <w:rsid w:val="00816B48"/>
    <w:rsid w:val="00817A8D"/>
    <w:rsid w:val="0082048C"/>
    <w:rsid w:val="00822EAF"/>
    <w:rsid w:val="008235AC"/>
    <w:rsid w:val="008254DE"/>
    <w:rsid w:val="00827DFF"/>
    <w:rsid w:val="008309C1"/>
    <w:rsid w:val="00830BEA"/>
    <w:rsid w:val="00831D4F"/>
    <w:rsid w:val="00833C4C"/>
    <w:rsid w:val="008346DD"/>
    <w:rsid w:val="00834A73"/>
    <w:rsid w:val="00834C8F"/>
    <w:rsid w:val="0083514F"/>
    <w:rsid w:val="00835E81"/>
    <w:rsid w:val="008376A2"/>
    <w:rsid w:val="00840944"/>
    <w:rsid w:val="0084192D"/>
    <w:rsid w:val="00841CE3"/>
    <w:rsid w:val="008433EF"/>
    <w:rsid w:val="00844BBE"/>
    <w:rsid w:val="00844E11"/>
    <w:rsid w:val="00845411"/>
    <w:rsid w:val="00847B4E"/>
    <w:rsid w:val="00851218"/>
    <w:rsid w:val="00853613"/>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49EE"/>
    <w:rsid w:val="00877FF1"/>
    <w:rsid w:val="0088123E"/>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24B"/>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1741D"/>
    <w:rsid w:val="009205AB"/>
    <w:rsid w:val="00921464"/>
    <w:rsid w:val="00921C49"/>
    <w:rsid w:val="009226E4"/>
    <w:rsid w:val="00922A72"/>
    <w:rsid w:val="0092339E"/>
    <w:rsid w:val="00924F99"/>
    <w:rsid w:val="00930A07"/>
    <w:rsid w:val="00931ADE"/>
    <w:rsid w:val="0093359B"/>
    <w:rsid w:val="009336EE"/>
    <w:rsid w:val="00933789"/>
    <w:rsid w:val="009339B8"/>
    <w:rsid w:val="00936CE4"/>
    <w:rsid w:val="0093727F"/>
    <w:rsid w:val="00937872"/>
    <w:rsid w:val="00937FE9"/>
    <w:rsid w:val="00940045"/>
    <w:rsid w:val="00941778"/>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D7F"/>
    <w:rsid w:val="009663C4"/>
    <w:rsid w:val="009705ED"/>
    <w:rsid w:val="00970F4E"/>
    <w:rsid w:val="009730DB"/>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B022C"/>
    <w:rsid w:val="009B0ECC"/>
    <w:rsid w:val="009B15E5"/>
    <w:rsid w:val="009B1BAB"/>
    <w:rsid w:val="009B35FA"/>
    <w:rsid w:val="009B63B4"/>
    <w:rsid w:val="009B7C4A"/>
    <w:rsid w:val="009C05A1"/>
    <w:rsid w:val="009C0FED"/>
    <w:rsid w:val="009C23E8"/>
    <w:rsid w:val="009C2A3D"/>
    <w:rsid w:val="009C32F6"/>
    <w:rsid w:val="009C33AC"/>
    <w:rsid w:val="009C35EA"/>
    <w:rsid w:val="009C4EFE"/>
    <w:rsid w:val="009C5303"/>
    <w:rsid w:val="009C72D7"/>
    <w:rsid w:val="009D004D"/>
    <w:rsid w:val="009D12FE"/>
    <w:rsid w:val="009D1EFC"/>
    <w:rsid w:val="009D37CA"/>
    <w:rsid w:val="009D4468"/>
    <w:rsid w:val="009D783D"/>
    <w:rsid w:val="009E295C"/>
    <w:rsid w:val="009E5D63"/>
    <w:rsid w:val="009E6021"/>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350B"/>
    <w:rsid w:val="00A04CC7"/>
    <w:rsid w:val="00A06FEB"/>
    <w:rsid w:val="00A0710C"/>
    <w:rsid w:val="00A07499"/>
    <w:rsid w:val="00A101A9"/>
    <w:rsid w:val="00A1133D"/>
    <w:rsid w:val="00A12A7B"/>
    <w:rsid w:val="00A1368E"/>
    <w:rsid w:val="00A13A43"/>
    <w:rsid w:val="00A13A91"/>
    <w:rsid w:val="00A14653"/>
    <w:rsid w:val="00A15678"/>
    <w:rsid w:val="00A15B36"/>
    <w:rsid w:val="00A15C39"/>
    <w:rsid w:val="00A16FFC"/>
    <w:rsid w:val="00A21690"/>
    <w:rsid w:val="00A231D3"/>
    <w:rsid w:val="00A23290"/>
    <w:rsid w:val="00A24612"/>
    <w:rsid w:val="00A2510B"/>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D4C"/>
    <w:rsid w:val="00A56E2C"/>
    <w:rsid w:val="00A57017"/>
    <w:rsid w:val="00A5779B"/>
    <w:rsid w:val="00A606F5"/>
    <w:rsid w:val="00A60E8E"/>
    <w:rsid w:val="00A61234"/>
    <w:rsid w:val="00A6142D"/>
    <w:rsid w:val="00A636B8"/>
    <w:rsid w:val="00A63BEC"/>
    <w:rsid w:val="00A64CCE"/>
    <w:rsid w:val="00A64D4F"/>
    <w:rsid w:val="00A650AF"/>
    <w:rsid w:val="00A6537D"/>
    <w:rsid w:val="00A661F8"/>
    <w:rsid w:val="00A66A0C"/>
    <w:rsid w:val="00A706F1"/>
    <w:rsid w:val="00A711B9"/>
    <w:rsid w:val="00A7151A"/>
    <w:rsid w:val="00A727D6"/>
    <w:rsid w:val="00A7381E"/>
    <w:rsid w:val="00A73AEA"/>
    <w:rsid w:val="00A74ACA"/>
    <w:rsid w:val="00A76331"/>
    <w:rsid w:val="00A76453"/>
    <w:rsid w:val="00A81F11"/>
    <w:rsid w:val="00A8444B"/>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E799F"/>
    <w:rsid w:val="00AF06F1"/>
    <w:rsid w:val="00AF28F9"/>
    <w:rsid w:val="00AF2D4A"/>
    <w:rsid w:val="00AF36D9"/>
    <w:rsid w:val="00AF7AC3"/>
    <w:rsid w:val="00AF7B97"/>
    <w:rsid w:val="00B02987"/>
    <w:rsid w:val="00B04882"/>
    <w:rsid w:val="00B06223"/>
    <w:rsid w:val="00B07E88"/>
    <w:rsid w:val="00B101CA"/>
    <w:rsid w:val="00B16128"/>
    <w:rsid w:val="00B1719E"/>
    <w:rsid w:val="00B17B3C"/>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A78"/>
    <w:rsid w:val="00B92F89"/>
    <w:rsid w:val="00B9371E"/>
    <w:rsid w:val="00B948BA"/>
    <w:rsid w:val="00B9557C"/>
    <w:rsid w:val="00B95D9A"/>
    <w:rsid w:val="00B977EB"/>
    <w:rsid w:val="00BA0C47"/>
    <w:rsid w:val="00BA13C3"/>
    <w:rsid w:val="00BA1743"/>
    <w:rsid w:val="00BA311C"/>
    <w:rsid w:val="00BA3209"/>
    <w:rsid w:val="00BA398B"/>
    <w:rsid w:val="00BA3AA0"/>
    <w:rsid w:val="00BA4449"/>
    <w:rsid w:val="00BB0809"/>
    <w:rsid w:val="00BB2F88"/>
    <w:rsid w:val="00BB343F"/>
    <w:rsid w:val="00BB40A5"/>
    <w:rsid w:val="00BB43CC"/>
    <w:rsid w:val="00BC1EA7"/>
    <w:rsid w:val="00BC276D"/>
    <w:rsid w:val="00BC33C2"/>
    <w:rsid w:val="00BC4A5F"/>
    <w:rsid w:val="00BC50FC"/>
    <w:rsid w:val="00BC5DCD"/>
    <w:rsid w:val="00BC7FB1"/>
    <w:rsid w:val="00BD00F1"/>
    <w:rsid w:val="00BD0D6F"/>
    <w:rsid w:val="00BD2A05"/>
    <w:rsid w:val="00BD4D8A"/>
    <w:rsid w:val="00BD6828"/>
    <w:rsid w:val="00BE10EB"/>
    <w:rsid w:val="00BE2402"/>
    <w:rsid w:val="00BE2EB8"/>
    <w:rsid w:val="00BE2F25"/>
    <w:rsid w:val="00BE391B"/>
    <w:rsid w:val="00BE4B9A"/>
    <w:rsid w:val="00BE519E"/>
    <w:rsid w:val="00BE52CE"/>
    <w:rsid w:val="00BE61AD"/>
    <w:rsid w:val="00BE71D1"/>
    <w:rsid w:val="00BE751F"/>
    <w:rsid w:val="00BF3604"/>
    <w:rsid w:val="00BF3A11"/>
    <w:rsid w:val="00BF3A84"/>
    <w:rsid w:val="00BF5D15"/>
    <w:rsid w:val="00BF6542"/>
    <w:rsid w:val="00C0183C"/>
    <w:rsid w:val="00C04842"/>
    <w:rsid w:val="00C04E22"/>
    <w:rsid w:val="00C06A7E"/>
    <w:rsid w:val="00C07462"/>
    <w:rsid w:val="00C11F64"/>
    <w:rsid w:val="00C12514"/>
    <w:rsid w:val="00C1295F"/>
    <w:rsid w:val="00C12C7B"/>
    <w:rsid w:val="00C135E4"/>
    <w:rsid w:val="00C14027"/>
    <w:rsid w:val="00C1696C"/>
    <w:rsid w:val="00C172B3"/>
    <w:rsid w:val="00C231C6"/>
    <w:rsid w:val="00C2338E"/>
    <w:rsid w:val="00C2587B"/>
    <w:rsid w:val="00C259B7"/>
    <w:rsid w:val="00C25D90"/>
    <w:rsid w:val="00C26D08"/>
    <w:rsid w:val="00C26EBD"/>
    <w:rsid w:val="00C274D3"/>
    <w:rsid w:val="00C275E8"/>
    <w:rsid w:val="00C27B68"/>
    <w:rsid w:val="00C30070"/>
    <w:rsid w:val="00C308C1"/>
    <w:rsid w:val="00C31554"/>
    <w:rsid w:val="00C3168D"/>
    <w:rsid w:val="00C322F6"/>
    <w:rsid w:val="00C32865"/>
    <w:rsid w:val="00C32F8C"/>
    <w:rsid w:val="00C33877"/>
    <w:rsid w:val="00C338B8"/>
    <w:rsid w:val="00C340AC"/>
    <w:rsid w:val="00C43ED0"/>
    <w:rsid w:val="00C456B5"/>
    <w:rsid w:val="00C468B2"/>
    <w:rsid w:val="00C46DC0"/>
    <w:rsid w:val="00C50006"/>
    <w:rsid w:val="00C5090D"/>
    <w:rsid w:val="00C517EF"/>
    <w:rsid w:val="00C54AE8"/>
    <w:rsid w:val="00C56A24"/>
    <w:rsid w:val="00C5732C"/>
    <w:rsid w:val="00C57BCD"/>
    <w:rsid w:val="00C57D5B"/>
    <w:rsid w:val="00C60055"/>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5659"/>
    <w:rsid w:val="00CB60E1"/>
    <w:rsid w:val="00CB6521"/>
    <w:rsid w:val="00CB6CDB"/>
    <w:rsid w:val="00CC2F77"/>
    <w:rsid w:val="00CC5011"/>
    <w:rsid w:val="00CC6B16"/>
    <w:rsid w:val="00CD0573"/>
    <w:rsid w:val="00CD0E32"/>
    <w:rsid w:val="00CD14A4"/>
    <w:rsid w:val="00CD18ED"/>
    <w:rsid w:val="00CD19C2"/>
    <w:rsid w:val="00CD1F10"/>
    <w:rsid w:val="00CD256C"/>
    <w:rsid w:val="00CD343C"/>
    <w:rsid w:val="00CD580F"/>
    <w:rsid w:val="00CD704F"/>
    <w:rsid w:val="00CE0D0D"/>
    <w:rsid w:val="00CE10E9"/>
    <w:rsid w:val="00CE1F99"/>
    <w:rsid w:val="00CE2288"/>
    <w:rsid w:val="00CE4F08"/>
    <w:rsid w:val="00CE564C"/>
    <w:rsid w:val="00CE5CDB"/>
    <w:rsid w:val="00CF1011"/>
    <w:rsid w:val="00CF48E2"/>
    <w:rsid w:val="00CF4B03"/>
    <w:rsid w:val="00CF53D7"/>
    <w:rsid w:val="00CF5D55"/>
    <w:rsid w:val="00D004BD"/>
    <w:rsid w:val="00D0106C"/>
    <w:rsid w:val="00D025C8"/>
    <w:rsid w:val="00D048D9"/>
    <w:rsid w:val="00D121ED"/>
    <w:rsid w:val="00D1304D"/>
    <w:rsid w:val="00D140E0"/>
    <w:rsid w:val="00D1421B"/>
    <w:rsid w:val="00D149BE"/>
    <w:rsid w:val="00D16F5E"/>
    <w:rsid w:val="00D21286"/>
    <w:rsid w:val="00D22136"/>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448B"/>
    <w:rsid w:val="00D556D3"/>
    <w:rsid w:val="00D55A99"/>
    <w:rsid w:val="00D6043C"/>
    <w:rsid w:val="00D612ED"/>
    <w:rsid w:val="00D61FB2"/>
    <w:rsid w:val="00D63239"/>
    <w:rsid w:val="00D63B77"/>
    <w:rsid w:val="00D63D1E"/>
    <w:rsid w:val="00D67734"/>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318F"/>
    <w:rsid w:val="00DB4B9A"/>
    <w:rsid w:val="00DC1732"/>
    <w:rsid w:val="00DC401B"/>
    <w:rsid w:val="00DC4654"/>
    <w:rsid w:val="00DC5476"/>
    <w:rsid w:val="00DD3BE4"/>
    <w:rsid w:val="00DD512F"/>
    <w:rsid w:val="00DD5BBE"/>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6C6"/>
    <w:rsid w:val="00E27C7D"/>
    <w:rsid w:val="00E337B0"/>
    <w:rsid w:val="00E367D3"/>
    <w:rsid w:val="00E40166"/>
    <w:rsid w:val="00E445E4"/>
    <w:rsid w:val="00E459A9"/>
    <w:rsid w:val="00E45D24"/>
    <w:rsid w:val="00E467EE"/>
    <w:rsid w:val="00E4737E"/>
    <w:rsid w:val="00E47B62"/>
    <w:rsid w:val="00E504FB"/>
    <w:rsid w:val="00E52A43"/>
    <w:rsid w:val="00E55EF9"/>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07BF"/>
    <w:rsid w:val="00EC2173"/>
    <w:rsid w:val="00EC23CC"/>
    <w:rsid w:val="00EC40BB"/>
    <w:rsid w:val="00EC4732"/>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358"/>
    <w:rsid w:val="00F20594"/>
    <w:rsid w:val="00F20B84"/>
    <w:rsid w:val="00F243A3"/>
    <w:rsid w:val="00F24DB6"/>
    <w:rsid w:val="00F25DE8"/>
    <w:rsid w:val="00F262FE"/>
    <w:rsid w:val="00F27853"/>
    <w:rsid w:val="00F34438"/>
    <w:rsid w:val="00F34612"/>
    <w:rsid w:val="00F37391"/>
    <w:rsid w:val="00F4145C"/>
    <w:rsid w:val="00F43062"/>
    <w:rsid w:val="00F430A8"/>
    <w:rsid w:val="00F441DD"/>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0CC7"/>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7D02"/>
    <w:rsid w:val="00FE0A1C"/>
    <w:rsid w:val="00FE1742"/>
    <w:rsid w:val="00FE4C7E"/>
    <w:rsid w:val="00FE669C"/>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C07863"/>
    <w:rsid w:val="13F13588"/>
    <w:rsid w:val="15EE60AA"/>
    <w:rsid w:val="1A174205"/>
    <w:rsid w:val="1C421CEE"/>
    <w:rsid w:val="1E7354F5"/>
    <w:rsid w:val="20CA2053"/>
    <w:rsid w:val="215678E9"/>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9745F39"/>
    <w:rsid w:val="3D3C085F"/>
    <w:rsid w:val="3DF43CB0"/>
    <w:rsid w:val="3E8A5678"/>
    <w:rsid w:val="3F654A5D"/>
    <w:rsid w:val="426C4F0E"/>
    <w:rsid w:val="431C567C"/>
    <w:rsid w:val="44B63F1A"/>
    <w:rsid w:val="451654F4"/>
    <w:rsid w:val="48810F87"/>
    <w:rsid w:val="4A5B3B64"/>
    <w:rsid w:val="4AC01A61"/>
    <w:rsid w:val="4B42452F"/>
    <w:rsid w:val="4B820183"/>
    <w:rsid w:val="4B88547A"/>
    <w:rsid w:val="4BC01C90"/>
    <w:rsid w:val="4E1A1FF3"/>
    <w:rsid w:val="4F576EB4"/>
    <w:rsid w:val="50CF1F2E"/>
    <w:rsid w:val="51E031B4"/>
    <w:rsid w:val="531A4FAA"/>
    <w:rsid w:val="535C05BC"/>
    <w:rsid w:val="541B05CB"/>
    <w:rsid w:val="54A46742"/>
    <w:rsid w:val="56BD1493"/>
    <w:rsid w:val="5AE76118"/>
    <w:rsid w:val="5B197DCD"/>
    <w:rsid w:val="5BCE7D78"/>
    <w:rsid w:val="5C3A5466"/>
    <w:rsid w:val="5CE14FED"/>
    <w:rsid w:val="5DC51364"/>
    <w:rsid w:val="6014409A"/>
    <w:rsid w:val="621A06A3"/>
    <w:rsid w:val="649C1615"/>
    <w:rsid w:val="64B32B11"/>
    <w:rsid w:val="65962F5E"/>
    <w:rsid w:val="65A70431"/>
    <w:rsid w:val="65D84CB5"/>
    <w:rsid w:val="6646797E"/>
    <w:rsid w:val="665520F7"/>
    <w:rsid w:val="679805F2"/>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widowControl/>
      <w:spacing w:before="480" w:line="276" w:lineRule="auto"/>
      <w:jc w:val="left"/>
      <w:outlineLvl w:val="0"/>
    </w:pPr>
    <w:rPr>
      <w:rFonts w:ascii="Cambria" w:hAnsi="Cambria"/>
      <w:b/>
      <w:bCs/>
      <w:color w:val="21798E"/>
      <w:kern w:val="0"/>
      <w:sz w:val="28"/>
      <w:szCs w:val="28"/>
    </w:rPr>
  </w:style>
  <w:style w:type="paragraph" w:styleId="3">
    <w:name w:val="heading 2"/>
    <w:basedOn w:val="1"/>
    <w:next w:val="1"/>
    <w:link w:val="27"/>
    <w:semiHidden/>
    <w:unhideWhenUsed/>
    <w:qFormat/>
    <w:uiPriority w:val="9"/>
    <w:pPr>
      <w:keepNext/>
      <w:keepLines/>
      <w:widowControl/>
      <w:spacing w:before="200" w:line="276" w:lineRule="auto"/>
      <w:jc w:val="left"/>
      <w:outlineLvl w:val="1"/>
    </w:pPr>
    <w:rPr>
      <w:rFonts w:ascii="Cambria" w:hAnsi="Cambria"/>
      <w:b/>
      <w:bCs/>
      <w:color w:val="2DA2BF"/>
      <w:kern w:val="0"/>
      <w:sz w:val="26"/>
      <w:szCs w:val="26"/>
    </w:rPr>
  </w:style>
  <w:style w:type="paragraph" w:styleId="4">
    <w:name w:val="heading 3"/>
    <w:basedOn w:val="1"/>
    <w:next w:val="1"/>
    <w:link w:val="28"/>
    <w:semiHidden/>
    <w:unhideWhenUsed/>
    <w:qFormat/>
    <w:uiPriority w:val="9"/>
    <w:pPr>
      <w:keepNext/>
      <w:keepLines/>
      <w:widowControl/>
      <w:spacing w:before="200" w:line="276" w:lineRule="auto"/>
      <w:jc w:val="left"/>
      <w:outlineLvl w:val="2"/>
    </w:pPr>
    <w:rPr>
      <w:rFonts w:ascii="Cambria" w:hAnsi="Cambria"/>
      <w:b/>
      <w:bCs/>
      <w:color w:val="2DA2BF"/>
      <w:kern w:val="0"/>
      <w:sz w:val="22"/>
      <w:szCs w:val="22"/>
    </w:rPr>
  </w:style>
  <w:style w:type="paragraph" w:styleId="5">
    <w:name w:val="heading 4"/>
    <w:basedOn w:val="1"/>
    <w:next w:val="1"/>
    <w:link w:val="29"/>
    <w:semiHidden/>
    <w:unhideWhenUsed/>
    <w:qFormat/>
    <w:uiPriority w:val="9"/>
    <w:pPr>
      <w:keepNext/>
      <w:keepLines/>
      <w:widowControl/>
      <w:spacing w:before="200" w:line="276" w:lineRule="auto"/>
      <w:jc w:val="left"/>
      <w:outlineLvl w:val="3"/>
    </w:pPr>
    <w:rPr>
      <w:rFonts w:ascii="Cambria" w:hAnsi="Cambria"/>
      <w:b/>
      <w:bCs/>
      <w:i/>
      <w:iCs/>
      <w:color w:val="2DA2BF"/>
      <w:kern w:val="0"/>
      <w:sz w:val="22"/>
      <w:szCs w:val="22"/>
    </w:rPr>
  </w:style>
  <w:style w:type="paragraph" w:styleId="6">
    <w:name w:val="heading 5"/>
    <w:basedOn w:val="1"/>
    <w:next w:val="1"/>
    <w:link w:val="30"/>
    <w:semiHidden/>
    <w:unhideWhenUsed/>
    <w:qFormat/>
    <w:uiPriority w:val="9"/>
    <w:pPr>
      <w:keepNext/>
      <w:keepLines/>
      <w:widowControl/>
      <w:spacing w:before="200" w:line="276" w:lineRule="auto"/>
      <w:jc w:val="left"/>
      <w:outlineLvl w:val="4"/>
    </w:pPr>
    <w:rPr>
      <w:rFonts w:ascii="Cambria" w:hAnsi="Cambria"/>
      <w:color w:val="16505E"/>
      <w:kern w:val="0"/>
      <w:sz w:val="22"/>
      <w:szCs w:val="22"/>
    </w:rPr>
  </w:style>
  <w:style w:type="paragraph" w:styleId="7">
    <w:name w:val="heading 6"/>
    <w:basedOn w:val="1"/>
    <w:next w:val="1"/>
    <w:link w:val="31"/>
    <w:semiHidden/>
    <w:unhideWhenUsed/>
    <w:qFormat/>
    <w:uiPriority w:val="9"/>
    <w:pPr>
      <w:keepNext/>
      <w:keepLines/>
      <w:widowControl/>
      <w:spacing w:before="200" w:line="276" w:lineRule="auto"/>
      <w:jc w:val="left"/>
      <w:outlineLvl w:val="5"/>
    </w:pPr>
    <w:rPr>
      <w:rFonts w:ascii="Cambria" w:hAnsi="Cambria"/>
      <w:i/>
      <w:iCs/>
      <w:color w:val="16505E"/>
      <w:kern w:val="0"/>
      <w:sz w:val="22"/>
      <w:szCs w:val="22"/>
    </w:rPr>
  </w:style>
  <w:style w:type="paragraph" w:styleId="8">
    <w:name w:val="heading 7"/>
    <w:basedOn w:val="1"/>
    <w:next w:val="1"/>
    <w:link w:val="32"/>
    <w:semiHidden/>
    <w:unhideWhenUsed/>
    <w:qFormat/>
    <w:uiPriority w:val="9"/>
    <w:pPr>
      <w:keepNext/>
      <w:keepLines/>
      <w:widowControl/>
      <w:spacing w:before="200" w:line="276" w:lineRule="auto"/>
      <w:jc w:val="left"/>
      <w:outlineLvl w:val="6"/>
    </w:pPr>
    <w:rPr>
      <w:rFonts w:ascii="Cambria" w:hAnsi="Cambria"/>
      <w:i/>
      <w:iCs/>
      <w:color w:val="404040"/>
      <w:kern w:val="0"/>
      <w:sz w:val="22"/>
      <w:szCs w:val="22"/>
    </w:rPr>
  </w:style>
  <w:style w:type="paragraph" w:styleId="9">
    <w:name w:val="heading 8"/>
    <w:basedOn w:val="1"/>
    <w:next w:val="1"/>
    <w:link w:val="33"/>
    <w:semiHidden/>
    <w:unhideWhenUsed/>
    <w:qFormat/>
    <w:uiPriority w:val="9"/>
    <w:pPr>
      <w:keepNext/>
      <w:keepLines/>
      <w:widowControl/>
      <w:spacing w:before="200" w:line="276" w:lineRule="auto"/>
      <w:jc w:val="left"/>
      <w:outlineLvl w:val="7"/>
    </w:pPr>
    <w:rPr>
      <w:rFonts w:ascii="Cambria" w:hAnsi="Cambria"/>
      <w:color w:val="2DA2BF"/>
      <w:kern w:val="0"/>
      <w:sz w:val="20"/>
    </w:rPr>
  </w:style>
  <w:style w:type="paragraph" w:styleId="10">
    <w:name w:val="heading 9"/>
    <w:basedOn w:val="1"/>
    <w:next w:val="1"/>
    <w:link w:val="34"/>
    <w:semiHidden/>
    <w:unhideWhenUsed/>
    <w:qFormat/>
    <w:uiPriority w:val="9"/>
    <w:pPr>
      <w:keepNext/>
      <w:keepLines/>
      <w:widowControl/>
      <w:spacing w:before="200" w:line="276" w:lineRule="auto"/>
      <w:jc w:val="left"/>
      <w:outlineLvl w:val="8"/>
    </w:pPr>
    <w:rPr>
      <w:rFonts w:ascii="Cambria" w:hAnsi="Cambria"/>
      <w:i/>
      <w:iCs/>
      <w:color w:val="404040"/>
      <w:kern w:val="0"/>
      <w:sz w:val="20"/>
    </w:rPr>
  </w:style>
  <w:style w:type="character" w:default="1" w:styleId="21">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widowControl/>
      <w:spacing w:after="200"/>
      <w:jc w:val="left"/>
    </w:pPr>
    <w:rPr>
      <w:rFonts w:asciiTheme="minorHAnsi" w:hAnsiTheme="minorHAnsi" w:eastAsiaTheme="minorEastAsia" w:cstheme="minorBidi"/>
      <w:b/>
      <w:bCs/>
      <w:color w:val="2DA2BF"/>
      <w:kern w:val="0"/>
      <w:sz w:val="18"/>
      <w:szCs w:val="18"/>
    </w:rPr>
  </w:style>
  <w:style w:type="paragraph" w:styleId="12">
    <w:name w:val="annotation text"/>
    <w:basedOn w:val="1"/>
    <w:link w:val="51"/>
    <w:semiHidden/>
    <w:unhideWhenUsed/>
    <w:qFormat/>
    <w:uiPriority w:val="99"/>
    <w:pPr>
      <w:jc w:val="left"/>
    </w:pPr>
  </w:style>
  <w:style w:type="paragraph" w:styleId="13">
    <w:name w:val="Balloon Text"/>
    <w:basedOn w:val="1"/>
    <w:link w:val="53"/>
    <w:semiHidden/>
    <w:unhideWhenUsed/>
    <w:qFormat/>
    <w:uiPriority w:val="99"/>
    <w:rPr>
      <w:sz w:val="18"/>
      <w:szCs w:val="18"/>
    </w:rPr>
  </w:style>
  <w:style w:type="paragraph" w:styleId="14">
    <w:name w:val="footer"/>
    <w:basedOn w:val="1"/>
    <w:link w:val="50"/>
    <w:unhideWhenUsed/>
    <w:qFormat/>
    <w:uiPriority w:val="99"/>
    <w:pPr>
      <w:tabs>
        <w:tab w:val="center" w:pos="4153"/>
        <w:tab w:val="right" w:pos="8306"/>
      </w:tabs>
      <w:snapToGrid w:val="0"/>
      <w:jc w:val="left"/>
    </w:pPr>
    <w:rPr>
      <w:sz w:val="18"/>
      <w:szCs w:val="18"/>
    </w:rPr>
  </w:style>
  <w:style w:type="paragraph" w:styleId="15">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6"/>
    <w:qFormat/>
    <w:uiPriority w:val="11"/>
    <w:pPr>
      <w:widowControl/>
      <w:spacing w:after="200" w:line="276" w:lineRule="auto"/>
      <w:jc w:val="left"/>
    </w:pPr>
    <w:rPr>
      <w:rFonts w:ascii="Cambria" w:hAnsi="Cambria"/>
      <w:i/>
      <w:iCs/>
      <w:color w:val="2DA2BF"/>
      <w:spacing w:val="15"/>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5"/>
    <w:qFormat/>
    <w:uiPriority w:val="10"/>
    <w:pPr>
      <w:widowControl/>
      <w:pBdr>
        <w:bottom w:val="single" w:color="2DA2BF" w:sz="8" w:space="4"/>
      </w:pBdr>
      <w:spacing w:after="300"/>
      <w:contextualSpacing/>
      <w:jc w:val="left"/>
    </w:pPr>
    <w:rPr>
      <w:rFonts w:ascii="Cambria" w:hAnsi="Cambria"/>
      <w:color w:val="343434"/>
      <w:spacing w:val="5"/>
      <w:kern w:val="28"/>
      <w:sz w:val="52"/>
      <w:szCs w:val="52"/>
    </w:rPr>
  </w:style>
  <w:style w:type="paragraph" w:styleId="19">
    <w:name w:val="annotation subject"/>
    <w:basedOn w:val="12"/>
    <w:next w:val="12"/>
    <w:link w:val="52"/>
    <w:semiHidden/>
    <w:unhideWhenUsed/>
    <w:qFormat/>
    <w:uiPriority w:val="99"/>
    <w:rPr>
      <w:b/>
      <w:bCs/>
    </w:rPr>
  </w:style>
  <w:style w:type="character" w:styleId="22">
    <w:name w:val="Strong"/>
    <w:qFormat/>
    <w:uiPriority w:val="22"/>
    <w:rPr>
      <w:b/>
      <w:bCs/>
    </w:rPr>
  </w:style>
  <w:style w:type="character" w:styleId="23">
    <w:name w:val="Emphasis"/>
    <w:qFormat/>
    <w:uiPriority w:val="20"/>
    <w:rPr>
      <w:i/>
      <w:iCs/>
    </w:rPr>
  </w:style>
  <w:style w:type="character" w:styleId="24">
    <w:name w:val="Hyperlink"/>
    <w:basedOn w:val="21"/>
    <w:semiHidden/>
    <w:unhideWhenUsed/>
    <w:qFormat/>
    <w:uiPriority w:val="99"/>
    <w:rPr>
      <w:color w:val="0000FF"/>
      <w:u w:val="single"/>
    </w:rPr>
  </w:style>
  <w:style w:type="character" w:styleId="25">
    <w:name w:val="annotation reference"/>
    <w:basedOn w:val="21"/>
    <w:semiHidden/>
    <w:unhideWhenUsed/>
    <w:qFormat/>
    <w:uiPriority w:val="99"/>
    <w:rPr>
      <w:sz w:val="21"/>
      <w:szCs w:val="21"/>
    </w:rPr>
  </w:style>
  <w:style w:type="character" w:customStyle="1" w:styleId="26">
    <w:name w:val="标题 1 字符"/>
    <w:link w:val="2"/>
    <w:qFormat/>
    <w:uiPriority w:val="9"/>
    <w:rPr>
      <w:rFonts w:ascii="Cambria" w:hAnsi="Cambria" w:eastAsia="宋体" w:cs="Times New Roman"/>
      <w:b/>
      <w:bCs/>
      <w:color w:val="21798E"/>
      <w:sz w:val="28"/>
      <w:szCs w:val="28"/>
    </w:rPr>
  </w:style>
  <w:style w:type="character" w:customStyle="1" w:styleId="27">
    <w:name w:val="标题 2 字符"/>
    <w:link w:val="3"/>
    <w:semiHidden/>
    <w:qFormat/>
    <w:uiPriority w:val="9"/>
    <w:rPr>
      <w:rFonts w:ascii="Cambria" w:hAnsi="Cambria" w:eastAsia="宋体" w:cs="Times New Roman"/>
      <w:b/>
      <w:bCs/>
      <w:color w:val="2DA2BF"/>
      <w:sz w:val="26"/>
      <w:szCs w:val="26"/>
    </w:rPr>
  </w:style>
  <w:style w:type="character" w:customStyle="1" w:styleId="28">
    <w:name w:val="标题 3 字符"/>
    <w:link w:val="4"/>
    <w:semiHidden/>
    <w:qFormat/>
    <w:uiPriority w:val="9"/>
    <w:rPr>
      <w:rFonts w:ascii="Cambria" w:hAnsi="Cambria" w:eastAsia="宋体" w:cs="Times New Roman"/>
      <w:b/>
      <w:bCs/>
      <w:color w:val="2DA2BF"/>
    </w:rPr>
  </w:style>
  <w:style w:type="character" w:customStyle="1" w:styleId="29">
    <w:name w:val="标题 4 字符"/>
    <w:link w:val="5"/>
    <w:semiHidden/>
    <w:qFormat/>
    <w:uiPriority w:val="9"/>
    <w:rPr>
      <w:rFonts w:ascii="Cambria" w:hAnsi="Cambria" w:eastAsia="宋体" w:cs="Times New Roman"/>
      <w:b/>
      <w:bCs/>
      <w:i/>
      <w:iCs/>
      <w:color w:val="2DA2BF"/>
    </w:rPr>
  </w:style>
  <w:style w:type="character" w:customStyle="1" w:styleId="30">
    <w:name w:val="标题 5 字符"/>
    <w:link w:val="6"/>
    <w:semiHidden/>
    <w:qFormat/>
    <w:uiPriority w:val="9"/>
    <w:rPr>
      <w:rFonts w:ascii="Cambria" w:hAnsi="Cambria" w:eastAsia="宋体" w:cs="Times New Roman"/>
      <w:color w:val="16505E"/>
    </w:rPr>
  </w:style>
  <w:style w:type="character" w:customStyle="1" w:styleId="31">
    <w:name w:val="标题 6 字符"/>
    <w:link w:val="7"/>
    <w:semiHidden/>
    <w:qFormat/>
    <w:uiPriority w:val="9"/>
    <w:rPr>
      <w:rFonts w:ascii="Cambria" w:hAnsi="Cambria" w:eastAsia="宋体" w:cs="Times New Roman"/>
      <w:i/>
      <w:iCs/>
      <w:color w:val="16505E"/>
    </w:rPr>
  </w:style>
  <w:style w:type="character" w:customStyle="1" w:styleId="32">
    <w:name w:val="标题 7 字符"/>
    <w:link w:val="8"/>
    <w:semiHidden/>
    <w:qFormat/>
    <w:uiPriority w:val="9"/>
    <w:rPr>
      <w:rFonts w:ascii="Cambria" w:hAnsi="Cambria" w:eastAsia="宋体" w:cs="Times New Roman"/>
      <w:i/>
      <w:iCs/>
      <w:color w:val="404040"/>
    </w:rPr>
  </w:style>
  <w:style w:type="character" w:customStyle="1" w:styleId="33">
    <w:name w:val="标题 8 字符"/>
    <w:link w:val="9"/>
    <w:semiHidden/>
    <w:qFormat/>
    <w:uiPriority w:val="9"/>
    <w:rPr>
      <w:rFonts w:ascii="Cambria" w:hAnsi="Cambria" w:eastAsia="宋体" w:cs="Times New Roman"/>
      <w:color w:val="2DA2BF"/>
      <w:sz w:val="20"/>
      <w:szCs w:val="20"/>
    </w:rPr>
  </w:style>
  <w:style w:type="character" w:customStyle="1" w:styleId="34">
    <w:name w:val="标题 9 字符"/>
    <w:link w:val="10"/>
    <w:semiHidden/>
    <w:qFormat/>
    <w:uiPriority w:val="9"/>
    <w:rPr>
      <w:rFonts w:ascii="Cambria" w:hAnsi="Cambria" w:eastAsia="宋体" w:cs="Times New Roman"/>
      <w:i/>
      <w:iCs/>
      <w:color w:val="404040"/>
      <w:sz w:val="20"/>
      <w:szCs w:val="20"/>
    </w:rPr>
  </w:style>
  <w:style w:type="character" w:customStyle="1" w:styleId="35">
    <w:name w:val="标题 字符"/>
    <w:link w:val="18"/>
    <w:qFormat/>
    <w:uiPriority w:val="10"/>
    <w:rPr>
      <w:rFonts w:ascii="Cambria" w:hAnsi="Cambria" w:eastAsia="宋体" w:cs="Times New Roman"/>
      <w:color w:val="343434"/>
      <w:spacing w:val="5"/>
      <w:kern w:val="28"/>
      <w:sz w:val="52"/>
      <w:szCs w:val="52"/>
    </w:rPr>
  </w:style>
  <w:style w:type="character" w:customStyle="1" w:styleId="36">
    <w:name w:val="副标题 字符"/>
    <w:link w:val="16"/>
    <w:qFormat/>
    <w:uiPriority w:val="11"/>
    <w:rPr>
      <w:rFonts w:ascii="Cambria" w:hAnsi="Cambria" w:eastAsia="宋体" w:cs="Times New Roman"/>
      <w:i/>
      <w:iCs/>
      <w:color w:val="2DA2BF"/>
      <w:spacing w:val="15"/>
      <w:sz w:val="24"/>
      <w:szCs w:val="24"/>
    </w:rPr>
  </w:style>
  <w:style w:type="paragraph" w:styleId="37">
    <w:name w:val="No Spacing"/>
    <w:qFormat/>
    <w:uiPriority w:val="1"/>
    <w:rPr>
      <w:rFonts w:asciiTheme="minorHAnsi" w:hAnsiTheme="minorHAnsi" w:eastAsiaTheme="minorEastAsia" w:cstheme="minorBidi"/>
      <w:sz w:val="22"/>
      <w:szCs w:val="22"/>
      <w:lang w:val="en-US" w:eastAsia="zh-CN" w:bidi="ar-SA"/>
    </w:rPr>
  </w:style>
  <w:style w:type="paragraph" w:styleId="38">
    <w:name w:val="List Paragraph"/>
    <w:basedOn w:val="1"/>
    <w:qFormat/>
    <w:uiPriority w:val="34"/>
    <w:pPr>
      <w:widowControl/>
      <w:spacing w:after="200" w:line="276" w:lineRule="auto"/>
      <w:ind w:left="720"/>
      <w:contextualSpacing/>
      <w:jc w:val="left"/>
    </w:pPr>
    <w:rPr>
      <w:rFonts w:asciiTheme="minorHAnsi" w:hAnsiTheme="minorHAnsi" w:eastAsiaTheme="minorEastAsia" w:cstheme="minorBidi"/>
      <w:kern w:val="0"/>
      <w:sz w:val="22"/>
      <w:szCs w:val="22"/>
    </w:rPr>
  </w:style>
  <w:style w:type="paragraph" w:styleId="39">
    <w:name w:val="Quote"/>
    <w:basedOn w:val="1"/>
    <w:next w:val="1"/>
    <w:link w:val="40"/>
    <w:qFormat/>
    <w:uiPriority w:val="29"/>
    <w:pPr>
      <w:widowControl/>
      <w:spacing w:after="200" w:line="276" w:lineRule="auto"/>
      <w:jc w:val="left"/>
    </w:pPr>
    <w:rPr>
      <w:rFonts w:asciiTheme="minorHAnsi" w:hAnsiTheme="minorHAnsi" w:eastAsiaTheme="minorEastAsia" w:cstheme="minorBidi"/>
      <w:i/>
      <w:iCs/>
      <w:color w:val="000000"/>
      <w:kern w:val="0"/>
      <w:sz w:val="22"/>
      <w:szCs w:val="22"/>
    </w:rPr>
  </w:style>
  <w:style w:type="character" w:customStyle="1" w:styleId="40">
    <w:name w:val="引用 字符"/>
    <w:link w:val="39"/>
    <w:qFormat/>
    <w:uiPriority w:val="29"/>
    <w:rPr>
      <w:i/>
      <w:iCs/>
      <w:color w:val="000000"/>
    </w:rPr>
  </w:style>
  <w:style w:type="paragraph" w:styleId="41">
    <w:name w:val="Intense Quote"/>
    <w:basedOn w:val="1"/>
    <w:next w:val="1"/>
    <w:link w:val="42"/>
    <w:qFormat/>
    <w:uiPriority w:val="30"/>
    <w:pPr>
      <w:widowControl/>
      <w:pBdr>
        <w:bottom w:val="single" w:color="2DA2BF" w:sz="4" w:space="4"/>
      </w:pBdr>
      <w:spacing w:before="200" w:after="280" w:line="276" w:lineRule="auto"/>
      <w:ind w:left="936" w:right="936"/>
      <w:jc w:val="left"/>
    </w:pPr>
    <w:rPr>
      <w:rFonts w:asciiTheme="minorHAnsi" w:hAnsiTheme="minorHAnsi" w:eastAsiaTheme="minorEastAsia" w:cstheme="minorBidi"/>
      <w:b/>
      <w:bCs/>
      <w:i/>
      <w:iCs/>
      <w:color w:val="2DA2BF"/>
      <w:kern w:val="0"/>
      <w:sz w:val="22"/>
      <w:szCs w:val="22"/>
    </w:rPr>
  </w:style>
  <w:style w:type="character" w:customStyle="1" w:styleId="42">
    <w:name w:val="明显引用 字符"/>
    <w:link w:val="41"/>
    <w:qFormat/>
    <w:uiPriority w:val="30"/>
    <w:rPr>
      <w:b/>
      <w:bCs/>
      <w:i/>
      <w:iCs/>
      <w:color w:val="2DA2BF"/>
    </w:rPr>
  </w:style>
  <w:style w:type="character" w:customStyle="1" w:styleId="43">
    <w:name w:val="不明显强调1"/>
    <w:qFormat/>
    <w:uiPriority w:val="19"/>
    <w:rPr>
      <w:i/>
      <w:iCs/>
      <w:color w:val="808080"/>
    </w:rPr>
  </w:style>
  <w:style w:type="character" w:customStyle="1" w:styleId="44">
    <w:name w:val="明显强调1"/>
    <w:qFormat/>
    <w:uiPriority w:val="21"/>
    <w:rPr>
      <w:b/>
      <w:bCs/>
      <w:i/>
      <w:iCs/>
      <w:color w:val="2DA2BF"/>
    </w:rPr>
  </w:style>
  <w:style w:type="character" w:customStyle="1" w:styleId="45">
    <w:name w:val="不明显参考1"/>
    <w:qFormat/>
    <w:uiPriority w:val="31"/>
    <w:rPr>
      <w:smallCaps/>
      <w:color w:val="DA1F28"/>
      <w:u w:val="single"/>
    </w:rPr>
  </w:style>
  <w:style w:type="character" w:customStyle="1" w:styleId="46">
    <w:name w:val="明显参考1"/>
    <w:qFormat/>
    <w:uiPriority w:val="32"/>
    <w:rPr>
      <w:b/>
      <w:bCs/>
      <w:smallCaps/>
      <w:color w:val="DA1F28"/>
      <w:spacing w:val="5"/>
      <w:u w:val="single"/>
    </w:rPr>
  </w:style>
  <w:style w:type="character" w:customStyle="1" w:styleId="47">
    <w:name w:val="书籍标题1"/>
    <w:qFormat/>
    <w:uiPriority w:val="33"/>
    <w:rPr>
      <w:b/>
      <w:bCs/>
      <w:smallCaps/>
      <w:spacing w:val="5"/>
    </w:rPr>
  </w:style>
  <w:style w:type="paragraph" w:customStyle="1" w:styleId="48">
    <w:name w:val="TOC 标题1"/>
    <w:basedOn w:val="2"/>
    <w:next w:val="1"/>
    <w:semiHidden/>
    <w:unhideWhenUsed/>
    <w:qFormat/>
    <w:uiPriority w:val="39"/>
    <w:pPr>
      <w:outlineLvl w:val="9"/>
    </w:pPr>
  </w:style>
  <w:style w:type="character" w:customStyle="1" w:styleId="49">
    <w:name w:val="页眉 字符"/>
    <w:basedOn w:val="21"/>
    <w:link w:val="15"/>
    <w:qFormat/>
    <w:uiPriority w:val="99"/>
    <w:rPr>
      <w:rFonts w:ascii="Times New Roman" w:hAnsi="Times New Roman" w:eastAsia="宋体" w:cs="Times New Roman"/>
      <w:kern w:val="2"/>
      <w:sz w:val="18"/>
      <w:szCs w:val="18"/>
    </w:rPr>
  </w:style>
  <w:style w:type="character" w:customStyle="1" w:styleId="50">
    <w:name w:val="页脚 字符"/>
    <w:basedOn w:val="21"/>
    <w:link w:val="14"/>
    <w:qFormat/>
    <w:uiPriority w:val="99"/>
    <w:rPr>
      <w:rFonts w:ascii="Times New Roman" w:hAnsi="Times New Roman" w:eastAsia="宋体" w:cs="Times New Roman"/>
      <w:kern w:val="2"/>
      <w:sz w:val="18"/>
      <w:szCs w:val="18"/>
    </w:rPr>
  </w:style>
  <w:style w:type="character" w:customStyle="1" w:styleId="51">
    <w:name w:val="批注文字 字符"/>
    <w:basedOn w:val="21"/>
    <w:link w:val="12"/>
    <w:semiHidden/>
    <w:qFormat/>
    <w:uiPriority w:val="99"/>
    <w:rPr>
      <w:rFonts w:ascii="Times New Roman" w:hAnsi="Times New Roman" w:eastAsia="宋体" w:cs="Times New Roman"/>
      <w:kern w:val="2"/>
      <w:sz w:val="21"/>
      <w:szCs w:val="20"/>
    </w:rPr>
  </w:style>
  <w:style w:type="character" w:customStyle="1" w:styleId="52">
    <w:name w:val="批注主题 字符"/>
    <w:basedOn w:val="51"/>
    <w:link w:val="19"/>
    <w:semiHidden/>
    <w:qFormat/>
    <w:uiPriority w:val="99"/>
    <w:rPr>
      <w:rFonts w:ascii="Times New Roman" w:hAnsi="Times New Roman" w:eastAsia="宋体" w:cs="Times New Roman"/>
      <w:b/>
      <w:bCs/>
      <w:kern w:val="2"/>
      <w:sz w:val="21"/>
      <w:szCs w:val="20"/>
    </w:rPr>
  </w:style>
  <w:style w:type="character" w:customStyle="1" w:styleId="53">
    <w:name w:val="批注框文本 字符"/>
    <w:basedOn w:val="21"/>
    <w:link w:val="13"/>
    <w:semiHidden/>
    <w:qFormat/>
    <w:uiPriority w:val="99"/>
    <w:rPr>
      <w:rFonts w:ascii="Times New Roman" w:hAnsi="Times New Roman" w:eastAsia="宋体" w:cs="Times New Roman"/>
      <w:kern w:val="2"/>
      <w:sz w:val="18"/>
      <w:szCs w:val="18"/>
    </w:rPr>
  </w:style>
  <w:style w:type="paragraph" w:customStyle="1" w:styleId="54">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55">
    <w:name w:val="fontstyle01"/>
    <w:basedOn w:val="21"/>
    <w:qFormat/>
    <w:uiPriority w:val="0"/>
    <w:rPr>
      <w:rFonts w:hint="eastAsia" w:ascii="宋体" w:hAnsi="宋体" w:eastAsia="宋体"/>
      <w:color w:val="000000"/>
      <w:sz w:val="24"/>
      <w:szCs w:val="24"/>
    </w:rPr>
  </w:style>
  <w:style w:type="character" w:customStyle="1" w:styleId="56">
    <w:name w:val="keyword"/>
    <w:basedOn w:val="21"/>
    <w:qFormat/>
    <w:uiPriority w:val="0"/>
  </w:style>
  <w:style w:type="character" w:customStyle="1" w:styleId="57">
    <w:name w:val="activekeyword"/>
    <w:basedOn w:val="21"/>
    <w:qFormat/>
    <w:uiPriority w:val="0"/>
  </w:style>
  <w:style w:type="character" w:customStyle="1" w:styleId="58">
    <w:name w:val="highlight"/>
    <w:basedOn w:val="21"/>
    <w:qFormat/>
    <w:uiPriority w:val="0"/>
  </w:style>
  <w:style w:type="character" w:customStyle="1" w:styleId="59">
    <w:name w:val="text-only"/>
    <w:basedOn w:val="21"/>
    <w:qFormat/>
    <w:uiPriority w:val="0"/>
  </w:style>
  <w:style w:type="paragraph" w:customStyle="1" w:styleId="60">
    <w:name w:val="3090"/>
    <w:basedOn w:val="1"/>
    <w:qFormat/>
    <w:uiPriority w:val="0"/>
    <w:pPr>
      <w:spacing w:line="360" w:lineRule="auto"/>
      <w:ind w:firstLine="200" w:firstLineChars="200"/>
    </w:pPr>
    <w:rPr>
      <w:sz w:val="24"/>
      <w:szCs w:val="24"/>
    </w:rPr>
  </w:style>
  <w:style w:type="character" w:customStyle="1" w:styleId="61">
    <w:name w:val="font21"/>
    <w:basedOn w:val="21"/>
    <w:qFormat/>
    <w:uiPriority w:val="0"/>
    <w:rPr>
      <w:rFonts w:hint="eastAsia" w:ascii="宋体" w:hAnsi="宋体" w:eastAsia="宋体"/>
      <w:b/>
      <w:bCs/>
      <w:color w:val="000000"/>
      <w:sz w:val="21"/>
      <w:szCs w:val="21"/>
      <w:u w:val="none"/>
    </w:rPr>
  </w:style>
  <w:style w:type="character" w:customStyle="1" w:styleId="62">
    <w:name w:val="font41"/>
    <w:basedOn w:val="21"/>
    <w:qFormat/>
    <w:uiPriority w:val="0"/>
    <w:rPr>
      <w:rFonts w:hint="default" w:ascii="Times New Roman" w:hAnsi="Times New Roman" w:cs="Times New Roman"/>
      <w:color w:val="000000"/>
      <w:sz w:val="21"/>
      <w:szCs w:val="21"/>
      <w:u w:val="none"/>
    </w:rPr>
  </w:style>
  <w:style w:type="character" w:customStyle="1" w:styleId="63">
    <w:name w:val="font11"/>
    <w:basedOn w:val="21"/>
    <w:qFormat/>
    <w:uiPriority w:val="0"/>
    <w:rPr>
      <w:rFonts w:hint="eastAsia" w:ascii="宋体" w:hAnsi="宋体" w:eastAsia="宋体"/>
      <w:color w:val="000000"/>
      <w:sz w:val="21"/>
      <w:szCs w:val="21"/>
      <w:u w:val="none"/>
    </w:rPr>
  </w:style>
  <w:style w:type="character" w:customStyle="1" w:styleId="64">
    <w:name w:val="biaodian"/>
    <w:basedOn w:val="2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3581</Words>
  <Characters>3703</Characters>
  <Lines>27</Lines>
  <Paragraphs>7</Paragraphs>
  <TotalTime>1733</TotalTime>
  <ScaleCrop>false</ScaleCrop>
  <LinksUpToDate>false</LinksUpToDate>
  <CharactersWithSpaces>3843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2023-06-02T09:16:00Z</dcterms:created>
  <dc:creator>Windows 用户</dc:creator>
  <cp:lastModifiedBy>pikaqiu0077</cp:lastModifiedBy>
  <cp:lastPrinted>2024-05-14T09:00:00Z</cp:lastPrinted>
  <dcterms:modified xsi:type="dcterms:W3CDTF">2026-05-18T01:03:45Z</dcterms:modified>
  <cp:revision>470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2052-12.1.0.24034</vt:lpwstr>
  </property>
  <property fmtid="{D5CDD505-2E9C-101B-9397-08002B2CF9AE}" pid="4" name="ICV">
    <vt:lpwstr>4008ABD01AF747508157E4D0231EB8D4_13</vt:lpwstr>
  </property>
  <property fmtid="{D5CDD505-2E9C-101B-9397-08002B2CF9AE}" pid="5" name="KSOTemplateDocerSaveRecord">
    <vt:lpwstr>eyJoZGlkIjoiMWI2NjQxNWM0NGMxNTljNDhlZDNkN2YzMDE2MGVmZjciLCJ1c2VySWQiOiI1ODUzMDk2MjkifQ==</vt:lpwstr>
  </property>
</Properties>
</file>