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autoSpaceDN/>
        <w:rPr>
          <w:rFonts w:ascii="宋体" w:hAnsi="宋体" w:eastAsia="宋体" w:cs="宋体"/>
          <w:sz w:val="24"/>
          <w:szCs w:val="24"/>
        </w:rPr>
      </w:pPr>
      <w:r>
        <w:rPr>
          <w:rFonts w:hint="eastAsia" w:ascii="宋体" w:hAnsi="宋体" w:eastAsia="宋体" w:cs="宋体"/>
          <w:sz w:val="24"/>
          <w:szCs w:val="24"/>
        </w:rPr>
        <w:t>证券代码：6</w:t>
      </w:r>
      <w:r>
        <w:rPr>
          <w:rFonts w:ascii="宋体" w:hAnsi="宋体" w:eastAsia="宋体" w:cs="宋体"/>
          <w:sz w:val="24"/>
          <w:szCs w:val="24"/>
        </w:rPr>
        <w:t xml:space="preserve">00131                                   </w:t>
      </w:r>
      <w:r>
        <w:rPr>
          <w:rFonts w:hint="eastAsia" w:ascii="宋体" w:hAnsi="宋体" w:eastAsia="宋体" w:cs="宋体"/>
          <w:sz w:val="24"/>
          <w:szCs w:val="24"/>
        </w:rPr>
        <w:t>证券简称：国网信通</w:t>
      </w:r>
    </w:p>
    <w:p>
      <w:pPr>
        <w:autoSpaceDE/>
        <w:autoSpaceDN/>
      </w:pPr>
    </w:p>
    <w:p>
      <w:pPr>
        <w:autoSpaceDE/>
        <w:autoSpaceDN/>
      </w:pPr>
    </w:p>
    <w:p>
      <w:pPr>
        <w:autoSpaceDE/>
        <w:autoSpaceDN/>
        <w:spacing w:line="360" w:lineRule="auto"/>
        <w:jc w:val="center"/>
        <w:rPr>
          <w:rFonts w:ascii="宋体" w:hAnsi="宋体" w:eastAsia="宋体" w:cs="宋体"/>
          <w:sz w:val="32"/>
          <w:szCs w:val="32"/>
        </w:rPr>
      </w:pPr>
      <w:r>
        <w:rPr>
          <w:rFonts w:hint="eastAsia" w:ascii="宋体" w:hAnsi="宋体" w:eastAsia="宋体" w:cs="宋体"/>
          <w:b/>
          <w:bCs/>
          <w:sz w:val="32"/>
          <w:szCs w:val="32"/>
        </w:rPr>
        <w:t>国网信息通信股份有限公司投资者关系活动记录表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7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jc w:val="center"/>
        </w:trPr>
        <w:tc>
          <w:tcPr>
            <w:tcW w:w="1668" w:type="dxa"/>
            <w:vAlign w:val="center"/>
          </w:tcPr>
          <w:p>
            <w:pPr>
              <w:pStyle w:val="11"/>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投资者关系活动类别</w:t>
            </w:r>
          </w:p>
        </w:tc>
        <w:tc>
          <w:tcPr>
            <w:tcW w:w="7261" w:type="dxa"/>
            <w:vAlign w:val="center"/>
          </w:tcPr>
          <w:p>
            <w:pPr>
              <w:pStyle w:val="11"/>
              <w:tabs>
                <w:tab w:val="left" w:pos="2418"/>
              </w:tabs>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□特</w:t>
            </w:r>
            <w:r>
              <w:rPr>
                <w:rFonts w:hint="eastAsia" w:cs="宋体" w:asciiTheme="minorEastAsia" w:hAnsiTheme="minorEastAsia" w:eastAsiaTheme="minorEastAsia"/>
                <w:spacing w:val="-3"/>
                <w:sz w:val="21"/>
                <w:szCs w:val="21"/>
              </w:rPr>
              <w:t>定</w:t>
            </w:r>
            <w:r>
              <w:rPr>
                <w:rFonts w:hint="eastAsia" w:cs="宋体" w:asciiTheme="minorEastAsia" w:hAnsiTheme="minorEastAsia" w:eastAsiaTheme="minorEastAsia"/>
                <w:sz w:val="21"/>
                <w:szCs w:val="21"/>
              </w:rPr>
              <w:t>对</w:t>
            </w:r>
            <w:r>
              <w:rPr>
                <w:rFonts w:hint="eastAsia" w:cs="宋体" w:asciiTheme="minorEastAsia" w:hAnsiTheme="minorEastAsia" w:eastAsiaTheme="minorEastAsia"/>
                <w:spacing w:val="-3"/>
                <w:sz w:val="21"/>
                <w:szCs w:val="21"/>
              </w:rPr>
              <w:t>象</w:t>
            </w:r>
            <w:r>
              <w:rPr>
                <w:rFonts w:hint="eastAsia" w:cs="宋体" w:asciiTheme="minorEastAsia" w:hAnsiTheme="minorEastAsia" w:eastAsiaTheme="minorEastAsia"/>
                <w:sz w:val="21"/>
                <w:szCs w:val="21"/>
              </w:rPr>
              <w:t>调研</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□分</w:t>
            </w:r>
            <w:r>
              <w:rPr>
                <w:rFonts w:hint="eastAsia" w:cs="宋体" w:asciiTheme="minorEastAsia" w:hAnsiTheme="minorEastAsia" w:eastAsiaTheme="minorEastAsia"/>
                <w:spacing w:val="-3"/>
                <w:sz w:val="21"/>
                <w:szCs w:val="21"/>
              </w:rPr>
              <w:t>析</w:t>
            </w:r>
            <w:r>
              <w:rPr>
                <w:rFonts w:hint="eastAsia" w:cs="宋体" w:asciiTheme="minorEastAsia" w:hAnsiTheme="minorEastAsia" w:eastAsiaTheme="minorEastAsia"/>
                <w:sz w:val="21"/>
                <w:szCs w:val="21"/>
              </w:rPr>
              <w:t>师</w:t>
            </w:r>
            <w:r>
              <w:rPr>
                <w:rFonts w:hint="eastAsia" w:cs="宋体" w:asciiTheme="minorEastAsia" w:hAnsiTheme="minorEastAsia" w:eastAsiaTheme="minorEastAsia"/>
                <w:spacing w:val="-3"/>
                <w:sz w:val="21"/>
                <w:szCs w:val="21"/>
              </w:rPr>
              <w:t>会</w:t>
            </w:r>
            <w:r>
              <w:rPr>
                <w:rFonts w:hint="eastAsia" w:cs="宋体" w:asciiTheme="minorEastAsia" w:hAnsiTheme="minorEastAsia" w:eastAsiaTheme="minorEastAsia"/>
                <w:sz w:val="21"/>
                <w:szCs w:val="21"/>
              </w:rPr>
              <w:t>议</w:t>
            </w:r>
          </w:p>
          <w:p>
            <w:pPr>
              <w:pStyle w:val="11"/>
              <w:tabs>
                <w:tab w:val="left" w:pos="2418"/>
              </w:tabs>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□媒</w:t>
            </w:r>
            <w:r>
              <w:rPr>
                <w:rFonts w:hint="eastAsia" w:cs="宋体" w:asciiTheme="minorEastAsia" w:hAnsiTheme="minorEastAsia" w:eastAsiaTheme="minorEastAsia"/>
                <w:spacing w:val="-3"/>
                <w:sz w:val="21"/>
                <w:szCs w:val="21"/>
              </w:rPr>
              <w:t>体</w:t>
            </w:r>
            <w:r>
              <w:rPr>
                <w:rFonts w:hint="eastAsia" w:cs="宋体" w:asciiTheme="minorEastAsia" w:hAnsiTheme="minorEastAsia" w:eastAsiaTheme="minorEastAsia"/>
                <w:sz w:val="21"/>
                <w:szCs w:val="21"/>
              </w:rPr>
              <w:t>采访</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sym w:font="Wingdings 2" w:char="0052"/>
            </w:r>
            <w:r>
              <w:rPr>
                <w:rFonts w:hint="eastAsia" w:cs="宋体" w:asciiTheme="minorEastAsia" w:hAnsiTheme="minorEastAsia" w:eastAsiaTheme="minorEastAsia"/>
                <w:sz w:val="21"/>
                <w:szCs w:val="21"/>
              </w:rPr>
              <w:t>业</w:t>
            </w:r>
            <w:r>
              <w:rPr>
                <w:rFonts w:hint="eastAsia" w:cs="宋体" w:asciiTheme="minorEastAsia" w:hAnsiTheme="minorEastAsia" w:eastAsiaTheme="minorEastAsia"/>
                <w:spacing w:val="-3"/>
                <w:sz w:val="21"/>
                <w:szCs w:val="21"/>
              </w:rPr>
              <w:t>绩</w:t>
            </w:r>
            <w:r>
              <w:rPr>
                <w:rFonts w:hint="eastAsia" w:cs="宋体" w:asciiTheme="minorEastAsia" w:hAnsiTheme="minorEastAsia" w:eastAsiaTheme="minorEastAsia"/>
                <w:sz w:val="21"/>
                <w:szCs w:val="21"/>
              </w:rPr>
              <w:t>说</w:t>
            </w:r>
            <w:r>
              <w:rPr>
                <w:rFonts w:hint="eastAsia" w:cs="宋体" w:asciiTheme="minorEastAsia" w:hAnsiTheme="minorEastAsia" w:eastAsiaTheme="minorEastAsia"/>
                <w:spacing w:val="-3"/>
                <w:sz w:val="21"/>
                <w:szCs w:val="21"/>
              </w:rPr>
              <w:t>明</w:t>
            </w:r>
            <w:r>
              <w:rPr>
                <w:rFonts w:hint="eastAsia" w:cs="宋体" w:asciiTheme="minorEastAsia" w:hAnsiTheme="minorEastAsia" w:eastAsiaTheme="minorEastAsia"/>
                <w:sz w:val="21"/>
                <w:szCs w:val="21"/>
              </w:rPr>
              <w:t>会</w:t>
            </w:r>
          </w:p>
          <w:p>
            <w:pPr>
              <w:pStyle w:val="11"/>
              <w:tabs>
                <w:tab w:val="left" w:pos="2418"/>
              </w:tabs>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□新</w:t>
            </w:r>
            <w:r>
              <w:rPr>
                <w:rFonts w:hint="eastAsia" w:cs="宋体" w:asciiTheme="minorEastAsia" w:hAnsiTheme="minorEastAsia" w:eastAsiaTheme="minorEastAsia"/>
                <w:spacing w:val="-3"/>
                <w:sz w:val="21"/>
                <w:szCs w:val="21"/>
              </w:rPr>
              <w:t>闻</w:t>
            </w:r>
            <w:r>
              <w:rPr>
                <w:rFonts w:hint="eastAsia" w:cs="宋体" w:asciiTheme="minorEastAsia" w:hAnsiTheme="minorEastAsia" w:eastAsiaTheme="minorEastAsia"/>
                <w:sz w:val="21"/>
                <w:szCs w:val="21"/>
              </w:rPr>
              <w:t>发</w:t>
            </w:r>
            <w:r>
              <w:rPr>
                <w:rFonts w:hint="eastAsia" w:cs="宋体" w:asciiTheme="minorEastAsia" w:hAnsiTheme="minorEastAsia" w:eastAsiaTheme="minorEastAsia"/>
                <w:spacing w:val="-3"/>
                <w:sz w:val="21"/>
                <w:szCs w:val="21"/>
              </w:rPr>
              <w:t>布</w:t>
            </w:r>
            <w:r>
              <w:rPr>
                <w:rFonts w:hint="eastAsia" w:cs="宋体" w:asciiTheme="minorEastAsia" w:hAnsiTheme="minorEastAsia" w:eastAsiaTheme="minorEastAsia"/>
                <w:sz w:val="21"/>
                <w:szCs w:val="21"/>
              </w:rPr>
              <w:t>会</w:t>
            </w:r>
            <w:r>
              <w:rPr>
                <w:rFonts w:hint="eastAsia" w:cs="宋体" w:asciiTheme="minorEastAsia" w:hAnsiTheme="minorEastAsia" w:eastAsiaTheme="minorEastAsia"/>
                <w:sz w:val="21"/>
                <w:szCs w:val="21"/>
              </w:rPr>
              <w:tab/>
            </w:r>
            <w:bookmarkStart w:id="0" w:name="OLE_LINK14"/>
            <w:bookmarkStart w:id="1" w:name="OLE_LINK13"/>
            <w:r>
              <w:rPr>
                <w:rFonts w:hint="eastAsia" w:cs="宋体" w:asciiTheme="minorEastAsia" w:hAnsiTheme="minorEastAsia" w:eastAsiaTheme="minorEastAsia"/>
                <w:sz w:val="21"/>
                <w:szCs w:val="21"/>
              </w:rPr>
              <w:t>□</w:t>
            </w:r>
            <w:bookmarkEnd w:id="0"/>
            <w:bookmarkEnd w:id="1"/>
            <w:r>
              <w:rPr>
                <w:rFonts w:hint="eastAsia" w:cs="宋体" w:asciiTheme="minorEastAsia" w:hAnsiTheme="minorEastAsia" w:eastAsiaTheme="minorEastAsia"/>
                <w:sz w:val="21"/>
                <w:szCs w:val="21"/>
              </w:rPr>
              <w:t>路</w:t>
            </w:r>
            <w:r>
              <w:rPr>
                <w:rFonts w:hint="eastAsia" w:cs="宋体" w:asciiTheme="minorEastAsia" w:hAnsiTheme="minorEastAsia" w:eastAsiaTheme="minorEastAsia"/>
                <w:spacing w:val="-3"/>
                <w:sz w:val="21"/>
                <w:szCs w:val="21"/>
              </w:rPr>
              <w:t>演</w:t>
            </w:r>
            <w:r>
              <w:rPr>
                <w:rFonts w:hint="eastAsia" w:cs="宋体" w:asciiTheme="minorEastAsia" w:hAnsiTheme="minorEastAsia" w:eastAsiaTheme="minorEastAsia"/>
                <w:sz w:val="21"/>
                <w:szCs w:val="21"/>
              </w:rPr>
              <w:t>活动</w:t>
            </w:r>
          </w:p>
          <w:p>
            <w:pPr>
              <w:pStyle w:val="11"/>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□现场参观</w:t>
            </w:r>
          </w:p>
          <w:p>
            <w:pPr>
              <w:pStyle w:val="11"/>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□其他（</w:t>
            </w:r>
            <w:r>
              <w:rPr>
                <w:rFonts w:hint="eastAsia" w:cs="宋体" w:asciiTheme="minorEastAsia" w:hAnsiTheme="minorEastAsia" w:eastAsiaTheme="minorEastAsia"/>
                <w:sz w:val="21"/>
                <w:szCs w:val="21"/>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1668" w:type="dxa"/>
            <w:vAlign w:val="center"/>
          </w:tcPr>
          <w:p>
            <w:pPr>
              <w:pStyle w:val="11"/>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参与单位名称及人员姓名</w:t>
            </w:r>
          </w:p>
        </w:tc>
        <w:tc>
          <w:tcPr>
            <w:tcW w:w="7261" w:type="dxa"/>
            <w:vAlign w:val="center"/>
          </w:tcPr>
          <w:p>
            <w:pPr>
              <w:pStyle w:val="11"/>
              <w:autoSpaceDE/>
              <w:autoSpaceDN/>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通过上证路演中心参与“初心如炬，网链未来”国家电网有限公司控股上市公司2025年度暨2026年第一季度集体业绩说明会</w:t>
            </w:r>
            <w:r>
              <w:rPr>
                <w:rFonts w:cs="宋体" w:asciiTheme="minorEastAsia" w:hAnsiTheme="minorEastAsia" w:eastAsiaTheme="minorEastAsia"/>
                <w:sz w:val="21"/>
                <w:szCs w:val="21"/>
              </w:rPr>
              <w:t>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668" w:type="dxa"/>
            <w:vAlign w:val="center"/>
          </w:tcPr>
          <w:p>
            <w:pPr>
              <w:pStyle w:val="11"/>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时间</w:t>
            </w:r>
          </w:p>
        </w:tc>
        <w:tc>
          <w:tcPr>
            <w:tcW w:w="7261" w:type="dxa"/>
            <w:vAlign w:val="center"/>
          </w:tcPr>
          <w:p>
            <w:pPr>
              <w:pStyle w:val="11"/>
              <w:autoSpaceDE/>
              <w:autoSpaceDN/>
              <w:rPr>
                <w:rFonts w:cs="宋体" w:asciiTheme="minorEastAsia" w:hAnsiTheme="minorEastAsia" w:eastAsiaTheme="minorEastAsia"/>
                <w:sz w:val="21"/>
                <w:szCs w:val="21"/>
              </w:rPr>
            </w:pPr>
            <w:r>
              <w:rPr>
                <w:rFonts w:cs="宋体" w:asciiTheme="minorEastAsia" w:hAnsiTheme="minorEastAsia" w:eastAsiaTheme="minorEastAsia"/>
                <w:sz w:val="21"/>
                <w:szCs w:val="21"/>
              </w:rPr>
              <w:t>202</w:t>
            </w:r>
            <w:r>
              <w:rPr>
                <w:rFonts w:hint="eastAsia" w:cs="宋体" w:asciiTheme="minorEastAsia" w:hAnsiTheme="minorEastAsia" w:eastAsiaTheme="minorEastAsia"/>
                <w:sz w:val="21"/>
                <w:szCs w:val="21"/>
                <w:lang w:val="en-US" w:eastAsia="zh-CN"/>
              </w:rPr>
              <w:t>6</w:t>
            </w:r>
            <w:r>
              <w:rPr>
                <w:rFonts w:cs="宋体" w:asciiTheme="minorEastAsia" w:hAnsiTheme="minorEastAsia" w:eastAsiaTheme="minorEastAsia"/>
                <w:sz w:val="21"/>
                <w:szCs w:val="21"/>
              </w:rPr>
              <w:t>年</w:t>
            </w:r>
            <w:r>
              <w:rPr>
                <w:rFonts w:hint="eastAsia" w:cs="宋体" w:asciiTheme="minorEastAsia" w:hAnsiTheme="minorEastAsia" w:eastAsiaTheme="minorEastAsia"/>
                <w:sz w:val="21"/>
                <w:szCs w:val="21"/>
                <w:lang w:val="en-US" w:eastAsia="zh-CN"/>
              </w:rPr>
              <w:t>5</w:t>
            </w:r>
            <w:r>
              <w:rPr>
                <w:rFonts w:cs="宋体" w:asciiTheme="minorEastAsia" w:hAnsiTheme="minorEastAsia" w:eastAsiaTheme="minorEastAsia"/>
                <w:sz w:val="21"/>
                <w:szCs w:val="21"/>
              </w:rPr>
              <w:t>月</w:t>
            </w:r>
            <w:r>
              <w:rPr>
                <w:rFonts w:hint="eastAsia" w:cs="宋体" w:asciiTheme="minorEastAsia" w:hAnsiTheme="minorEastAsia" w:eastAsiaTheme="minorEastAsia"/>
                <w:sz w:val="21"/>
                <w:szCs w:val="21"/>
                <w:lang w:val="en-US" w:eastAsia="zh-CN"/>
              </w:rPr>
              <w:t>15</w:t>
            </w:r>
            <w:r>
              <w:rPr>
                <w:rFonts w:cs="宋体" w:asciiTheme="minorEastAsia" w:hAnsiTheme="minorEastAsia" w:eastAsiaTheme="minorEastAsia"/>
                <w:sz w:val="21"/>
                <w:szCs w:val="21"/>
              </w:rPr>
              <w:t>日（星期</w:t>
            </w:r>
            <w:r>
              <w:rPr>
                <w:rFonts w:hint="eastAsia" w:cs="宋体" w:asciiTheme="minorEastAsia" w:hAnsiTheme="minorEastAsia" w:eastAsiaTheme="minorEastAsia"/>
                <w:sz w:val="21"/>
                <w:szCs w:val="21"/>
                <w:lang w:val="en-US"/>
              </w:rPr>
              <w:t>五</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4:00-1</w:t>
            </w:r>
            <w:r>
              <w:rPr>
                <w:rFonts w:hint="eastAsia" w:cs="宋体" w:asciiTheme="minorEastAsia" w:hAnsiTheme="minorEastAsia" w:eastAsiaTheme="minorEastAsia"/>
                <w:sz w:val="21"/>
                <w:szCs w:val="21"/>
                <w:lang w:val="en-US" w:eastAsia="zh-CN"/>
              </w:rPr>
              <w:t>6</w:t>
            </w:r>
            <w:r>
              <w:rPr>
                <w:rFonts w:cs="宋体" w:asciiTheme="minorEastAsia" w:hAnsiTheme="minorEastAsia" w:eastAsiaTheme="minorEastAsia"/>
                <w:sz w:val="21"/>
                <w:szCs w:val="2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1668" w:type="dxa"/>
            <w:vAlign w:val="center"/>
          </w:tcPr>
          <w:p>
            <w:pPr>
              <w:pStyle w:val="11"/>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地点</w:t>
            </w:r>
          </w:p>
        </w:tc>
        <w:tc>
          <w:tcPr>
            <w:tcW w:w="7261" w:type="dxa"/>
            <w:vAlign w:val="center"/>
          </w:tcPr>
          <w:p>
            <w:pPr>
              <w:pStyle w:val="11"/>
              <w:autoSpaceDE/>
              <w:autoSpaceDN/>
              <w:rPr>
                <w:rFonts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rPr>
              <w:t>上海证券交易所上证路演中心（</w:t>
            </w:r>
            <w:r>
              <w:rPr>
                <w:rFonts w:cs="宋体" w:asciiTheme="minorEastAsia" w:hAnsiTheme="minorEastAsia" w:eastAsiaTheme="minorEastAsia"/>
                <w:sz w:val="21"/>
                <w:szCs w:val="21"/>
              </w:rPr>
              <w:t>https://roadshow.sseinfo.com/）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jc w:val="center"/>
        </w:trPr>
        <w:tc>
          <w:tcPr>
            <w:tcW w:w="1668" w:type="dxa"/>
            <w:vAlign w:val="center"/>
          </w:tcPr>
          <w:p>
            <w:pPr>
              <w:pStyle w:val="11"/>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上市公司接待人员姓名</w:t>
            </w:r>
          </w:p>
        </w:tc>
        <w:tc>
          <w:tcPr>
            <w:tcW w:w="7261" w:type="dxa"/>
            <w:vAlign w:val="center"/>
          </w:tcPr>
          <w:p>
            <w:pPr>
              <w:pStyle w:val="11"/>
              <w:autoSpaceDE/>
              <w:autoSpaceDN/>
              <w:rPr>
                <w:rFonts w:cs="宋体" w:asciiTheme="minorEastAsia" w:hAnsiTheme="minorEastAsia" w:eastAsiaTheme="minorEastAsia"/>
                <w:sz w:val="21"/>
                <w:szCs w:val="21"/>
              </w:rPr>
            </w:pPr>
            <w:r>
              <w:rPr>
                <w:rFonts w:cs="宋体" w:asciiTheme="minorEastAsia" w:hAnsiTheme="minorEastAsia" w:eastAsiaTheme="minorEastAsia"/>
                <w:sz w:val="21"/>
                <w:szCs w:val="21"/>
              </w:rPr>
              <w:t>董事长</w:t>
            </w:r>
            <w:r>
              <w:rPr>
                <w:rFonts w:hint="eastAsia" w:cs="宋体" w:asciiTheme="minorEastAsia" w:hAnsiTheme="minorEastAsia" w:eastAsiaTheme="minorEastAsia"/>
                <w:sz w:val="21"/>
                <w:szCs w:val="21"/>
              </w:rPr>
              <w:t xml:space="preserve"> </w:t>
            </w:r>
            <w:r>
              <w:rPr>
                <w:rFonts w:cs="宋体" w:asciiTheme="minorEastAsia" w:hAnsiTheme="minorEastAsia" w:eastAsiaTheme="minorEastAsia"/>
                <w:sz w:val="21"/>
                <w:szCs w:val="21"/>
              </w:rPr>
              <w:t xml:space="preserve">     王</w:t>
            </w:r>
            <w:r>
              <w:rPr>
                <w:rFonts w:hint="eastAsia" w:cs="宋体" w:asciiTheme="minorEastAsia" w:hAnsiTheme="minorEastAsia" w:eastAsiaTheme="minorEastAsia"/>
                <w:sz w:val="21"/>
                <w:szCs w:val="21"/>
              </w:rPr>
              <w:t xml:space="preserve"> </w:t>
            </w:r>
            <w:r>
              <w:rPr>
                <w:rFonts w:cs="宋体" w:asciiTheme="minorEastAsia" w:hAnsiTheme="minorEastAsia" w:eastAsiaTheme="minorEastAsia"/>
                <w:sz w:val="21"/>
                <w:szCs w:val="21"/>
              </w:rPr>
              <w:t xml:space="preserve"> 奔</w:t>
            </w:r>
          </w:p>
          <w:p>
            <w:pPr>
              <w:pStyle w:val="11"/>
              <w:autoSpaceDE/>
              <w:autoSpaceDN/>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董事会秘书  王 </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迅</w:t>
            </w:r>
          </w:p>
          <w:p>
            <w:pPr>
              <w:pStyle w:val="11"/>
              <w:autoSpaceDE/>
              <w:autoSpaceDN/>
              <w:rPr>
                <w:rFonts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lang w:val="en-US"/>
              </w:rPr>
              <w:t xml:space="preserve">财务总监 </w:t>
            </w:r>
            <w:r>
              <w:rPr>
                <w:rFonts w:cs="宋体" w:asciiTheme="minorEastAsia" w:hAnsiTheme="minorEastAsia" w:eastAsiaTheme="minorEastAsia"/>
                <w:sz w:val="21"/>
                <w:szCs w:val="21"/>
                <w:lang w:val="en-US"/>
              </w:rPr>
              <w:t xml:space="preserve">   </w:t>
            </w:r>
            <w:r>
              <w:rPr>
                <w:rFonts w:hint="eastAsia" w:cs="宋体" w:asciiTheme="minorEastAsia" w:hAnsiTheme="minorEastAsia" w:eastAsiaTheme="minorEastAsia"/>
                <w:sz w:val="21"/>
                <w:szCs w:val="21"/>
                <w:lang w:val="en-US"/>
              </w:rPr>
              <w:t xml:space="preserve">向 </w:t>
            </w:r>
            <w:r>
              <w:rPr>
                <w:rFonts w:cs="宋体" w:asciiTheme="minorEastAsia" w:hAnsiTheme="minorEastAsia" w:eastAsiaTheme="minorEastAsia"/>
                <w:sz w:val="21"/>
                <w:szCs w:val="21"/>
                <w:lang w:val="en-US"/>
              </w:rPr>
              <w:t xml:space="preserve"> </w:t>
            </w:r>
            <w:r>
              <w:rPr>
                <w:rFonts w:hint="eastAsia" w:cs="宋体" w:asciiTheme="minorEastAsia" w:hAnsiTheme="minorEastAsia" w:eastAsiaTheme="minorEastAsia"/>
                <w:sz w:val="21"/>
                <w:szCs w:val="21"/>
                <w:lang w:val="en-US"/>
              </w:rPr>
              <w:t>杰</w:t>
            </w:r>
          </w:p>
          <w:p>
            <w:pPr>
              <w:pStyle w:val="11"/>
              <w:autoSpaceDE/>
              <w:autoSpaceDN/>
              <w:rPr>
                <w:rFonts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lang w:val="en-US"/>
              </w:rPr>
              <w:t xml:space="preserve">独立董事 </w:t>
            </w:r>
            <w:r>
              <w:rPr>
                <w:rFonts w:cs="宋体" w:asciiTheme="minorEastAsia" w:hAnsiTheme="minorEastAsia" w:eastAsiaTheme="minorEastAsia"/>
                <w:sz w:val="21"/>
                <w:szCs w:val="21"/>
                <w:lang w:val="en-US"/>
              </w:rPr>
              <w:t xml:space="preserve">   刘用明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668" w:type="dxa"/>
            <w:vAlign w:val="center"/>
          </w:tcPr>
          <w:p>
            <w:pPr>
              <w:pStyle w:val="11"/>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投资者关系活动主要内容介绍</w:t>
            </w:r>
          </w:p>
        </w:tc>
        <w:tc>
          <w:tcPr>
            <w:tcW w:w="7261" w:type="dxa"/>
            <w:vAlign w:val="center"/>
          </w:tcPr>
          <w:p>
            <w:pPr>
              <w:pStyle w:val="11"/>
              <w:autoSpaceDE/>
              <w:autoSpaceDN/>
              <w:jc w:val="both"/>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互动问答记录</w:t>
            </w:r>
          </w:p>
          <w:p>
            <w:pPr>
              <w:pStyle w:val="11"/>
              <w:autoSpaceDE/>
              <w:autoSpaceDN/>
              <w:jc w:val="both"/>
              <w:rPr>
                <w:rFonts w:hint="eastAsia" w:cs="宋体" w:asciiTheme="minorEastAsia" w:hAnsiTheme="minorEastAsia" w:eastAsiaTheme="minorEastAsia"/>
                <w:b/>
                <w:bCs/>
                <w:sz w:val="21"/>
                <w:szCs w:val="21"/>
              </w:rPr>
            </w:pPr>
          </w:p>
          <w:p>
            <w:pPr>
              <w:pStyle w:val="11"/>
              <w:autoSpaceDE/>
              <w:autoSpaceDN/>
              <w:ind w:firstLine="420"/>
              <w:jc w:val="both"/>
              <w:rPr>
                <w:rFonts w:cs="宋体" w:asciiTheme="minorEastAsia" w:hAnsiTheme="minorEastAsia" w:eastAsiaTheme="minorEastAsia"/>
                <w:b/>
                <w:bCs/>
                <w:sz w:val="21"/>
                <w:szCs w:val="21"/>
                <w:lang w:val="en-US"/>
              </w:rPr>
            </w:pPr>
            <w:r>
              <w:rPr>
                <w:rFonts w:cs="宋体" w:asciiTheme="minorEastAsia" w:hAnsiTheme="minorEastAsia" w:eastAsiaTheme="minorEastAsia"/>
                <w:b/>
                <w:bCs/>
                <w:sz w:val="21"/>
                <w:szCs w:val="21"/>
                <w:lang w:val="en-US"/>
              </w:rPr>
              <w:t>一、现场问题回复</w:t>
            </w:r>
          </w:p>
          <w:p>
            <w:pPr>
              <w:pStyle w:val="11"/>
              <w:autoSpaceDE/>
              <w:autoSpaceDN/>
              <w:ind w:firstLine="420"/>
              <w:jc w:val="both"/>
              <w:rPr>
                <w:rFonts w:cs="宋体" w:asciiTheme="minorEastAsia" w:hAnsiTheme="minorEastAsia" w:eastAsiaTheme="minorEastAsia"/>
                <w:bCs/>
                <w:sz w:val="21"/>
                <w:szCs w:val="21"/>
                <w:lang w:val="en-US"/>
              </w:rPr>
            </w:pPr>
            <w:r>
              <w:rPr>
                <w:rFonts w:hint="eastAsia" w:cs="宋体" w:asciiTheme="minorEastAsia" w:hAnsiTheme="minorEastAsia" w:eastAsiaTheme="minorEastAsia"/>
                <w:b/>
                <w:bCs/>
                <w:sz w:val="21"/>
                <w:szCs w:val="21"/>
                <w:lang w:val="en-US"/>
              </w:rPr>
              <w:t>Q</w:t>
            </w:r>
            <w:r>
              <w:rPr>
                <w:rFonts w:cs="宋体" w:asciiTheme="minorEastAsia" w:hAnsiTheme="minorEastAsia" w:eastAsiaTheme="minorEastAsia"/>
                <w:b/>
                <w:bCs/>
                <w:sz w:val="21"/>
                <w:szCs w:val="21"/>
                <w:lang w:val="en-US"/>
              </w:rPr>
              <w:t>1：</w:t>
            </w:r>
            <w:r>
              <w:rPr>
                <w:rFonts w:hint="eastAsia" w:cs="宋体" w:asciiTheme="minorEastAsia" w:hAnsiTheme="minorEastAsia" w:eastAsiaTheme="minorEastAsia"/>
                <w:bCs/>
                <w:sz w:val="21"/>
                <w:szCs w:val="21"/>
                <w:lang w:val="en-US"/>
              </w:rPr>
              <w:t>面对“双碳”与新型电力系统建设的双重驱动，结合国家电网公司十五五规划，请问国网信通如何定位自身在能源数字化产业链中的角色与方向？</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sz w:val="21"/>
                <w:szCs w:val="21"/>
                <w:lang w:val="en-US"/>
              </w:rPr>
              <w:t>A</w:t>
            </w:r>
            <w:r>
              <w:rPr>
                <w:rFonts w:cs="宋体" w:asciiTheme="minorEastAsia" w:hAnsiTheme="minorEastAsia" w:eastAsiaTheme="minorEastAsia"/>
                <w:b/>
                <w:bCs/>
                <w:sz w:val="21"/>
                <w:szCs w:val="21"/>
                <w:lang w:val="en-US"/>
              </w:rPr>
              <w:t>1：</w:t>
            </w:r>
            <w:r>
              <w:rPr>
                <w:rFonts w:hint="eastAsia" w:cs="宋体" w:asciiTheme="minorEastAsia" w:hAnsiTheme="minorEastAsia" w:eastAsiaTheme="minorEastAsia"/>
                <w:bCs/>
                <w:sz w:val="21"/>
                <w:szCs w:val="21"/>
                <w:lang w:val="en-US"/>
              </w:rPr>
              <w:t>感谢您的提问！国网信通立足电网、面向能源、服务社会，坚持“产品化、专业化、生态化”发展路径，通过三大价值升级，打造能源领域数智化核心能力，服务新型电力系统建设。</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Cs/>
                <w:sz w:val="21"/>
                <w:szCs w:val="21"/>
                <w:lang w:val="en-US"/>
              </w:rPr>
              <w:t>第一，从“建设基础设施”向“全场景智能运营”升级。以前公司更多是承接电网通信网络、数据中心这类</w:t>
            </w:r>
            <w:r>
              <w:rPr>
                <w:rFonts w:hint="eastAsia" w:cs="宋体" w:asciiTheme="minorEastAsia" w:hAnsiTheme="minorEastAsia" w:eastAsiaTheme="minorEastAsia"/>
                <w:bCs/>
                <w:sz w:val="21"/>
                <w:szCs w:val="21"/>
                <w:lang w:val="en-US" w:eastAsia="zh-CN"/>
              </w:rPr>
              <w:t>项目</w:t>
            </w:r>
            <w:r>
              <w:rPr>
                <w:rFonts w:hint="eastAsia" w:cs="宋体" w:asciiTheme="minorEastAsia" w:hAnsiTheme="minorEastAsia" w:eastAsiaTheme="minorEastAsia"/>
                <w:bCs/>
                <w:sz w:val="21"/>
                <w:szCs w:val="21"/>
                <w:lang w:val="en-US"/>
              </w:rPr>
              <w:t>建设工作。现在我们提供成套的数字化解决方案</w:t>
            </w:r>
            <w:r>
              <w:rPr>
                <w:rFonts w:hint="eastAsia" w:cs="宋体" w:asciiTheme="minorEastAsia" w:hAnsiTheme="minorEastAsia" w:eastAsiaTheme="minorEastAsia"/>
                <w:bCs/>
                <w:sz w:val="21"/>
                <w:szCs w:val="21"/>
                <w:lang w:val="en-US" w:eastAsia="zh-CN"/>
              </w:rPr>
              <w:t>，</w:t>
            </w:r>
            <w:r>
              <w:rPr>
                <w:rFonts w:hint="eastAsia" w:cs="宋体" w:asciiTheme="minorEastAsia" w:hAnsiTheme="minorEastAsia" w:eastAsiaTheme="minorEastAsia"/>
                <w:bCs/>
                <w:sz w:val="21"/>
                <w:szCs w:val="21"/>
                <w:lang w:val="en-US"/>
              </w:rPr>
              <w:t>覆盖“源网荷储”各环节。比如我们基于“光明大模型”开发的营销2.0供电方案智能生成工具，已在国网27家省公司落地，方案编制准确率超95%，实现了从“项目化”到“产品化”的跨越。</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Cs/>
                <w:sz w:val="21"/>
                <w:szCs w:val="21"/>
                <w:lang w:val="en-US"/>
              </w:rPr>
              <w:t>第二，从“技术应用”向“自主创新与引领”升级。过去我们更多是整合成熟技术，落地数字化应用。现在我们重点攻坚核心自研技术，补齐技术短板。比如，我们主动牵头参与电网智能终端操作系统等行业团体标准的制定，高可靠供电数智保障系统等产品获评国家首台（套），同时持续落地电力鸿蒙、量子计算云平台、全栈国产化办公系统等创新成果。</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Cs/>
                <w:sz w:val="21"/>
                <w:szCs w:val="21"/>
                <w:lang w:val="en-US"/>
              </w:rPr>
              <w:t>第三，从“服务电网”向“构建能源生态圈”升级。公司开发的网上国网APP用户已经突破4.6亿，营销2.0平台用户超6亿，这些系统的广泛应用，为公司积累了良好的用户基础和生态协同优势，也为向外拓展业务创造了有利条件、提供了坚实支撑。接下来，公司将联合产业链上下游厂商、软件服务商、科研院所等各方伙伴，一起搭建技术协同、成果共享的能源数字化产业生态，开发各类新兴场景的数字化方案，在服务国家“双碳”目标与新型电力系统建设的过程中，实现自身产业价值与社会价值的统一。</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Cs/>
                <w:sz w:val="21"/>
                <w:szCs w:val="21"/>
                <w:lang w:val="en-US"/>
              </w:rPr>
              <w:t>综上所述，我们将紧抓新型电力系统建设的发展机遇，不断提升企业核心竞争力，持续推进能源数字化智能化转型升级。</w:t>
            </w:r>
          </w:p>
          <w:p>
            <w:pPr>
              <w:pStyle w:val="11"/>
              <w:autoSpaceDE/>
              <w:autoSpaceDN/>
              <w:ind w:firstLine="420"/>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cs="宋体" w:asciiTheme="minorEastAsia" w:hAnsiTheme="minorEastAsia" w:eastAsiaTheme="minorEastAsia"/>
                <w:b/>
                <w:bCs/>
                <w:sz w:val="21"/>
                <w:szCs w:val="21"/>
                <w:lang w:val="en-US"/>
              </w:rPr>
            </w:pPr>
            <w:r>
              <w:rPr>
                <w:rFonts w:cs="宋体" w:asciiTheme="minorEastAsia" w:hAnsiTheme="minorEastAsia" w:eastAsiaTheme="minorEastAsia"/>
                <w:b/>
                <w:bCs/>
                <w:sz w:val="21"/>
                <w:szCs w:val="21"/>
                <w:lang w:val="en-US"/>
              </w:rPr>
              <w:t>二、网络文字互动</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1</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公司在规划2026年工作中一项重要工作是“优化资本运作，提高发展动能”，请问优化资本运作具体是什么内容，有没有相对具体的规划？</w:t>
            </w:r>
          </w:p>
          <w:p>
            <w:pPr>
              <w:pStyle w:val="11"/>
              <w:autoSpaceDE/>
              <w:autoSpaceDN/>
              <w:ind w:firstLine="420"/>
              <w:jc w:val="both"/>
              <w:rPr>
                <w:rFonts w:hint="eastAsia" w:cs="宋体" w:asciiTheme="minorEastAsia" w:hAnsiTheme="minorEastAsia" w:eastAsiaTheme="minorEastAsia"/>
                <w:b/>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1</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优化资本运作主要围绕公司战略发展方向和业务布局展开，一方面依托上市公司平台优势，聚焦核心业务赛道，探索产业整合机会；另一方面结合业务发展需要，合理运用多种资本市场工具，为核心业务发展补充动能。关于具体规划及实施进展存在不确定性，公司将严格按照监管要求，及时履行信息披露义务。</w:t>
            </w:r>
          </w:p>
          <w:p>
            <w:pPr>
              <w:pStyle w:val="11"/>
              <w:autoSpaceDE/>
              <w:autoSpaceDN/>
              <w:ind w:firstLine="420"/>
              <w:jc w:val="both"/>
              <w:rPr>
                <w:rFonts w:hint="eastAsia" w:cs="宋体" w:asciiTheme="minorEastAsia" w:hAnsiTheme="minorEastAsia" w:eastAsiaTheme="minorEastAsia"/>
                <w:b/>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2</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2025年前沿技术创新业务收入同比增长近40%，主要驱动因素是什么？</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2</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感谢您的关注。公司前沿技术创新业务的增长主要受益于电网数字化、智能化转型</w:t>
            </w:r>
            <w:r>
              <w:rPr>
                <w:rFonts w:hint="eastAsia" w:cs="宋体" w:asciiTheme="minorEastAsia" w:hAnsiTheme="minorEastAsia" w:eastAsiaTheme="minorEastAsia"/>
                <w:bCs/>
                <w:sz w:val="21"/>
                <w:szCs w:val="21"/>
                <w:lang w:val="en-US" w:eastAsia="zh-CN"/>
              </w:rPr>
              <w:t>发展。</w:t>
            </w:r>
            <w:r>
              <w:rPr>
                <w:rFonts w:hint="eastAsia" w:cs="宋体" w:asciiTheme="minorEastAsia" w:hAnsiTheme="minorEastAsia" w:eastAsiaTheme="minorEastAsia"/>
                <w:bCs/>
                <w:sz w:val="21"/>
                <w:szCs w:val="21"/>
                <w:lang w:val="en-US"/>
              </w:rPr>
              <w:t>新型电力系统建设</w:t>
            </w:r>
            <w:r>
              <w:rPr>
                <w:rFonts w:hint="eastAsia" w:cs="宋体" w:asciiTheme="minorEastAsia" w:hAnsiTheme="minorEastAsia" w:eastAsiaTheme="minorEastAsia"/>
                <w:bCs/>
                <w:sz w:val="21"/>
                <w:szCs w:val="21"/>
                <w:lang w:val="en-US" w:eastAsia="zh-CN"/>
              </w:rPr>
              <w:t>以及</w:t>
            </w:r>
            <w:r>
              <w:rPr>
                <w:rFonts w:hint="eastAsia" w:cs="宋体" w:asciiTheme="minorEastAsia" w:hAnsiTheme="minorEastAsia" w:eastAsiaTheme="minorEastAsia"/>
                <w:bCs/>
                <w:sz w:val="21"/>
                <w:szCs w:val="21"/>
                <w:lang w:val="en-US"/>
              </w:rPr>
              <w:t>通信网络、算力、数字孪生等</w:t>
            </w:r>
            <w:r>
              <w:rPr>
                <w:rFonts w:hint="eastAsia" w:cs="宋体" w:asciiTheme="minorEastAsia" w:hAnsiTheme="minorEastAsia" w:eastAsiaTheme="minorEastAsia"/>
                <w:bCs/>
                <w:sz w:val="21"/>
                <w:szCs w:val="21"/>
                <w:lang w:val="en-US" w:eastAsia="zh-CN"/>
              </w:rPr>
              <w:t>创新步伐加快</w:t>
            </w:r>
            <w:r>
              <w:rPr>
                <w:rFonts w:hint="eastAsia" w:cs="宋体" w:asciiTheme="minorEastAsia" w:hAnsiTheme="minorEastAsia" w:eastAsiaTheme="minorEastAsia"/>
                <w:bCs/>
                <w:sz w:val="21"/>
                <w:szCs w:val="21"/>
                <w:lang w:val="en-US"/>
              </w:rPr>
              <w:t>，公司</w:t>
            </w:r>
            <w:r>
              <w:rPr>
                <w:rFonts w:hint="eastAsia" w:cs="宋体" w:asciiTheme="minorEastAsia" w:hAnsiTheme="minorEastAsia" w:eastAsiaTheme="minorEastAsia"/>
                <w:bCs/>
                <w:sz w:val="21"/>
                <w:szCs w:val="21"/>
                <w:lang w:val="en-US" w:eastAsia="zh-CN"/>
              </w:rPr>
              <w:t>发展迎来</w:t>
            </w:r>
            <w:r>
              <w:rPr>
                <w:rFonts w:hint="eastAsia" w:cs="宋体" w:asciiTheme="minorEastAsia" w:hAnsiTheme="minorEastAsia" w:eastAsiaTheme="minorEastAsia"/>
                <w:bCs/>
                <w:sz w:val="21"/>
                <w:szCs w:val="21"/>
                <w:lang w:val="en-US"/>
              </w:rPr>
              <w:t>广阔的市场空间。公司紧抓机遇，相关技术与产品实现快速落地，推动了该板块收入的大幅提升。</w:t>
            </w:r>
          </w:p>
          <w:p>
            <w:pPr>
              <w:pStyle w:val="11"/>
              <w:autoSpaceDE/>
              <w:autoSpaceDN/>
              <w:ind w:firstLine="420"/>
              <w:jc w:val="both"/>
              <w:rPr>
                <w:rFonts w:hint="eastAsia" w:cs="宋体" w:asciiTheme="minorEastAsia" w:hAnsiTheme="minorEastAsia" w:eastAsiaTheme="minorEastAsia"/>
                <w:b/>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3</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公司在市值管理方面有何举措？</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3</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公司始终高度重视市值管理工作，一方面持续聚焦能源数字化主责主业，扎实推进经营管理，不断夯实核心技术能力，提升经营业绩与盈利质量；另一方面持续完善投资者沟通机制，主动向市场传递公司战略布局与业务价值，增进投资者对公司的理解与认可，努力实现公司价值与股东利益最大化。</w:t>
            </w:r>
          </w:p>
          <w:p>
            <w:pPr>
              <w:pStyle w:val="11"/>
              <w:autoSpaceDE/>
              <w:autoSpaceDN/>
              <w:ind w:firstLine="420"/>
              <w:jc w:val="both"/>
              <w:rPr>
                <w:rFonts w:hint="eastAsia" w:cs="宋体" w:asciiTheme="minorEastAsia" w:hAnsiTheme="minorEastAsia" w:eastAsiaTheme="minorEastAsia"/>
                <w:b/>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sz w:val="21"/>
                <w:szCs w:val="21"/>
                <w:lang w:val="en-US"/>
              </w:rPr>
              <w:t>Q</w:t>
            </w:r>
            <w:r>
              <w:rPr>
                <w:rFonts w:hint="eastAsia" w:cs="宋体" w:asciiTheme="minorEastAsia" w:hAnsiTheme="minorEastAsia" w:eastAsiaTheme="minorEastAsia"/>
                <w:b/>
                <w:bCs/>
                <w:sz w:val="21"/>
                <w:szCs w:val="21"/>
                <w:lang w:val="en-US" w:eastAsia="zh-CN"/>
              </w:rPr>
              <w:t>4</w:t>
            </w:r>
            <w:r>
              <w:rPr>
                <w:rFonts w:hint="eastAsia" w:cs="宋体" w:asciiTheme="minorEastAsia" w:hAnsiTheme="minorEastAsia" w:eastAsiaTheme="minorEastAsia"/>
                <w:b/>
                <w:bCs/>
                <w:sz w:val="21"/>
                <w:szCs w:val="21"/>
                <w:lang w:val="en-US"/>
              </w:rPr>
              <w:t>：</w:t>
            </w:r>
            <w:r>
              <w:rPr>
                <w:rFonts w:hint="eastAsia" w:cs="宋体" w:asciiTheme="minorEastAsia" w:hAnsiTheme="minorEastAsia" w:eastAsiaTheme="minorEastAsia"/>
                <w:bCs/>
                <w:sz w:val="21"/>
                <w:szCs w:val="21"/>
                <w:lang w:val="en-US"/>
              </w:rPr>
              <w:t>公司上市以来，特别是最近资产注入业绩承诺期结束后，业绩逐年下滑，和行业发展背离，具体原因是什么？</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4</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十四五”期间，公司全面达成重大资产重组业绩承诺目标，营业收入从70.11亿元增长至106.28亿元，年均复合增长率8.68%。公司近年来收入结构有所变化，数字化基础设施业务收入规模增长，但整体毛利率水平有所下降，导致业绩变化。后续，公司将持续优化业务布局，聚焦核心赛道，提升盈利水平，努力改善经营业绩，回报广大投资者。</w:t>
            </w:r>
          </w:p>
          <w:p>
            <w:pPr>
              <w:pStyle w:val="11"/>
              <w:autoSpaceDE/>
              <w:autoSpaceDN/>
              <w:ind w:firstLine="420"/>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5</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南网数字和公司业务基本一致，在同类型业务中南网数字的毛利率、净利率超过公司10点以上，是什么原因导致公司毛利率如此低下？</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5</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公司与南网数字均属于主要服务电网企业的信息通信领域上市公司，主营业务相近，但业务模式、收入成本结构不尽相同。公司毛利率下降的主要原因是由于收入结构变化，通信集采等数字化基础设施业务规模增加导致。</w:t>
            </w:r>
          </w:p>
          <w:p>
            <w:pPr>
              <w:pStyle w:val="11"/>
              <w:autoSpaceDE/>
              <w:autoSpaceDN/>
              <w:ind w:firstLine="420"/>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6</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公司预计2026年应收126亿，利润预计在什么区间？目前还有一些大额司法诉讼未决，2026年会不会继续有大额的减值情况？2025年四川启明星的大额亏损主要是哪些减值造成的？</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6</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关于公司2026年业绩相关预测，请以公司后续公开披露的定期报告及公告为准，利润率水平与业务结构紧密相关。针对未决大额诉讼，公司会持续跟进案件进展，目前来看，2026年公司预计不会有大额减值情况，2025年中电启明星亏损的主要原因是计提信用减值准备。</w:t>
            </w:r>
          </w:p>
          <w:p>
            <w:pPr>
              <w:pStyle w:val="11"/>
              <w:autoSpaceDE/>
              <w:autoSpaceDN/>
              <w:ind w:firstLine="420"/>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7</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研究公司后从开始认为公司是一个科技公司到感觉公司是一个分包集成公司。公司依托国网体系优势投标中标，然后分包或转包第三方进行建设施工，公司收取管理费用。如果不是，请介绍一下公司的商业模式和盈利模式公司的技术含量体系在哪里？</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7</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公司的核心定位是推动能源数字化智能化转型升级。技术层面，公司围绕数字化基础设施、大数据、前沿技术创新、电力数字化应用、企业数字化应用、能源创新服务6大业务领域，构建了完整技术体系，掌握多项自主核心技术，拥有一定的技术储备与研发积累。公司依托对能源行业业务场景的深度理解，整合内外部优质资源落地项目，坚持“产品化、专业化、生态化”的路径，通过提供数字化智能化服务获取收益。</w:t>
            </w:r>
          </w:p>
          <w:p>
            <w:pPr>
              <w:pStyle w:val="11"/>
              <w:autoSpaceDE/>
              <w:autoSpaceDN/>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8</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持有公司股票5年以上，从最初对公司发展充满信心到现在怀疑疑惑，感觉公司是一家三无公司。管理层无企业家精神，对公司发展缺乏足够动力和责任，得过且过；公司无核心产品和技术，属于能中标什么就做什么，别人有什么技术就买过了用；公司无市场竞争能力，除了依托国网体系和国网背景，在纯粹市场竞争中没有竞争优势。公司年报中的优势分析更多是套话，董事长能不能以案例来介绍公司管理层的责任心、产品优势、市场竞争力？公司有什么措施来增强投资人对企业发展的长期信心？</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8</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公司始终正视股东提出的批评意见。公司坚持问题导向、目标导向、价值导向“三个导向”，践行“产品化、专业化、生态化”的发展路径，坚定不移地走好能源数字化智能化创新之路，积极把握国家“双碳”战略和新型电力系统建设契机，全面构建技术产品和服务体系，有关案例请参阅公开披露的定期报告及公告。同时，进一步优化管理机制，扎实提升经营业绩，持续加强与资本市场的沟通，争取让投资者更好的认可公司长期价值。</w:t>
            </w:r>
          </w:p>
          <w:p>
            <w:pPr>
              <w:pStyle w:val="11"/>
              <w:autoSpaceDE/>
              <w:autoSpaceDN/>
              <w:ind w:firstLine="420"/>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9</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公司一直号称在加强市值管理，但是公司在重组以后市值不升反降，股价表现低迷，公司股权激励也完不成预订发展指标导致失败。公司有没有通过回购股份注销的方式来提高投资者信心</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9</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公司始终重视全体股东的利益，高度关注市值表现，未来也将持续围绕公司战略和经营情况，扎实做好经营管理，提升经营业绩。同时，积极通过投资者沟通等多种方式传递公司价值。若未来推出回购股份等相关计划，公司将严格按照监管要求及时履行信息披露义务。</w:t>
            </w:r>
          </w:p>
          <w:p>
            <w:pPr>
              <w:pStyle w:val="11"/>
              <w:autoSpaceDE/>
              <w:autoSpaceDN/>
              <w:ind w:firstLine="420"/>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w:t>
            </w:r>
            <w:r>
              <w:rPr>
                <w:rFonts w:hint="eastAsia" w:cs="宋体" w:asciiTheme="minorEastAsia" w:hAnsiTheme="minorEastAsia" w:eastAsiaTheme="minorEastAsia"/>
                <w:b/>
                <w:bCs w:val="0"/>
                <w:sz w:val="21"/>
                <w:szCs w:val="21"/>
                <w:lang w:val="en-US" w:eastAsia="zh-CN"/>
              </w:rPr>
              <w:t>10</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请问公司，营销2.0系统已实现国网27家省公司全面上线，后续迭代升级的市场空间有多大？</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w:t>
            </w:r>
            <w:r>
              <w:rPr>
                <w:rFonts w:hint="eastAsia" w:cs="宋体" w:asciiTheme="minorEastAsia" w:hAnsiTheme="minorEastAsia" w:eastAsiaTheme="minorEastAsia"/>
                <w:b/>
                <w:bCs w:val="0"/>
                <w:sz w:val="21"/>
                <w:szCs w:val="21"/>
                <w:lang w:val="en-US" w:eastAsia="zh-CN"/>
              </w:rPr>
              <w:t>10</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营销2.0系统的运营和后续迭代，对服务商的业务理解深度要求较高，这类系统也具备较强的客户粘性，具有很大的市场空间。重点围绕智能化、产品化的发展路径，全面提升服务响应效率、交互体验水平和精准服务能力，加快推进营销2.0系统全面升级与智能化转型。</w:t>
            </w:r>
          </w:p>
          <w:p>
            <w:pPr>
              <w:pStyle w:val="11"/>
              <w:autoSpaceDE/>
              <w:autoSpaceDN/>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Q1</w:t>
            </w:r>
            <w:r>
              <w:rPr>
                <w:rFonts w:hint="eastAsia" w:cs="宋体" w:asciiTheme="minorEastAsia" w:hAnsiTheme="minorEastAsia" w:eastAsiaTheme="minorEastAsia"/>
                <w:b/>
                <w:bCs w:val="0"/>
                <w:sz w:val="21"/>
                <w:szCs w:val="21"/>
                <w:lang w:val="en-US" w:eastAsia="zh-CN"/>
              </w:rPr>
              <w:t>1</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公司深度参与</w:t>
            </w:r>
            <w:r>
              <w:rPr>
                <w:rFonts w:hint="eastAsia" w:cs="宋体" w:asciiTheme="minorEastAsia" w:hAnsiTheme="minorEastAsia" w:eastAsiaTheme="minorEastAsia"/>
                <w:bCs/>
                <w:sz w:val="21"/>
                <w:szCs w:val="21"/>
                <w:lang w:val="en-US" w:eastAsia="zh-CN"/>
              </w:rPr>
              <w:t>“</w:t>
            </w:r>
            <w:r>
              <w:rPr>
                <w:rFonts w:hint="eastAsia" w:cs="宋体" w:asciiTheme="minorEastAsia" w:hAnsiTheme="minorEastAsia" w:eastAsiaTheme="minorEastAsia"/>
                <w:bCs/>
                <w:sz w:val="21"/>
                <w:szCs w:val="21"/>
                <w:lang w:val="en-US"/>
              </w:rPr>
              <w:t>光明电力大模型</w:t>
            </w:r>
            <w:r>
              <w:rPr>
                <w:rFonts w:hint="eastAsia" w:cs="宋体" w:asciiTheme="minorEastAsia" w:hAnsiTheme="minorEastAsia" w:eastAsiaTheme="minorEastAsia"/>
                <w:bCs/>
                <w:sz w:val="21"/>
                <w:szCs w:val="21"/>
                <w:lang w:val="en-US" w:eastAsia="zh-CN"/>
              </w:rPr>
              <w:t>”</w:t>
            </w:r>
            <w:r>
              <w:rPr>
                <w:rFonts w:hint="eastAsia" w:cs="宋体" w:asciiTheme="minorEastAsia" w:hAnsiTheme="minorEastAsia" w:eastAsiaTheme="minorEastAsia"/>
                <w:bCs/>
                <w:sz w:val="21"/>
                <w:szCs w:val="21"/>
                <w:lang w:val="en-US"/>
              </w:rPr>
              <w:t>应用建设，请问未来市场空间如何？</w:t>
            </w: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A1</w:t>
            </w:r>
            <w:r>
              <w:rPr>
                <w:rFonts w:hint="eastAsia" w:cs="宋体" w:asciiTheme="minorEastAsia" w:hAnsiTheme="minorEastAsia" w:eastAsiaTheme="minorEastAsia"/>
                <w:b/>
                <w:bCs w:val="0"/>
                <w:sz w:val="21"/>
                <w:szCs w:val="21"/>
                <w:lang w:val="en-US" w:eastAsia="zh-CN"/>
              </w:rPr>
              <w:t>1</w:t>
            </w:r>
            <w:r>
              <w:rPr>
                <w:rFonts w:hint="eastAsia" w:cs="宋体" w:asciiTheme="minorEastAsia" w:hAnsiTheme="minorEastAsia" w:eastAsiaTheme="minorEastAsia"/>
                <w:b/>
                <w:bCs w:val="0"/>
                <w:sz w:val="21"/>
                <w:szCs w:val="21"/>
                <w:lang w:val="en-US"/>
              </w:rPr>
              <w:t>：</w:t>
            </w:r>
            <w:r>
              <w:rPr>
                <w:rFonts w:hint="eastAsia" w:cs="宋体" w:asciiTheme="minorEastAsia" w:hAnsiTheme="minorEastAsia" w:eastAsiaTheme="minorEastAsia"/>
                <w:bCs/>
                <w:sz w:val="21"/>
                <w:szCs w:val="21"/>
                <w:lang w:val="en-US"/>
              </w:rPr>
              <w:t>感谢您的关注。公司深度参与电力大模型在营销服务、企业管理等相关场景的应用建设，已成功落地电力营销、智</w:t>
            </w:r>
            <w:bookmarkStart w:id="2" w:name="_GoBack"/>
            <w:bookmarkEnd w:id="2"/>
            <w:r>
              <w:rPr>
                <w:rFonts w:hint="eastAsia" w:cs="宋体" w:asciiTheme="minorEastAsia" w:hAnsiTheme="minorEastAsia" w:eastAsiaTheme="minorEastAsia"/>
                <w:bCs/>
                <w:sz w:val="21"/>
                <w:szCs w:val="21"/>
                <w:lang w:val="en-US"/>
              </w:rPr>
              <w:t>能巡检、安监业务等示范项目。未来随着能源行业数字化智能化转型加速，大模型相关应用需求持续释放，公司将依托自身在能源领域的场景积累与技术优势，加快创新步伐，持续挖掘大模型应用潜力，把握相关市场发展机遇。</w:t>
            </w:r>
          </w:p>
          <w:p>
            <w:pPr>
              <w:pStyle w:val="11"/>
              <w:autoSpaceDE/>
              <w:autoSpaceDN/>
              <w:ind w:firstLine="420"/>
              <w:jc w:val="both"/>
              <w:rPr>
                <w:rFonts w:hint="eastAsia" w:cs="宋体" w:asciiTheme="minorEastAsia" w:hAnsiTheme="minorEastAsia" w:eastAsiaTheme="minorEastAsia"/>
                <w:bCs/>
                <w:sz w:val="21"/>
                <w:szCs w:val="21"/>
                <w:lang w:val="en-US"/>
              </w:rPr>
            </w:pPr>
          </w:p>
          <w:p>
            <w:pPr>
              <w:pStyle w:val="11"/>
              <w:autoSpaceDE/>
              <w:autoSpaceDN/>
              <w:ind w:firstLine="420"/>
              <w:jc w:val="both"/>
              <w:rPr>
                <w:rFonts w:hint="eastAsia" w:cs="宋体" w:asciiTheme="minorEastAsia" w:hAnsiTheme="minorEastAsia" w:eastAsiaTheme="minorEastAsia"/>
                <w:bCs/>
                <w:sz w:val="21"/>
                <w:szCs w:val="21"/>
                <w:lang w:val="en-US"/>
              </w:rPr>
            </w:pPr>
            <w:r>
              <w:rPr>
                <w:rFonts w:hint="eastAsia" w:cs="宋体" w:asciiTheme="minorEastAsia" w:hAnsiTheme="minorEastAsia" w:eastAsiaTheme="minorEastAsia"/>
                <w:b/>
                <w:bCs w:val="0"/>
                <w:sz w:val="21"/>
                <w:szCs w:val="21"/>
                <w:lang w:val="en-US"/>
              </w:rPr>
              <w:t>Q12：</w:t>
            </w:r>
            <w:r>
              <w:rPr>
                <w:rFonts w:hint="eastAsia" w:cs="宋体" w:asciiTheme="minorEastAsia" w:hAnsiTheme="minorEastAsia" w:eastAsiaTheme="minorEastAsia"/>
                <w:bCs/>
                <w:sz w:val="21"/>
                <w:szCs w:val="21"/>
                <w:lang w:val="en-US"/>
              </w:rPr>
              <w:t>公司称在四川落地了虚拟电厂，这些落地是纯粹卖软件还是做运营，如果是卖软件的话，公司的软件是自研的还是外购的？</w:t>
            </w:r>
          </w:p>
          <w:p>
            <w:pPr>
              <w:pStyle w:val="11"/>
              <w:autoSpaceDE/>
              <w:autoSpaceDN/>
              <w:ind w:firstLine="420"/>
              <w:jc w:val="both"/>
              <w:rPr>
                <w:rFonts w:cs="宋体" w:asciiTheme="minorEastAsia" w:hAnsiTheme="minorEastAsia" w:eastAsiaTheme="minorEastAsia"/>
                <w:sz w:val="21"/>
                <w:szCs w:val="21"/>
                <w:lang w:val="en-US"/>
              </w:rPr>
            </w:pPr>
            <w:r>
              <w:rPr>
                <w:rFonts w:hint="eastAsia" w:cs="宋体" w:asciiTheme="minorEastAsia" w:hAnsiTheme="minorEastAsia" w:eastAsiaTheme="minorEastAsia"/>
                <w:b/>
                <w:bCs w:val="0"/>
                <w:sz w:val="21"/>
                <w:szCs w:val="21"/>
                <w:lang w:val="en-US"/>
              </w:rPr>
              <w:t>A12：</w:t>
            </w:r>
            <w:r>
              <w:rPr>
                <w:rFonts w:hint="eastAsia" w:cs="宋体" w:asciiTheme="minorEastAsia" w:hAnsiTheme="minorEastAsia" w:eastAsiaTheme="minorEastAsia"/>
                <w:bCs/>
                <w:sz w:val="21"/>
                <w:szCs w:val="21"/>
                <w:lang w:val="en-US"/>
              </w:rPr>
              <w:t>感谢您的关注。公司在四川落地的虚拟电厂项目，主要是虚拟电厂运营平台的软件开发，部分项目包含物联终端。公司虚拟电厂有关的软件均为自研。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668" w:type="dxa"/>
            <w:vAlign w:val="center"/>
          </w:tcPr>
          <w:p>
            <w:pPr>
              <w:pStyle w:val="11"/>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附件清单（如有）</w:t>
            </w:r>
          </w:p>
        </w:tc>
        <w:tc>
          <w:tcPr>
            <w:tcW w:w="7261" w:type="dxa"/>
            <w:vAlign w:val="center"/>
          </w:tcPr>
          <w:p>
            <w:pPr>
              <w:pStyle w:val="11"/>
              <w:autoSpaceDE/>
              <w:autoSpaceDN/>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668" w:type="dxa"/>
            <w:vAlign w:val="center"/>
          </w:tcPr>
          <w:p>
            <w:pPr>
              <w:pStyle w:val="11"/>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日期</w:t>
            </w:r>
          </w:p>
        </w:tc>
        <w:tc>
          <w:tcPr>
            <w:tcW w:w="7261" w:type="dxa"/>
            <w:vAlign w:val="center"/>
          </w:tcPr>
          <w:p>
            <w:pPr>
              <w:pStyle w:val="11"/>
              <w:autoSpaceDE/>
              <w:autoSpaceDN/>
              <w:rPr>
                <w:rFonts w:cs="宋体" w:asciiTheme="minorEastAsia" w:hAnsiTheme="minorEastAsia" w:eastAsiaTheme="minorEastAsia"/>
                <w:sz w:val="21"/>
                <w:szCs w:val="21"/>
              </w:rPr>
            </w:pPr>
            <w:r>
              <w:rPr>
                <w:rFonts w:cs="宋体" w:asciiTheme="minorEastAsia" w:hAnsiTheme="minorEastAsia" w:eastAsiaTheme="minorEastAsia"/>
                <w:sz w:val="21"/>
                <w:szCs w:val="21"/>
              </w:rPr>
              <w:t>202</w:t>
            </w:r>
            <w:r>
              <w:rPr>
                <w:rFonts w:hint="eastAsia" w:cs="宋体" w:asciiTheme="minorEastAsia" w:hAnsiTheme="minorEastAsia" w:eastAsiaTheme="minorEastAsia"/>
                <w:sz w:val="21"/>
                <w:szCs w:val="21"/>
                <w:lang w:val="en-US" w:eastAsia="zh-CN"/>
              </w:rPr>
              <w:t>6</w:t>
            </w:r>
            <w:r>
              <w:rPr>
                <w:rFonts w:cs="宋体" w:asciiTheme="minorEastAsia" w:hAnsiTheme="minorEastAsia" w:eastAsiaTheme="minorEastAsia"/>
                <w:sz w:val="21"/>
                <w:szCs w:val="21"/>
              </w:rPr>
              <w:t>年</w:t>
            </w:r>
            <w:r>
              <w:rPr>
                <w:rFonts w:cs="宋体" w:asciiTheme="minorEastAsia" w:hAnsiTheme="minorEastAsia" w:eastAsiaTheme="minorEastAsia"/>
                <w:sz w:val="21"/>
                <w:szCs w:val="21"/>
                <w:lang w:val="en-US"/>
              </w:rPr>
              <w:t>5</w:t>
            </w:r>
            <w:r>
              <w:rPr>
                <w:rFonts w:cs="宋体" w:asciiTheme="minorEastAsia" w:hAnsiTheme="minorEastAsia" w:eastAsiaTheme="minorEastAsia"/>
                <w:sz w:val="21"/>
                <w:szCs w:val="21"/>
              </w:rPr>
              <w:t>月</w:t>
            </w:r>
            <w:r>
              <w:rPr>
                <w:rFonts w:hint="eastAsia" w:cs="宋体" w:asciiTheme="minorEastAsia" w:hAnsiTheme="minorEastAsia" w:eastAsiaTheme="minorEastAsia"/>
                <w:sz w:val="21"/>
                <w:szCs w:val="21"/>
                <w:lang w:val="en-US" w:eastAsia="zh-CN"/>
              </w:rPr>
              <w:t>15</w:t>
            </w:r>
            <w:r>
              <w:rPr>
                <w:rFonts w:cs="宋体" w:asciiTheme="minorEastAsia" w:hAnsiTheme="minorEastAsia" w:eastAsiaTheme="minorEastAsia"/>
                <w:sz w:val="21"/>
                <w:szCs w:val="21"/>
              </w:rPr>
              <w:t>日</w:t>
            </w:r>
          </w:p>
        </w:tc>
      </w:tr>
    </w:tbl>
    <w:p>
      <w:pPr>
        <w:autoSpaceDE/>
        <w:autoSpaceDN/>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2c435c71-ef9c-48ec-a045-b35c10dfee0e"/>
  </w:docVars>
  <w:rsids>
    <w:rsidRoot w:val="00FE090A"/>
    <w:rsid w:val="0000317A"/>
    <w:rsid w:val="00014310"/>
    <w:rsid w:val="00024C17"/>
    <w:rsid w:val="000338A7"/>
    <w:rsid w:val="0004382A"/>
    <w:rsid w:val="00063764"/>
    <w:rsid w:val="00074ABA"/>
    <w:rsid w:val="000A0BCA"/>
    <w:rsid w:val="000A4C5B"/>
    <w:rsid w:val="000A4ED0"/>
    <w:rsid w:val="000C2605"/>
    <w:rsid w:val="000E0E8B"/>
    <w:rsid w:val="000E2D9A"/>
    <w:rsid w:val="000F3595"/>
    <w:rsid w:val="0010669F"/>
    <w:rsid w:val="0011159A"/>
    <w:rsid w:val="00124CAF"/>
    <w:rsid w:val="00145D46"/>
    <w:rsid w:val="00151F38"/>
    <w:rsid w:val="001821FF"/>
    <w:rsid w:val="0018348F"/>
    <w:rsid w:val="00183EE2"/>
    <w:rsid w:val="001954B1"/>
    <w:rsid w:val="001A1813"/>
    <w:rsid w:val="001A461F"/>
    <w:rsid w:val="001A5625"/>
    <w:rsid w:val="001B0EDD"/>
    <w:rsid w:val="001C0A51"/>
    <w:rsid w:val="001C6E08"/>
    <w:rsid w:val="001C719B"/>
    <w:rsid w:val="001D2B33"/>
    <w:rsid w:val="001E11C3"/>
    <w:rsid w:val="001E5A5E"/>
    <w:rsid w:val="001F195C"/>
    <w:rsid w:val="001F434B"/>
    <w:rsid w:val="001F78EA"/>
    <w:rsid w:val="00203D05"/>
    <w:rsid w:val="00203E5D"/>
    <w:rsid w:val="00217A3D"/>
    <w:rsid w:val="0022761E"/>
    <w:rsid w:val="00236F05"/>
    <w:rsid w:val="0025695B"/>
    <w:rsid w:val="002658C0"/>
    <w:rsid w:val="00277AD2"/>
    <w:rsid w:val="00282792"/>
    <w:rsid w:val="00294A53"/>
    <w:rsid w:val="002B0354"/>
    <w:rsid w:val="002B2A11"/>
    <w:rsid w:val="002B4841"/>
    <w:rsid w:val="002B741A"/>
    <w:rsid w:val="002C4ACB"/>
    <w:rsid w:val="002C4C4B"/>
    <w:rsid w:val="002D3E3D"/>
    <w:rsid w:val="002F14F9"/>
    <w:rsid w:val="0030193F"/>
    <w:rsid w:val="003058D6"/>
    <w:rsid w:val="00307DAF"/>
    <w:rsid w:val="003223DA"/>
    <w:rsid w:val="00327AB3"/>
    <w:rsid w:val="00330FD1"/>
    <w:rsid w:val="00336D55"/>
    <w:rsid w:val="00346888"/>
    <w:rsid w:val="0035792A"/>
    <w:rsid w:val="003776EF"/>
    <w:rsid w:val="003807BC"/>
    <w:rsid w:val="003A2396"/>
    <w:rsid w:val="003B0B48"/>
    <w:rsid w:val="003B16E6"/>
    <w:rsid w:val="003C2519"/>
    <w:rsid w:val="003D429D"/>
    <w:rsid w:val="003E2131"/>
    <w:rsid w:val="003E5A53"/>
    <w:rsid w:val="003E69EB"/>
    <w:rsid w:val="003F333C"/>
    <w:rsid w:val="00406E5A"/>
    <w:rsid w:val="0041274D"/>
    <w:rsid w:val="0041366F"/>
    <w:rsid w:val="00422FC0"/>
    <w:rsid w:val="00426298"/>
    <w:rsid w:val="004268AA"/>
    <w:rsid w:val="0043184E"/>
    <w:rsid w:val="00432C7D"/>
    <w:rsid w:val="004568D3"/>
    <w:rsid w:val="004605E8"/>
    <w:rsid w:val="00465A8F"/>
    <w:rsid w:val="0047049A"/>
    <w:rsid w:val="0049202C"/>
    <w:rsid w:val="004A3498"/>
    <w:rsid w:val="004B77B8"/>
    <w:rsid w:val="004E40C6"/>
    <w:rsid w:val="00501A4F"/>
    <w:rsid w:val="00505EDF"/>
    <w:rsid w:val="005074C2"/>
    <w:rsid w:val="00511FB5"/>
    <w:rsid w:val="00514F35"/>
    <w:rsid w:val="00523934"/>
    <w:rsid w:val="00556CC6"/>
    <w:rsid w:val="00564CEE"/>
    <w:rsid w:val="0057268E"/>
    <w:rsid w:val="0057471F"/>
    <w:rsid w:val="00575B9D"/>
    <w:rsid w:val="00593C7B"/>
    <w:rsid w:val="0059714D"/>
    <w:rsid w:val="005A48F0"/>
    <w:rsid w:val="005A762F"/>
    <w:rsid w:val="005B73C3"/>
    <w:rsid w:val="005B7B33"/>
    <w:rsid w:val="005F32D8"/>
    <w:rsid w:val="005F3FB7"/>
    <w:rsid w:val="005F55EC"/>
    <w:rsid w:val="006017AD"/>
    <w:rsid w:val="00617AE9"/>
    <w:rsid w:val="0063435C"/>
    <w:rsid w:val="00661269"/>
    <w:rsid w:val="006626D1"/>
    <w:rsid w:val="00680546"/>
    <w:rsid w:val="006A127F"/>
    <w:rsid w:val="006C37D5"/>
    <w:rsid w:val="006C38C8"/>
    <w:rsid w:val="006F1EDE"/>
    <w:rsid w:val="006F5486"/>
    <w:rsid w:val="007003C4"/>
    <w:rsid w:val="00710D10"/>
    <w:rsid w:val="00711795"/>
    <w:rsid w:val="00713CF0"/>
    <w:rsid w:val="007156A6"/>
    <w:rsid w:val="007229F9"/>
    <w:rsid w:val="0072429A"/>
    <w:rsid w:val="0073232F"/>
    <w:rsid w:val="007461FF"/>
    <w:rsid w:val="00750890"/>
    <w:rsid w:val="00751B3E"/>
    <w:rsid w:val="0075789B"/>
    <w:rsid w:val="00766D92"/>
    <w:rsid w:val="00767429"/>
    <w:rsid w:val="00772916"/>
    <w:rsid w:val="00785140"/>
    <w:rsid w:val="007900FA"/>
    <w:rsid w:val="00797972"/>
    <w:rsid w:val="007A05A0"/>
    <w:rsid w:val="007A230C"/>
    <w:rsid w:val="007A47E1"/>
    <w:rsid w:val="007B058F"/>
    <w:rsid w:val="007D6BB1"/>
    <w:rsid w:val="007F1E6E"/>
    <w:rsid w:val="00812879"/>
    <w:rsid w:val="00814723"/>
    <w:rsid w:val="0082723D"/>
    <w:rsid w:val="00863FF5"/>
    <w:rsid w:val="00864005"/>
    <w:rsid w:val="0087166E"/>
    <w:rsid w:val="00871C40"/>
    <w:rsid w:val="00872319"/>
    <w:rsid w:val="00897104"/>
    <w:rsid w:val="008B334C"/>
    <w:rsid w:val="008C7E23"/>
    <w:rsid w:val="008E02ED"/>
    <w:rsid w:val="008E120A"/>
    <w:rsid w:val="008F4CAC"/>
    <w:rsid w:val="00902C93"/>
    <w:rsid w:val="009101D4"/>
    <w:rsid w:val="00921522"/>
    <w:rsid w:val="009338E7"/>
    <w:rsid w:val="0093435F"/>
    <w:rsid w:val="00944D52"/>
    <w:rsid w:val="0095098E"/>
    <w:rsid w:val="00952F0D"/>
    <w:rsid w:val="00971CBF"/>
    <w:rsid w:val="00973F4F"/>
    <w:rsid w:val="00984047"/>
    <w:rsid w:val="009900BC"/>
    <w:rsid w:val="009917E2"/>
    <w:rsid w:val="00994317"/>
    <w:rsid w:val="009A329E"/>
    <w:rsid w:val="009B2294"/>
    <w:rsid w:val="009B30B4"/>
    <w:rsid w:val="009C43FA"/>
    <w:rsid w:val="009E3114"/>
    <w:rsid w:val="009E7676"/>
    <w:rsid w:val="00A03106"/>
    <w:rsid w:val="00A05E0D"/>
    <w:rsid w:val="00A4552B"/>
    <w:rsid w:val="00A515ED"/>
    <w:rsid w:val="00A57C25"/>
    <w:rsid w:val="00A81993"/>
    <w:rsid w:val="00A82230"/>
    <w:rsid w:val="00A87B71"/>
    <w:rsid w:val="00A90876"/>
    <w:rsid w:val="00AA4200"/>
    <w:rsid w:val="00AA529F"/>
    <w:rsid w:val="00AA7743"/>
    <w:rsid w:val="00AB108F"/>
    <w:rsid w:val="00AB6EF2"/>
    <w:rsid w:val="00AD6E91"/>
    <w:rsid w:val="00B11F2D"/>
    <w:rsid w:val="00B147CB"/>
    <w:rsid w:val="00B25ED7"/>
    <w:rsid w:val="00B33C7D"/>
    <w:rsid w:val="00B408DD"/>
    <w:rsid w:val="00B42279"/>
    <w:rsid w:val="00B5202F"/>
    <w:rsid w:val="00B73E1A"/>
    <w:rsid w:val="00B93366"/>
    <w:rsid w:val="00BA6BA7"/>
    <w:rsid w:val="00BB39AC"/>
    <w:rsid w:val="00BC36AE"/>
    <w:rsid w:val="00BD7D08"/>
    <w:rsid w:val="00BF2CB3"/>
    <w:rsid w:val="00BF46E1"/>
    <w:rsid w:val="00BF5055"/>
    <w:rsid w:val="00C15486"/>
    <w:rsid w:val="00C32F81"/>
    <w:rsid w:val="00C352C4"/>
    <w:rsid w:val="00C52000"/>
    <w:rsid w:val="00C83723"/>
    <w:rsid w:val="00C83F2F"/>
    <w:rsid w:val="00C91FCC"/>
    <w:rsid w:val="00CB6CAD"/>
    <w:rsid w:val="00CC50CD"/>
    <w:rsid w:val="00CC7EC7"/>
    <w:rsid w:val="00CE04E8"/>
    <w:rsid w:val="00CE0C80"/>
    <w:rsid w:val="00CF6E3F"/>
    <w:rsid w:val="00D00D4A"/>
    <w:rsid w:val="00D058F7"/>
    <w:rsid w:val="00D07F50"/>
    <w:rsid w:val="00D16282"/>
    <w:rsid w:val="00D21049"/>
    <w:rsid w:val="00D3310F"/>
    <w:rsid w:val="00D35736"/>
    <w:rsid w:val="00D46D03"/>
    <w:rsid w:val="00D52049"/>
    <w:rsid w:val="00D71DDB"/>
    <w:rsid w:val="00D82D4E"/>
    <w:rsid w:val="00D851BF"/>
    <w:rsid w:val="00D9248C"/>
    <w:rsid w:val="00D94299"/>
    <w:rsid w:val="00DB1B0B"/>
    <w:rsid w:val="00DC603B"/>
    <w:rsid w:val="00DC7D43"/>
    <w:rsid w:val="00DD20DF"/>
    <w:rsid w:val="00DD2DAC"/>
    <w:rsid w:val="00DE6E6B"/>
    <w:rsid w:val="00DF09F4"/>
    <w:rsid w:val="00E10C1D"/>
    <w:rsid w:val="00E12F30"/>
    <w:rsid w:val="00E142DF"/>
    <w:rsid w:val="00E1795A"/>
    <w:rsid w:val="00E20AB2"/>
    <w:rsid w:val="00E377D9"/>
    <w:rsid w:val="00E4493E"/>
    <w:rsid w:val="00E45707"/>
    <w:rsid w:val="00E50AFE"/>
    <w:rsid w:val="00E569A2"/>
    <w:rsid w:val="00E778FB"/>
    <w:rsid w:val="00E8530C"/>
    <w:rsid w:val="00E95DC7"/>
    <w:rsid w:val="00EA43CB"/>
    <w:rsid w:val="00EA654A"/>
    <w:rsid w:val="00EA69A8"/>
    <w:rsid w:val="00EC2196"/>
    <w:rsid w:val="00ED17EA"/>
    <w:rsid w:val="00ED5480"/>
    <w:rsid w:val="00EE7B10"/>
    <w:rsid w:val="00EF6945"/>
    <w:rsid w:val="00F13CA0"/>
    <w:rsid w:val="00F14705"/>
    <w:rsid w:val="00F158E7"/>
    <w:rsid w:val="00F33A60"/>
    <w:rsid w:val="00F414E3"/>
    <w:rsid w:val="00F62779"/>
    <w:rsid w:val="00F700A3"/>
    <w:rsid w:val="00FA6AD7"/>
    <w:rsid w:val="00FD2995"/>
    <w:rsid w:val="00FD2A4E"/>
    <w:rsid w:val="00FD4468"/>
    <w:rsid w:val="00FE090A"/>
    <w:rsid w:val="00FF4CFD"/>
    <w:rsid w:val="040548D3"/>
    <w:rsid w:val="04057C60"/>
    <w:rsid w:val="059A7B14"/>
    <w:rsid w:val="09186774"/>
    <w:rsid w:val="0C9A1E9C"/>
    <w:rsid w:val="113111EC"/>
    <w:rsid w:val="12070CAE"/>
    <w:rsid w:val="18143E68"/>
    <w:rsid w:val="1CB258E6"/>
    <w:rsid w:val="1E756280"/>
    <w:rsid w:val="1EEE35B6"/>
    <w:rsid w:val="21687803"/>
    <w:rsid w:val="21B732C8"/>
    <w:rsid w:val="231A257E"/>
    <w:rsid w:val="28E41690"/>
    <w:rsid w:val="317320B1"/>
    <w:rsid w:val="32043B5F"/>
    <w:rsid w:val="32EE37D9"/>
    <w:rsid w:val="39493B3C"/>
    <w:rsid w:val="3D2768C3"/>
    <w:rsid w:val="41DB6879"/>
    <w:rsid w:val="44BF3856"/>
    <w:rsid w:val="486B5C19"/>
    <w:rsid w:val="505C244F"/>
    <w:rsid w:val="52EF663A"/>
    <w:rsid w:val="53FD374E"/>
    <w:rsid w:val="542F74CD"/>
    <w:rsid w:val="58BC30CE"/>
    <w:rsid w:val="5B0E7B48"/>
    <w:rsid w:val="5CA13F40"/>
    <w:rsid w:val="61710B42"/>
    <w:rsid w:val="62692D71"/>
    <w:rsid w:val="628D05DF"/>
    <w:rsid w:val="63BE2A75"/>
    <w:rsid w:val="67421678"/>
    <w:rsid w:val="68790BC7"/>
    <w:rsid w:val="6B8D77D5"/>
    <w:rsid w:val="6D77290B"/>
    <w:rsid w:val="719F40F5"/>
    <w:rsid w:val="72645D3A"/>
    <w:rsid w:val="75CC401C"/>
    <w:rsid w:val="77027BC6"/>
    <w:rsid w:val="77885468"/>
    <w:rsid w:val="7D3F6E72"/>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outlineLvl w:val="0"/>
    </w:pPr>
    <w:rPr>
      <w:rFonts w:ascii="PMingLiU" w:hAnsi="PMingLiU" w:eastAsia="PMingLiU" w:cs="PMingLiU"/>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ascii="Calibri" w:hAnsi="Calibri"/>
    </w:rPr>
  </w:style>
  <w:style w:type="paragraph" w:styleId="4">
    <w:name w:val="Body Text"/>
    <w:basedOn w:val="1"/>
    <w:qFormat/>
    <w:uiPriority w:val="1"/>
    <w:pPr>
      <w:ind w:left="220"/>
    </w:pPr>
    <w:rPr>
      <w:sz w:val="32"/>
      <w:szCs w:val="32"/>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paragraph" w:customStyle="1" w:styleId="11">
    <w:name w:val="Table Paragraph"/>
    <w:basedOn w:val="1"/>
    <w:qFormat/>
    <w:uiPriority w:val="1"/>
  </w:style>
  <w:style w:type="character" w:customStyle="1" w:styleId="12">
    <w:name w:val="页眉 Char"/>
    <w:basedOn w:val="9"/>
    <w:link w:val="7"/>
    <w:qFormat/>
    <w:uiPriority w:val="99"/>
    <w:rPr>
      <w:rFonts w:ascii="仿宋" w:hAnsi="仿宋" w:eastAsia="仿宋" w:cs="仿宋"/>
      <w:sz w:val="18"/>
      <w:szCs w:val="18"/>
      <w:lang w:val="zh-CN" w:bidi="zh-CN"/>
    </w:rPr>
  </w:style>
  <w:style w:type="character" w:customStyle="1" w:styleId="13">
    <w:name w:val="页脚 Char"/>
    <w:basedOn w:val="9"/>
    <w:link w:val="6"/>
    <w:qFormat/>
    <w:uiPriority w:val="0"/>
    <w:rPr>
      <w:rFonts w:ascii="仿宋" w:hAnsi="仿宋" w:eastAsia="仿宋" w:cs="仿宋"/>
      <w:sz w:val="18"/>
      <w:szCs w:val="18"/>
      <w:lang w:val="zh-CN" w:bidi="zh-CN"/>
    </w:rPr>
  </w:style>
  <w:style w:type="character" w:customStyle="1" w:styleId="14">
    <w:name w:val="批注框文本 Char"/>
    <w:basedOn w:val="9"/>
    <w:link w:val="5"/>
    <w:qFormat/>
    <w:uiPriority w:val="0"/>
    <w:rPr>
      <w:rFonts w:ascii="仿宋" w:hAnsi="仿宋" w:eastAsia="仿宋" w:cs="仿宋"/>
      <w:sz w:val="18"/>
      <w:szCs w:val="18"/>
      <w:lang w:val="zh-CN" w:bidi="zh-CN"/>
    </w:rPr>
  </w:style>
  <w:style w:type="paragraph" w:customStyle="1" w:styleId="15">
    <w:name w:val="修订1"/>
    <w:hidden/>
    <w:semiHidden/>
    <w:qFormat/>
    <w:uiPriority w:val="99"/>
    <w:rPr>
      <w:rFonts w:ascii="仿宋" w:hAnsi="仿宋" w:eastAsia="仿宋" w:cs="仿宋"/>
      <w:sz w:val="22"/>
      <w:szCs w:val="22"/>
      <w:lang w:val="zh-CN" w:eastAsia="zh-CN" w:bidi="zh-CN"/>
    </w:rPr>
  </w:style>
  <w:style w:type="paragraph" w:customStyle="1" w:styleId="16">
    <w:name w:val="修订2"/>
    <w:hidden/>
    <w:semiHidden/>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3414</Words>
  <Characters>3560</Characters>
  <Lines>26</Lines>
  <Paragraphs>7</Paragraphs>
  <TotalTime>24</TotalTime>
  <ScaleCrop>false</ScaleCrop>
  <LinksUpToDate>false</LinksUpToDate>
  <CharactersWithSpaces>3622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2025-05-23T08:41:00Z</dcterms:created>
  <dc:creator>jie.huang</dc:creator>
  <cp:lastModifiedBy>张潇文</cp:lastModifiedBy>
  <cp:lastPrinted>2021-05-14T07:04:00Z</cp:lastPrinted>
  <dcterms:modified xsi:type="dcterms:W3CDTF">2026-05-19T09:13:13Z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C96ABCB3F4DD47748C46DD3F5C3E21CC</vt:lpwstr>
  </property>
  <property fmtid="{D5CDD505-2E9C-101B-9397-08002B2CF9AE}" pid="4" name="KSOTemplateDocerSaveRecord">
    <vt:lpwstr>eyJoZGlkIjoiYmMzMWI1Y2JhMzUwYzU2OWY5ZGIyNzljZjcwOWE0YmEiLCJ1c2VySWQiOiIzMzM1MzM2MzMifQ==</vt:lpwstr>
  </property>
</Properties>
</file>