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4AD7">
      <w:pPr>
        <w:spacing w:line="420" w:lineRule="exact"/>
        <w:rPr>
          <w:rFonts w:hint="eastAsia"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hint="eastAsia" w:ascii="宋体" w:hAnsi="宋体"/>
          <w:b/>
          <w:iCs/>
          <w:szCs w:val="21"/>
        </w:rPr>
        <w:t>威胜信息</w:t>
      </w:r>
    </w:p>
    <w:p w14:paraId="214A5EDA">
      <w:pPr>
        <w:spacing w:before="468" w:beforeLines="150" w:after="156" w:afterLines="50" w:line="420" w:lineRule="exact"/>
        <w:jc w:val="center"/>
        <w:rPr>
          <w:rFonts w:hint="eastAsia" w:ascii="宋体" w:hAnsi="宋体"/>
          <w:b/>
          <w:bCs/>
          <w:iCs/>
          <w:sz w:val="32"/>
          <w:szCs w:val="32"/>
        </w:rPr>
      </w:pPr>
      <w:r>
        <w:rPr>
          <w:rFonts w:hint="eastAsia" w:ascii="宋体" w:hAnsi="宋体"/>
          <w:b/>
          <w:bCs/>
          <w:iCs/>
          <w:sz w:val="32"/>
          <w:szCs w:val="32"/>
        </w:rPr>
        <w:t>威胜信息技术股份有限公司</w:t>
      </w:r>
    </w:p>
    <w:p w14:paraId="3D25A018">
      <w:pPr>
        <w:spacing w:before="156" w:beforeLines="50" w:after="468" w:afterLines="150" w:line="420" w:lineRule="exact"/>
        <w:jc w:val="center"/>
        <w:rPr>
          <w:rFonts w:hint="eastAsia" w:ascii="宋体" w:hAnsi="宋体"/>
          <w:b/>
          <w:bCs/>
          <w:iCs/>
          <w:sz w:val="32"/>
          <w:szCs w:val="32"/>
        </w:rPr>
      </w:pPr>
      <w:r>
        <w:rPr>
          <w:rFonts w:hint="eastAsia" w:ascii="宋体" w:hAnsi="宋体"/>
          <w:b/>
          <w:bCs/>
          <w:iCs/>
          <w:sz w:val="32"/>
          <w:szCs w:val="32"/>
        </w:rPr>
        <w:t>2026年5月22日投资者交流会会议记录</w:t>
      </w:r>
    </w:p>
    <w:p w14:paraId="0CDC3D92">
      <w:pPr>
        <w:spacing w:line="420" w:lineRule="exact"/>
        <w:ind w:firstLine="424" w:firstLine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</w:rPr>
        <w:t>6年5月22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交流情况如下：</w:t>
      </w:r>
      <w:bookmarkStart w:id="0" w:name="_GoBack"/>
      <w:bookmarkEnd w:id="0"/>
    </w:p>
    <w:p w14:paraId="7832C4C8">
      <w:pPr>
        <w:pStyle w:val="21"/>
        <w:numPr>
          <w:ilvl w:val="0"/>
          <w:numId w:val="1"/>
        </w:numPr>
        <w:spacing w:line="420" w:lineRule="exact"/>
        <w:ind w:left="709" w:firstLineChars="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参会人员</w:t>
      </w:r>
    </w:p>
    <w:p w14:paraId="4E642437">
      <w:pPr>
        <w:pStyle w:val="9"/>
        <w:spacing w:line="42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董事会秘书兼财务总监：钟喜玉女士</w:t>
      </w:r>
    </w:p>
    <w:p w14:paraId="72CE27D8">
      <w:pPr>
        <w:pStyle w:val="9"/>
        <w:spacing w:line="42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战略投资总监：吴浩先生</w:t>
      </w:r>
    </w:p>
    <w:p w14:paraId="69DB8FD0">
      <w:pPr>
        <w:pStyle w:val="9"/>
        <w:spacing w:line="42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投资者关系经理：张乐维</w:t>
      </w:r>
    </w:p>
    <w:p w14:paraId="72267791">
      <w:pPr>
        <w:pStyle w:val="9"/>
        <w:spacing w:line="420" w:lineRule="exact"/>
        <w:ind w:firstLine="480" w:firstLineChars="200"/>
        <w:rPr>
          <w:rFonts w:hint="eastAsia" w:hAnsi="宋体"/>
          <w:sz w:val="24"/>
        </w:rPr>
      </w:pPr>
    </w:p>
    <w:p w14:paraId="272912A1">
      <w:pPr>
        <w:pStyle w:val="9"/>
        <w:spacing w:line="42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机构参会：</w:t>
      </w:r>
    </w:p>
    <w:p w14:paraId="3E22A89B">
      <w:pPr>
        <w:pStyle w:val="9"/>
        <w:spacing w:line="42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Ansi="宋体" w:cs="宋体"/>
          <w:sz w:val="24"/>
        </w:rPr>
        <w:t>2026年</w:t>
      </w:r>
      <w:r>
        <w:rPr>
          <w:rFonts w:hint="eastAsia" w:hAnsi="宋体" w:cs="宋体"/>
          <w:sz w:val="24"/>
        </w:rPr>
        <w:t>5</w:t>
      </w:r>
      <w:r>
        <w:rPr>
          <w:rFonts w:hAnsi="宋体" w:cs="宋体"/>
          <w:sz w:val="24"/>
        </w:rPr>
        <w:t>月</w:t>
      </w:r>
      <w:r>
        <w:rPr>
          <w:rFonts w:hint="eastAsia" w:hAnsi="宋体" w:cs="宋体"/>
          <w:sz w:val="24"/>
        </w:rPr>
        <w:t>21</w:t>
      </w:r>
      <w:r>
        <w:rPr>
          <w:rFonts w:hAnsi="宋体" w:cs="宋体"/>
          <w:sz w:val="24"/>
        </w:rPr>
        <w:t>日</w:t>
      </w:r>
      <w:r>
        <w:rPr>
          <w:rFonts w:hint="eastAsia" w:hAnsi="宋体" w:cs="宋体"/>
          <w:sz w:val="24"/>
        </w:rPr>
        <w:t xml:space="preserve"> </w:t>
      </w:r>
      <w:r>
        <w:rPr>
          <w:rFonts w:hAnsi="宋体" w:cs="宋体"/>
          <w:sz w:val="24"/>
        </w:rPr>
        <w:t>南方基金、华安基金、</w:t>
      </w:r>
      <w:r>
        <w:rPr>
          <w:rFonts w:hint="eastAsia" w:hAnsi="宋体" w:cs="宋体"/>
          <w:sz w:val="24"/>
        </w:rPr>
        <w:t>泓德基金、永谦基金、</w:t>
      </w:r>
      <w:r>
        <w:rPr>
          <w:rFonts w:hAnsi="宋体" w:cs="宋体"/>
          <w:sz w:val="24"/>
        </w:rPr>
        <w:t>方正资管、火眼资本、和基投资、爱建证券资管、</w:t>
      </w:r>
      <w:r>
        <w:rPr>
          <w:rFonts w:hint="eastAsia" w:hAnsi="宋体" w:cs="宋体"/>
          <w:sz w:val="24"/>
        </w:rPr>
        <w:t>国海证券、兴业证券、</w:t>
      </w:r>
      <w:r>
        <w:rPr>
          <w:rFonts w:hAnsi="宋体" w:cs="宋体"/>
          <w:sz w:val="24"/>
        </w:rPr>
        <w:t>长城证券、</w:t>
      </w:r>
      <w:r>
        <w:rPr>
          <w:rFonts w:hint="eastAsia" w:hAnsi="宋体" w:cs="宋体"/>
          <w:sz w:val="24"/>
        </w:rPr>
        <w:t>麦格里证券、华源证券</w:t>
      </w:r>
    </w:p>
    <w:p w14:paraId="0F7EA689">
      <w:pPr>
        <w:pStyle w:val="9"/>
        <w:spacing w:line="42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Ansi="宋体" w:cs="宋体"/>
          <w:sz w:val="24"/>
        </w:rPr>
        <w:t>2026年</w:t>
      </w:r>
      <w:r>
        <w:rPr>
          <w:rFonts w:hint="eastAsia" w:hAnsi="宋体" w:cs="宋体"/>
          <w:sz w:val="24"/>
        </w:rPr>
        <w:t>5</w:t>
      </w:r>
      <w:r>
        <w:rPr>
          <w:rFonts w:hAnsi="宋体" w:cs="宋体"/>
          <w:sz w:val="24"/>
        </w:rPr>
        <w:t>月2</w:t>
      </w:r>
      <w:r>
        <w:rPr>
          <w:rFonts w:hint="eastAsia" w:hAnsi="宋体" w:cs="宋体"/>
          <w:sz w:val="24"/>
        </w:rPr>
        <w:t>2</w:t>
      </w:r>
      <w:r>
        <w:rPr>
          <w:rFonts w:hAnsi="宋体" w:cs="宋体"/>
          <w:sz w:val="24"/>
        </w:rPr>
        <w:t>日</w:t>
      </w:r>
      <w:r>
        <w:rPr>
          <w:rFonts w:hint="eastAsia" w:hAnsi="宋体" w:cs="宋体"/>
          <w:sz w:val="24"/>
        </w:rPr>
        <w:t xml:space="preserve"> </w:t>
      </w:r>
      <w:r>
        <w:rPr>
          <w:rFonts w:hAnsi="宋体" w:cs="宋体"/>
          <w:sz w:val="24"/>
        </w:rPr>
        <w:t>中欧基金、尚颀资本、鹏石私募、中国电科、华安资产、上海</w:t>
      </w:r>
      <w:r>
        <w:rPr>
          <w:rFonts w:hint="eastAsia" w:hAnsi="宋体" w:cs="宋体"/>
          <w:sz w:val="24"/>
        </w:rPr>
        <w:t>信托、</w:t>
      </w:r>
      <w:r>
        <w:rPr>
          <w:rFonts w:hAnsi="宋体" w:cs="宋体"/>
          <w:sz w:val="24"/>
        </w:rPr>
        <w:t>Ethos Investment Management、VIRIDIAN ASSET MANAGEMENT、BROCK MILTON CAPITAL、GLOBAL ALPHA CAPITAL MANAGEMENT</w:t>
      </w:r>
      <w:r>
        <w:rPr>
          <w:rFonts w:hint="eastAsia" w:hAnsi="宋体" w:cs="宋体"/>
          <w:sz w:val="24"/>
        </w:rPr>
        <w:t>、天风证券、申万宏源、国联民生、中信建投</w:t>
      </w:r>
    </w:p>
    <w:p w14:paraId="58214E71">
      <w:pPr>
        <w:pStyle w:val="9"/>
        <w:spacing w:line="420" w:lineRule="exact"/>
        <w:ind w:firstLine="480" w:firstLineChars="200"/>
        <w:rPr>
          <w:rFonts w:hint="eastAsia" w:hAnsi="宋体" w:cs="宋体"/>
          <w:sz w:val="24"/>
        </w:rPr>
      </w:pPr>
    </w:p>
    <w:p w14:paraId="2F4534A8">
      <w:pPr>
        <w:pStyle w:val="9"/>
        <w:spacing w:line="42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</w:rPr>
        <w:t>2026</w:t>
      </w:r>
      <w:r>
        <w:rPr>
          <w:rFonts w:asciiTheme="minorEastAsia" w:hAnsiTheme="minorEastAsia" w:eastAsiaTheme="minorEastAsia"/>
          <w:b/>
          <w:bCs/>
          <w:sz w:val="24"/>
        </w:rPr>
        <w:t>年</w:t>
      </w:r>
      <w:r>
        <w:rPr>
          <w:rFonts w:hint="eastAsia" w:asciiTheme="minorEastAsia" w:hAnsiTheme="minorEastAsia" w:eastAsiaTheme="minorEastAsia"/>
          <w:b/>
          <w:bCs/>
          <w:sz w:val="24"/>
        </w:rPr>
        <w:t>一季报主要业务情况介绍</w:t>
      </w:r>
    </w:p>
    <w:p w14:paraId="133E2CB8">
      <w:pPr>
        <w:spacing w:line="420" w:lineRule="exact"/>
        <w:ind w:firstLine="480" w:firstLineChars="200"/>
        <w:rPr>
          <w:rFonts w:hint="eastAsia" w:cs="宋体" w:asciiTheme="minorEastAsia" w:hAnsiTheme="minorEastAsia" w:eastAsiaTheme="minorEastAsia"/>
          <w:sz w:val="24"/>
        </w:rPr>
      </w:pPr>
      <w:r>
        <w:rPr>
          <w:rFonts w:ascii="宋体" w:hAnsi="宋体"/>
          <w:sz w:val="24"/>
        </w:rPr>
        <w:t>收入与结构：2026年Q1实现营收5.32亿元。其中国内收入4.1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亿元，占比78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>%；境外收入1.15亿元，同比增长18.8%，占比2</w:t>
      </w:r>
      <w:r>
        <w:rPr>
          <w:rFonts w:hint="eastAsia" w:ascii="宋体" w:hAnsi="宋体"/>
          <w:sz w:val="24"/>
        </w:rPr>
        <w:t>1.8</w:t>
      </w:r>
      <w:r>
        <w:rPr>
          <w:rFonts w:ascii="宋体" w:hAnsi="宋体"/>
          <w:sz w:val="24"/>
        </w:rPr>
        <w:t xml:space="preserve">%。 </w:t>
      </w:r>
      <w:r>
        <w:rPr>
          <w:rFonts w:ascii="宋体" w:hAnsi="宋体"/>
          <w:sz w:val="24"/>
        </w:rPr>
        <w:cr/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盈利与研发：归母净利润1.39亿元，同比增长6</w:t>
      </w:r>
      <w:r>
        <w:rPr>
          <w:rFonts w:hint="eastAsia" w:ascii="宋体" w:hAnsi="宋体"/>
          <w:sz w:val="24"/>
        </w:rPr>
        <w:t>.4</w:t>
      </w:r>
      <w:r>
        <w:rPr>
          <w:rFonts w:ascii="宋体" w:hAnsi="宋体"/>
          <w:sz w:val="24"/>
        </w:rPr>
        <w:t>%。研发投入占收入比重达9.8%，同比</w:t>
      </w:r>
      <w:r>
        <w:rPr>
          <w:rFonts w:hint="eastAsia" w:ascii="宋体" w:hAnsi="宋体"/>
          <w:sz w:val="24"/>
        </w:rPr>
        <w:t>提升</w:t>
      </w:r>
      <w:r>
        <w:rPr>
          <w:rFonts w:ascii="宋体" w:hAnsi="宋体"/>
          <w:sz w:val="24"/>
        </w:rPr>
        <w:t>5.7%。</w:t>
      </w:r>
      <w:r>
        <w:rPr>
          <w:rFonts w:ascii="宋体" w:hAnsi="宋体"/>
          <w:sz w:val="24"/>
        </w:rPr>
        <w:cr/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在手订单与股东回报：截至3月末，公司在手订单达39.7亿元。公司已完成2025年年度派息，自上市以来已累计派发现金红利12.27亿元，累计回购4.49亿元分红及回购金额合计16.76亿元为公司IPO募集资金净额的2.7倍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并计划自2025年起未来五年维持40%的基准分红率。</w:t>
      </w:r>
      <w:r>
        <w:rPr>
          <w:rFonts w:ascii="宋体" w:hAnsi="宋体"/>
          <w:sz w:val="24"/>
        </w:rPr>
        <w:cr/>
      </w:r>
    </w:p>
    <w:p w14:paraId="5346586C">
      <w:pPr>
        <w:spacing w:line="420" w:lineRule="exact"/>
        <w:ind w:left="-11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三、投资者问答</w:t>
      </w:r>
      <w:r>
        <w:rPr>
          <w:rFonts w:asciiTheme="minorEastAsia" w:hAnsiTheme="minorEastAsia" w:eastAsiaTheme="minorEastAsia"/>
          <w:bCs/>
          <w:sz w:val="24"/>
        </w:rPr>
        <w:t xml:space="preserve"> </w:t>
      </w:r>
    </w:p>
    <w:p w14:paraId="74163B37">
      <w:pPr>
        <w:spacing w:line="420" w:lineRule="exact"/>
        <w:ind w:left="-11" w:firstLine="482" w:firstLineChars="200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 xml:space="preserve">请问公司 2026 年第一季度整体经营情况如何？ </w:t>
      </w:r>
    </w:p>
    <w:p w14:paraId="13EA97E8">
      <w:pPr>
        <w:spacing w:line="420" w:lineRule="exact"/>
        <w:ind w:left="-11"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：2026 年是国家 “十五五” 规划开局之年，</w:t>
      </w:r>
      <w:r>
        <w:rPr>
          <w:rFonts w:hint="eastAsia" w:asciiTheme="minorEastAsia" w:hAnsiTheme="minorEastAsia" w:eastAsiaTheme="minorEastAsia"/>
          <w:bCs/>
          <w:sz w:val="24"/>
        </w:rPr>
        <w:t>也是公司“六五规划”的第一年。</w:t>
      </w:r>
      <w:r>
        <w:rPr>
          <w:rFonts w:asciiTheme="minorEastAsia" w:hAnsiTheme="minorEastAsia" w:eastAsiaTheme="minorEastAsia"/>
          <w:bCs/>
          <w:sz w:val="24"/>
        </w:rPr>
        <w:t>公司一季度经营质量持续提升。报告期内，公司实现营业收入 5.32 亿元；实现归母净利润 1.48 亿元，同比增长 6.4%，盈利能力保持较强韧性。截至一季度末，公司总资产达 58.56 亿元，在手订单达 39.71 亿元，充足的订单储备为全年高质量增长奠定了坚实基础。</w:t>
      </w:r>
    </w:p>
    <w:p w14:paraId="34EA5BB2">
      <w:pPr>
        <w:spacing w:line="420" w:lineRule="exact"/>
        <w:rPr>
          <w:rFonts w:hint="eastAsia" w:asciiTheme="minorEastAsia" w:hAnsiTheme="minorEastAsia" w:eastAsiaTheme="minorEastAsia"/>
          <w:bCs/>
          <w:sz w:val="24"/>
        </w:rPr>
      </w:pPr>
    </w:p>
    <w:p w14:paraId="51352D4B">
      <w:pPr>
        <w:spacing w:line="420" w:lineRule="exact"/>
        <w:ind w:left="-11" w:firstLine="482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Q:</w:t>
      </w:r>
      <w:r>
        <w:rPr>
          <w:rFonts w:asciiTheme="minorEastAsia" w:hAnsiTheme="minorEastAsia" w:eastAsiaTheme="minorEastAsia"/>
          <w:b/>
          <w:bCs/>
          <w:sz w:val="24"/>
        </w:rPr>
        <w:t>公司在 AI + 电力领域有哪些应用场景？</w:t>
      </w:r>
      <w:r>
        <w:rPr>
          <w:rFonts w:hint="eastAsia" w:asciiTheme="minorEastAsia" w:hAnsiTheme="minorEastAsia" w:eastAsiaTheme="minorEastAsia"/>
          <w:bCs/>
          <w:sz w:val="24"/>
        </w:rPr>
        <w:t xml:space="preserve"> </w:t>
      </w:r>
    </w:p>
    <w:p w14:paraId="722AF762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：公司将 AI 边缘计算能力深度融入电力、水务的终端产品和系统解决方案中，以此提升技术壁垒和产品竞争力。应用场景方面，已在电网在线监测（输电线路故障定位、覆冰 / 山火 / 雷击图像视频分析等）和台区治理（电压越限、电能质量分析、光伏反送高电压治理等综合方案）中落地 AI 技术，并已产生实际业绩回报。产品规划方面，计划 2026 年内推出 AI 模块和 AI 盒子，为电力设备供应商及电网监测管理场景提供插拔式智能解决方案。2026 年一季度，公司台区治理和在线监测方向已实现较大增长，预计后续三个季度将继续保持快速增长态势。</w:t>
      </w:r>
    </w:p>
    <w:p w14:paraId="15ECE86A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</w:p>
    <w:p w14:paraId="42F90FAE">
      <w:pPr>
        <w:widowControl/>
        <w:wordWrap w:val="0"/>
        <w:spacing w:line="420" w:lineRule="exact"/>
        <w:ind w:firstLine="482" w:firstLineChars="200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>电网</w:t>
      </w:r>
      <w:r>
        <w:rPr>
          <w:rFonts w:hint="eastAsia" w:asciiTheme="minorEastAsia" w:hAnsiTheme="minorEastAsia" w:eastAsiaTheme="minorEastAsia"/>
          <w:b/>
          <w:sz w:val="24"/>
        </w:rPr>
        <w:t>“十五五”</w:t>
      </w:r>
      <w:r>
        <w:rPr>
          <w:rFonts w:asciiTheme="minorEastAsia" w:hAnsiTheme="minorEastAsia" w:eastAsiaTheme="minorEastAsia"/>
          <w:b/>
          <w:sz w:val="24"/>
        </w:rPr>
        <w:t>大规模投资建设，将从哪些方面直接利好公司主业发展？</w:t>
      </w:r>
    </w:p>
    <w:p w14:paraId="67DB6D89">
      <w:pPr>
        <w:widowControl/>
        <w:wordWrap w:val="0"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：“十五五” 期间</w:t>
      </w:r>
      <w:r>
        <w:rPr>
          <w:rFonts w:hint="eastAsia" w:asciiTheme="minorEastAsia" w:hAnsiTheme="minorEastAsia" w:eastAsiaTheme="minorEastAsia"/>
          <w:bCs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两大电网公司合计规划投资规模约5万亿元，其中国家电网配网投资占比约40%-45%、数字化投资占比约10%-15%，配网建设与电网数字化智能化改造将成为行业核心增长方向</w:t>
      </w:r>
      <w:r>
        <w:rPr>
          <w:rFonts w:asciiTheme="minorEastAsia" w:hAnsiTheme="minorEastAsia" w:eastAsiaTheme="minorEastAsia"/>
          <w:bCs/>
          <w:sz w:val="24"/>
        </w:rPr>
        <w:t>。</w:t>
      </w:r>
      <w:r>
        <w:rPr>
          <w:rFonts w:hint="eastAsia" w:ascii="宋体" w:hAnsi="宋体"/>
          <w:sz w:val="24"/>
        </w:rPr>
        <w:t>围绕台区自洽、配微协同、微电网规模化建设三大核心场景，行业将催生万亿级的配用电侧智能化改造市场，其中非电表类末端设备节点及配套通信模块、芯片需求，将成为公司重点布局的增长赛道。</w:t>
      </w:r>
    </w:p>
    <w:p w14:paraId="68060D1D">
      <w:pPr>
        <w:widowControl/>
        <w:wordWrap w:val="0"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从市场规模来看，国家电网2030年其系统接入终端设备规模将达到约20亿只；南方电网白皮书提到，当前单配电台区规划的非电表类设备节点达245个，其全域约115万个台区，仅非电表设备就将带来2.8亿个新增节点，对应市场规模超1000亿元。放眼全国两大电网市场，“十五五”配网数智化改造将催生亿级的非电表末端设备节点，以及与之配套的海量通信模块、芯片需求。</w:t>
      </w:r>
    </w:p>
    <w:p w14:paraId="4B320466">
      <w:pPr>
        <w:widowControl/>
        <w:wordWrap w:val="0"/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核心产品智能融合终端，是配用电台区实现自治管控的“智能大脑”：向下可通过各类感知层设备单元，实现对末端全量设备的接入、监测与精准管控；向上可全面支撑台区自洽策略执行、配微协同调度、微电网稳定运行的核心需求，目前国网、南网集采公司智能终端与通信模块中标领先，电力物联网头部地位稳固，将全面承接非电表通讯节点及配套通信的市场机遇：</w:t>
      </w:r>
    </w:p>
    <w:p w14:paraId="58DFA85A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同时公司的</w:t>
      </w:r>
      <w:r>
        <w:rPr>
          <w:rFonts w:asciiTheme="minorEastAsia" w:hAnsiTheme="minorEastAsia" w:eastAsiaTheme="minorEastAsia"/>
          <w:bCs/>
          <w:sz w:val="24"/>
        </w:rPr>
        <w:t>台区智能解决方案聚焦三相不平衡治理、低电压治理、新能源消纳、负荷控制等刚需场景，将充分受益近千万台区改造红利；输电线路在线监测业务面向</w:t>
      </w:r>
      <w:r>
        <w:rPr>
          <w:rFonts w:hint="eastAsia" w:asciiTheme="minorEastAsia" w:hAnsiTheme="minorEastAsia" w:eastAsiaTheme="minorEastAsia"/>
          <w:bCs/>
          <w:sz w:val="24"/>
        </w:rPr>
        <w:t>全国约260万公里线路电力输送</w:t>
      </w:r>
      <w:r>
        <w:rPr>
          <w:rFonts w:asciiTheme="minorEastAsia" w:hAnsiTheme="minorEastAsia" w:eastAsiaTheme="minorEastAsia"/>
          <w:bCs/>
          <w:sz w:val="24"/>
        </w:rPr>
        <w:t>，</w:t>
      </w:r>
      <w:r>
        <w:rPr>
          <w:rFonts w:hint="eastAsia" w:asciiTheme="minorEastAsia" w:hAnsiTheme="minorEastAsia" w:eastAsiaTheme="minorEastAsia"/>
          <w:bCs/>
          <w:sz w:val="24"/>
        </w:rPr>
        <w:t>公司</w:t>
      </w:r>
      <w:r>
        <w:rPr>
          <w:rFonts w:asciiTheme="minorEastAsia" w:hAnsiTheme="minorEastAsia" w:eastAsiaTheme="minorEastAsia"/>
          <w:bCs/>
          <w:sz w:val="24"/>
        </w:rPr>
        <w:t>在故障定位、图像视频、气象感知等领域持续实现</w:t>
      </w:r>
      <w:r>
        <w:rPr>
          <w:rFonts w:hint="eastAsia" w:asciiTheme="minorEastAsia" w:hAnsiTheme="minorEastAsia" w:eastAsiaTheme="minorEastAsia"/>
          <w:bCs/>
          <w:sz w:val="24"/>
        </w:rPr>
        <w:t>市场</w:t>
      </w:r>
      <w:r>
        <w:rPr>
          <w:rFonts w:asciiTheme="minorEastAsia" w:hAnsiTheme="minorEastAsia" w:eastAsiaTheme="minorEastAsia"/>
          <w:bCs/>
          <w:sz w:val="24"/>
        </w:rPr>
        <w:t>突破。</w:t>
      </w:r>
    </w:p>
    <w:p w14:paraId="58DA1F8B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</w:p>
    <w:p w14:paraId="2E09567A">
      <w:pPr>
        <w:spacing w:line="420" w:lineRule="exact"/>
        <w:ind w:firstLine="482" w:firstLineChars="200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Q</w:t>
      </w:r>
      <w:r>
        <w:rPr>
          <w:rFonts w:asciiTheme="minorEastAsia" w:hAnsiTheme="minorEastAsia" w:eastAsiaTheme="minorEastAsia"/>
          <w:b/>
          <w:bCs/>
          <w:sz w:val="24"/>
        </w:rPr>
        <w:t>：公司四月份中标订单规模</w:t>
      </w:r>
      <w:r>
        <w:rPr>
          <w:rFonts w:hint="eastAsia" w:asciiTheme="minorEastAsia" w:hAnsiTheme="minorEastAsia" w:eastAsiaTheme="minorEastAsia"/>
          <w:b/>
          <w:bCs/>
          <w:sz w:val="24"/>
        </w:rPr>
        <w:t>较大</w:t>
      </w:r>
      <w:r>
        <w:rPr>
          <w:rFonts w:asciiTheme="minorEastAsia" w:hAnsiTheme="minorEastAsia" w:eastAsiaTheme="minorEastAsia"/>
          <w:b/>
          <w:bCs/>
          <w:sz w:val="24"/>
        </w:rPr>
        <w:t>，此次中标业务</w:t>
      </w:r>
      <w:r>
        <w:rPr>
          <w:rFonts w:hint="eastAsia" w:asciiTheme="minorEastAsia" w:hAnsiTheme="minorEastAsia" w:eastAsiaTheme="minorEastAsia"/>
          <w:b/>
          <w:bCs/>
          <w:sz w:val="24"/>
        </w:rPr>
        <w:t>主要</w:t>
      </w:r>
      <w:r>
        <w:rPr>
          <w:rFonts w:asciiTheme="minorEastAsia" w:hAnsiTheme="minorEastAsia" w:eastAsiaTheme="minorEastAsia"/>
          <w:b/>
          <w:bCs/>
          <w:sz w:val="24"/>
        </w:rPr>
        <w:t>亮点</w:t>
      </w:r>
      <w:r>
        <w:rPr>
          <w:rFonts w:hint="eastAsia" w:asciiTheme="minorEastAsia" w:hAnsiTheme="minorEastAsia" w:eastAsiaTheme="minorEastAsia"/>
          <w:b/>
          <w:bCs/>
          <w:sz w:val="24"/>
        </w:rPr>
        <w:t>有</w:t>
      </w:r>
      <w:r>
        <w:rPr>
          <w:rFonts w:asciiTheme="minorEastAsia" w:hAnsiTheme="minorEastAsia" w:eastAsiaTheme="minorEastAsia"/>
          <w:b/>
          <w:bCs/>
          <w:sz w:val="24"/>
        </w:rPr>
        <w:t>哪些方面？</w:t>
      </w:r>
    </w:p>
    <w:p w14:paraId="7CACACBD">
      <w:pPr>
        <w:spacing w:line="420" w:lineRule="exact"/>
        <w:ind w:firstLine="482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：公司 4 月</w:t>
      </w:r>
      <w:r>
        <w:rPr>
          <w:rFonts w:hint="eastAsia" w:asciiTheme="minorEastAsia" w:hAnsiTheme="minorEastAsia" w:eastAsiaTheme="minorEastAsia"/>
          <w:bCs/>
          <w:sz w:val="24"/>
        </w:rPr>
        <w:t>过千万订单</w:t>
      </w:r>
      <w:r>
        <w:rPr>
          <w:rFonts w:asciiTheme="minorEastAsia" w:hAnsiTheme="minorEastAsia" w:eastAsiaTheme="minorEastAsia"/>
          <w:bCs/>
          <w:sz w:val="24"/>
        </w:rPr>
        <w:t>累计中标金额超 2 亿元，此次中标主要体现两大业务进展。一是</w:t>
      </w:r>
      <w:r>
        <w:rPr>
          <w:rFonts w:hint="eastAsia" w:asciiTheme="minorEastAsia" w:hAnsiTheme="minorEastAsia" w:eastAsiaTheme="minorEastAsia"/>
          <w:bCs/>
          <w:sz w:val="24"/>
        </w:rPr>
        <w:t>国家电网集中采购的终端类</w:t>
      </w:r>
      <w:r>
        <w:rPr>
          <w:rFonts w:asciiTheme="minorEastAsia" w:hAnsiTheme="minorEastAsia" w:eastAsiaTheme="minorEastAsia"/>
          <w:bCs/>
          <w:sz w:val="24"/>
        </w:rPr>
        <w:t>产品迎来新一轮数字化</w:t>
      </w:r>
      <w:r>
        <w:rPr>
          <w:rFonts w:hint="eastAsia" w:asciiTheme="minorEastAsia" w:hAnsiTheme="minorEastAsia" w:eastAsiaTheme="minorEastAsia"/>
          <w:bCs/>
          <w:sz w:val="24"/>
        </w:rPr>
        <w:t>智能化</w:t>
      </w:r>
      <w:r>
        <w:rPr>
          <w:rFonts w:asciiTheme="minorEastAsia" w:hAnsiTheme="minorEastAsia" w:eastAsiaTheme="minorEastAsia"/>
          <w:bCs/>
          <w:sz w:val="24"/>
        </w:rPr>
        <w:t>迭代升级，相关智能</w:t>
      </w:r>
      <w:r>
        <w:rPr>
          <w:rFonts w:hint="eastAsia" w:asciiTheme="minorEastAsia" w:hAnsiTheme="minorEastAsia" w:eastAsiaTheme="minorEastAsia"/>
          <w:bCs/>
          <w:sz w:val="24"/>
        </w:rPr>
        <w:t>融合</w:t>
      </w:r>
      <w:r>
        <w:rPr>
          <w:rFonts w:asciiTheme="minorEastAsia" w:hAnsiTheme="minorEastAsia" w:eastAsiaTheme="minorEastAsia"/>
          <w:bCs/>
          <w:sz w:val="24"/>
        </w:rPr>
        <w:t>终端产品顺利拿下集采订单，产品适配电网当下数字化</w:t>
      </w:r>
      <w:r>
        <w:rPr>
          <w:rFonts w:hint="eastAsia" w:asciiTheme="minorEastAsia" w:hAnsiTheme="minorEastAsia" w:eastAsiaTheme="minorEastAsia"/>
          <w:bCs/>
          <w:sz w:val="24"/>
        </w:rPr>
        <w:t>智能化</w:t>
      </w:r>
      <w:r>
        <w:rPr>
          <w:rFonts w:asciiTheme="minorEastAsia" w:hAnsiTheme="minorEastAsia" w:eastAsiaTheme="minorEastAsia"/>
          <w:bCs/>
          <w:sz w:val="24"/>
        </w:rPr>
        <w:t>改造的实际应用需求。二是在</w:t>
      </w:r>
      <w:r>
        <w:rPr>
          <w:rFonts w:hint="eastAsia" w:asciiTheme="minorEastAsia" w:hAnsiTheme="minorEastAsia" w:eastAsiaTheme="minorEastAsia"/>
          <w:bCs/>
          <w:sz w:val="24"/>
        </w:rPr>
        <w:t>南方电网总部及</w:t>
      </w:r>
      <w:r>
        <w:rPr>
          <w:rFonts w:asciiTheme="minorEastAsia" w:hAnsiTheme="minorEastAsia" w:eastAsiaTheme="minorEastAsia"/>
          <w:bCs/>
          <w:sz w:val="24"/>
        </w:rPr>
        <w:t>各省级电网市场实现持续突破，公司主推的台区综合治理、配网线路智能监测相关设备及解决方案接连</w:t>
      </w:r>
      <w:r>
        <w:rPr>
          <w:rFonts w:hint="eastAsia" w:asciiTheme="minorEastAsia" w:hAnsiTheme="minorEastAsia" w:eastAsiaTheme="minorEastAsia"/>
          <w:bCs/>
          <w:sz w:val="24"/>
        </w:rPr>
        <w:t>中标</w:t>
      </w:r>
      <w:r>
        <w:rPr>
          <w:rFonts w:asciiTheme="minorEastAsia" w:hAnsiTheme="minorEastAsia" w:eastAsiaTheme="minorEastAsia"/>
          <w:bCs/>
          <w:sz w:val="24"/>
        </w:rPr>
        <w:t>多省项目，业务全面覆盖智能计量、配电自动化、输电通道监测、数字变电站传感、电能质量监测等电力关键环节，产品矩阵实现从主网到配网电网侧到用户侧的全场景落地</w:t>
      </w:r>
      <w:r>
        <w:rPr>
          <w:rFonts w:hint="eastAsia" w:asciiTheme="minorEastAsia" w:hAnsiTheme="minorEastAsia" w:eastAsiaTheme="minorEastAsia"/>
          <w:bCs/>
          <w:sz w:val="24"/>
        </w:rPr>
        <w:t>。</w:t>
      </w:r>
    </w:p>
    <w:p w14:paraId="0F695139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</w:p>
    <w:p w14:paraId="06CBB66D">
      <w:pPr>
        <w:spacing w:line="420" w:lineRule="exact"/>
        <w:ind w:left="-11" w:firstLine="482" w:firstLineChars="200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>一季度公司海外业务实现较快增长，</w:t>
      </w:r>
      <w:r>
        <w:rPr>
          <w:rFonts w:hint="eastAsia" w:asciiTheme="minorEastAsia" w:hAnsiTheme="minorEastAsia" w:eastAsiaTheme="minorEastAsia"/>
          <w:b/>
          <w:sz w:val="24"/>
        </w:rPr>
        <w:t>目前</w:t>
      </w:r>
      <w:r>
        <w:rPr>
          <w:rFonts w:asciiTheme="minorEastAsia" w:hAnsiTheme="minorEastAsia" w:eastAsiaTheme="minorEastAsia"/>
          <w:b/>
          <w:sz w:val="24"/>
        </w:rPr>
        <w:t>主要</w:t>
      </w:r>
      <w:r>
        <w:rPr>
          <w:rFonts w:hint="eastAsia" w:asciiTheme="minorEastAsia" w:hAnsiTheme="minorEastAsia" w:eastAsiaTheme="minorEastAsia"/>
          <w:b/>
          <w:sz w:val="24"/>
        </w:rPr>
        <w:t>是</w:t>
      </w:r>
      <w:r>
        <w:rPr>
          <w:rFonts w:asciiTheme="minorEastAsia" w:hAnsiTheme="minorEastAsia" w:eastAsiaTheme="minorEastAsia"/>
          <w:b/>
          <w:sz w:val="24"/>
        </w:rPr>
        <w:t>哪些</w:t>
      </w:r>
      <w:r>
        <w:rPr>
          <w:rFonts w:hint="eastAsia" w:asciiTheme="minorEastAsia" w:hAnsiTheme="minorEastAsia" w:eastAsiaTheme="minorEastAsia"/>
          <w:b/>
          <w:sz w:val="24"/>
        </w:rPr>
        <w:t>国家及相应业务</w:t>
      </w:r>
      <w:r>
        <w:rPr>
          <w:rFonts w:asciiTheme="minorEastAsia" w:hAnsiTheme="minorEastAsia" w:eastAsiaTheme="minorEastAsia"/>
          <w:b/>
          <w:sz w:val="24"/>
        </w:rPr>
        <w:t>？</w:t>
      </w:r>
      <w:r>
        <w:rPr>
          <w:rFonts w:hint="eastAsia" w:asciiTheme="minorEastAsia" w:hAnsiTheme="minorEastAsia" w:eastAsiaTheme="minorEastAsia"/>
          <w:b/>
          <w:sz w:val="24"/>
        </w:rPr>
        <w:t xml:space="preserve"> </w:t>
      </w:r>
    </w:p>
    <w:p w14:paraId="502233BC">
      <w:pPr>
        <w:spacing w:line="420" w:lineRule="exact"/>
        <w:ind w:left="-11"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：一季度公司海外业务进入成果释放期，在中东、东南亚、南非等重点市场实现规模化突破。公司坚持 “本地产能、本地认证、本地团队、本地服务” 的本土化打法，针对不同区域市场精准布局：</w:t>
      </w:r>
    </w:p>
    <w:p w14:paraId="4B279FB8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>东南亚市场：以印尼为支点，聚焦电网、水务 AMI机会；</w:t>
      </w:r>
    </w:p>
    <w:p w14:paraId="4A272950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>中东、南非市场：重点打造能源、水务、算力一体化解决方案；</w:t>
      </w:r>
    </w:p>
    <w:p w14:paraId="5B68C93D">
      <w:pPr>
        <w:spacing w:line="42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>欧美市场：围绕高端认证、低碳能效和算力终端布局，推动高价值业务突破。</w:t>
      </w:r>
    </w:p>
    <w:p w14:paraId="27B3D910">
      <w:pPr>
        <w:spacing w:line="420" w:lineRule="exact"/>
        <w:rPr>
          <w:rFonts w:hint="eastAsia" w:asciiTheme="minorEastAsia" w:hAnsiTheme="minorEastAsia" w:eastAsiaTheme="minorEastAsia"/>
          <w:bCs/>
          <w:sz w:val="24"/>
        </w:rPr>
      </w:pPr>
    </w:p>
    <w:p w14:paraId="43D8D515">
      <w:pPr>
        <w:spacing w:line="42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>公司未来的</w:t>
      </w:r>
      <w:r>
        <w:rPr>
          <w:rFonts w:ascii="宋体" w:hAnsi="宋体"/>
          <w:b/>
          <w:bCs/>
          <w:sz w:val="24"/>
        </w:rPr>
        <w:t>发展战略布局是</w:t>
      </w:r>
      <w:r>
        <w:rPr>
          <w:rFonts w:hint="eastAsia" w:ascii="宋体" w:hAnsi="宋体"/>
          <w:b/>
          <w:bCs/>
          <w:sz w:val="24"/>
        </w:rPr>
        <w:t>怎样的</w:t>
      </w:r>
      <w:r>
        <w:rPr>
          <w:rFonts w:ascii="宋体" w:hAnsi="宋体"/>
          <w:b/>
          <w:bCs/>
          <w:sz w:val="24"/>
        </w:rPr>
        <w:t>？</w:t>
      </w:r>
    </w:p>
    <w:p w14:paraId="707359A6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</w:t>
      </w:r>
      <w:r>
        <w:rPr>
          <w:rFonts w:ascii="宋体" w:hAnsi="宋体"/>
          <w:sz w:val="24"/>
        </w:rPr>
        <w:t>：2026年是国家“十五五”开局、公司“六五”规划启动的关键一年，威胜信息明确了“全球能源数字化服务商”的定位，围绕“物联网+芯片+人工智能”的核心竞争力，紧扣电网升级、算电融合、全球化拓展三大机遇，重点从三个方面推进战略布局，具体如下：</w:t>
      </w:r>
    </w:p>
    <w:p w14:paraId="1443190A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一是稳住国内基本盘，借助万亿级投资机遇巩固龙头优势。公司深度对接国网、南网的投资需求，全面覆盖三大核心场景：智能电网领域，聚焦配网智能化、数字化、新能源并网与消纳，以及新型电力系统全场景建设；智慧城市领域，主打配微协同、综合能源、绿电解决方案，还有产业AI+数智化数据中心相关服务；智慧园区领域，重点推进零碳园区建设、碳监测与碳足迹管理、虚拟电厂落地，以及能效管理和综合能源服务。</w:t>
      </w:r>
    </w:p>
    <w:p w14:paraId="6D243F1D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二是打造国际增长极，通过本地化深耕实现全球化高质量发展。以印尼、沙特为核心支点，坚持“本地产能、本地认证、本地团队、本地服务”的本土化策略，分区域精准布局：东南亚地区，重点布局电网、算力中心和水务AMI业务；中东、南非地区，推进能源、水务与算力一体化发展；欧美地区，全力突破高端认证，聚焦低碳能效与算力终端领域。</w:t>
      </w:r>
    </w:p>
    <w:p w14:paraId="4F208496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三是强化核心业务群协同，构筑稳定增长梯队。重点打造四大协同板块：全域智能电网板块，持续巩固龙头地位，实现业务规模和利润双增长；通感智算芯片板块，不断推出融合SoC芯片，强化底层技术壁垒；AI与算电融合板块，以电网AI稳固基本盘，同时借助AIDC业务打开新的发展空间，实现双轮驱动；数字化板块，重点布局数字电网、数智城市两大核心数字化赛道，挖掘新的增长潜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3D40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36" w:hanging="420"/>
      </w:pPr>
    </w:lvl>
    <w:lvl w:ilvl="2" w:tentative="0">
      <w:start w:val="1"/>
      <w:numFmt w:val="lowerRoman"/>
      <w:lvlText w:val="%3."/>
      <w:lvlJc w:val="right"/>
      <w:pPr>
        <w:ind w:left="1756" w:hanging="420"/>
      </w:pPr>
    </w:lvl>
    <w:lvl w:ilvl="3" w:tentative="0">
      <w:start w:val="1"/>
      <w:numFmt w:val="decimal"/>
      <w:lvlText w:val="%4."/>
      <w:lvlJc w:val="left"/>
      <w:pPr>
        <w:ind w:left="2176" w:hanging="420"/>
      </w:pPr>
    </w:lvl>
    <w:lvl w:ilvl="4" w:tentative="0">
      <w:start w:val="1"/>
      <w:numFmt w:val="lowerLetter"/>
      <w:lvlText w:val="%5)"/>
      <w:lvlJc w:val="left"/>
      <w:pPr>
        <w:ind w:left="2596" w:hanging="420"/>
      </w:pPr>
    </w:lvl>
    <w:lvl w:ilvl="5" w:tentative="0">
      <w:start w:val="1"/>
      <w:numFmt w:val="lowerRoman"/>
      <w:lvlText w:val="%6."/>
      <w:lvlJc w:val="right"/>
      <w:pPr>
        <w:ind w:left="3016" w:hanging="420"/>
      </w:pPr>
    </w:lvl>
    <w:lvl w:ilvl="6" w:tentative="0">
      <w:start w:val="1"/>
      <w:numFmt w:val="decimal"/>
      <w:lvlText w:val="%7."/>
      <w:lvlJc w:val="left"/>
      <w:pPr>
        <w:ind w:left="3436" w:hanging="420"/>
      </w:pPr>
    </w:lvl>
    <w:lvl w:ilvl="7" w:tentative="0">
      <w:start w:val="1"/>
      <w:numFmt w:val="lowerLetter"/>
      <w:lvlText w:val="%8)"/>
      <w:lvlJc w:val="left"/>
      <w:pPr>
        <w:ind w:left="3856" w:hanging="420"/>
      </w:pPr>
    </w:lvl>
    <w:lvl w:ilvl="8" w:tentative="0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45"/>
    <w:rsid w:val="00043BCC"/>
    <w:rsid w:val="00045D1A"/>
    <w:rsid w:val="000A5C2C"/>
    <w:rsid w:val="000C7C42"/>
    <w:rsid w:val="00177B50"/>
    <w:rsid w:val="001A7E63"/>
    <w:rsid w:val="001C4010"/>
    <w:rsid w:val="00203234"/>
    <w:rsid w:val="002443AE"/>
    <w:rsid w:val="00264B65"/>
    <w:rsid w:val="00265011"/>
    <w:rsid w:val="002665F5"/>
    <w:rsid w:val="00266655"/>
    <w:rsid w:val="00266E63"/>
    <w:rsid w:val="002758E4"/>
    <w:rsid w:val="00285F36"/>
    <w:rsid w:val="002C6571"/>
    <w:rsid w:val="0032328E"/>
    <w:rsid w:val="00340377"/>
    <w:rsid w:val="003A2E55"/>
    <w:rsid w:val="003B35EC"/>
    <w:rsid w:val="003F1C8F"/>
    <w:rsid w:val="00402AFB"/>
    <w:rsid w:val="004308D0"/>
    <w:rsid w:val="00433837"/>
    <w:rsid w:val="004577CC"/>
    <w:rsid w:val="004F6DD4"/>
    <w:rsid w:val="00554277"/>
    <w:rsid w:val="0056031B"/>
    <w:rsid w:val="00575F67"/>
    <w:rsid w:val="005A085C"/>
    <w:rsid w:val="005B7847"/>
    <w:rsid w:val="005C0300"/>
    <w:rsid w:val="005C0C10"/>
    <w:rsid w:val="005D4A03"/>
    <w:rsid w:val="005D5348"/>
    <w:rsid w:val="00630C7F"/>
    <w:rsid w:val="006E6FC1"/>
    <w:rsid w:val="007656D2"/>
    <w:rsid w:val="007E1822"/>
    <w:rsid w:val="007E1890"/>
    <w:rsid w:val="00800CD6"/>
    <w:rsid w:val="00806129"/>
    <w:rsid w:val="008113EF"/>
    <w:rsid w:val="008202CC"/>
    <w:rsid w:val="0088745B"/>
    <w:rsid w:val="008F5E9F"/>
    <w:rsid w:val="009117D0"/>
    <w:rsid w:val="009363BE"/>
    <w:rsid w:val="009420E9"/>
    <w:rsid w:val="009443C1"/>
    <w:rsid w:val="00965320"/>
    <w:rsid w:val="009667DD"/>
    <w:rsid w:val="00974D29"/>
    <w:rsid w:val="009A61C2"/>
    <w:rsid w:val="00A17A1B"/>
    <w:rsid w:val="00A27BEA"/>
    <w:rsid w:val="00A70C9E"/>
    <w:rsid w:val="00A93292"/>
    <w:rsid w:val="00A944F9"/>
    <w:rsid w:val="00A96195"/>
    <w:rsid w:val="00AB79E5"/>
    <w:rsid w:val="00AE4B84"/>
    <w:rsid w:val="00AF3E4E"/>
    <w:rsid w:val="00B21B69"/>
    <w:rsid w:val="00B42292"/>
    <w:rsid w:val="00B55110"/>
    <w:rsid w:val="00B965C4"/>
    <w:rsid w:val="00BA3528"/>
    <w:rsid w:val="00BB0FDF"/>
    <w:rsid w:val="00BC6528"/>
    <w:rsid w:val="00C44004"/>
    <w:rsid w:val="00C55F99"/>
    <w:rsid w:val="00CC7B63"/>
    <w:rsid w:val="00D21045"/>
    <w:rsid w:val="00D219CA"/>
    <w:rsid w:val="00D317F8"/>
    <w:rsid w:val="00D356E9"/>
    <w:rsid w:val="00D63C9F"/>
    <w:rsid w:val="00D70003"/>
    <w:rsid w:val="00D82C06"/>
    <w:rsid w:val="00DD5262"/>
    <w:rsid w:val="00E071A9"/>
    <w:rsid w:val="00E153F7"/>
    <w:rsid w:val="00E61C96"/>
    <w:rsid w:val="00E6655E"/>
    <w:rsid w:val="00E744D5"/>
    <w:rsid w:val="00EC47BD"/>
    <w:rsid w:val="00ED2124"/>
    <w:rsid w:val="00F10CB4"/>
    <w:rsid w:val="00F568C6"/>
    <w:rsid w:val="00F56C88"/>
    <w:rsid w:val="00F836E5"/>
    <w:rsid w:val="00F83791"/>
    <w:rsid w:val="00F859A3"/>
    <w:rsid w:val="00FF4603"/>
    <w:rsid w:val="155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4">
    <w:name w:val="heading 3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35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6"/>
    <w:qFormat/>
    <w:uiPriority w:val="99"/>
    <w:pPr>
      <w:jc w:val="left"/>
    </w:pPr>
  </w:style>
  <w:style w:type="paragraph" w:styleId="7">
    <w:name w:val="Body Text"/>
    <w:basedOn w:val="1"/>
    <w:link w:val="30"/>
    <w:qFormat/>
    <w:uiPriority w:val="1"/>
    <w:pPr>
      <w:spacing w:before="181"/>
      <w:ind w:left="141"/>
      <w:jc w:val="left"/>
    </w:pPr>
    <w:rPr>
      <w:rFonts w:ascii="宋体" w:hAnsi="宋体" w:cs="宋体"/>
      <w:kern w:val="0"/>
      <w:sz w:val="24"/>
      <w:lang w:eastAsia="en-US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等线" w:hAnsi="等线" w:eastAsia="等线" w:cs="宋体"/>
      <w:i/>
      <w:iCs/>
      <w:sz w:val="20"/>
      <w:szCs w:val="20"/>
    </w:rPr>
  </w:style>
  <w:style w:type="paragraph" w:styleId="9">
    <w:name w:val="Plain Text"/>
    <w:basedOn w:val="1"/>
    <w:link w:val="22"/>
    <w:qFormat/>
    <w:uiPriority w:val="0"/>
    <w:rPr>
      <w:rFonts w:ascii="宋体" w:hAnsi="Courier New"/>
    </w:rPr>
  </w:style>
  <w:style w:type="paragraph" w:styleId="10">
    <w:name w:val="Balloon Text"/>
    <w:basedOn w:val="1"/>
    <w:link w:val="25"/>
    <w:qFormat/>
    <w:uiPriority w:val="99"/>
    <w:rPr>
      <w:sz w:val="18"/>
      <w:szCs w:val="18"/>
    </w:r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3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27"/>
    <w:qFormat/>
    <w:uiPriority w:val="99"/>
    <w:rPr>
      <w:b/>
      <w:bCs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annotation reference"/>
    <w:basedOn w:val="17"/>
    <w:qFormat/>
    <w:uiPriority w:val="99"/>
    <w:rPr>
      <w:sz w:val="21"/>
      <w:szCs w:val="21"/>
    </w:rPr>
  </w:style>
  <w:style w:type="character" w:customStyle="1" w:styleId="20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22">
    <w:name w:val="纯文本 字符"/>
    <w:basedOn w:val="17"/>
    <w:link w:val="9"/>
    <w:qFormat/>
    <w:uiPriority w:val="0"/>
    <w:rPr>
      <w:rFonts w:ascii="宋体" w:hAnsi="Courier New" w:eastAsia="宋体" w:cs="Times New Roman"/>
      <w:szCs w:val="24"/>
    </w:rPr>
  </w:style>
  <w:style w:type="character" w:customStyle="1" w:styleId="23">
    <w:name w:val="列表段落 字符"/>
    <w:basedOn w:val="17"/>
    <w:link w:val="21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4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字符"/>
    <w:basedOn w:val="17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文字 字符"/>
    <w:basedOn w:val="17"/>
    <w:link w:val="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批注主题 字符"/>
    <w:basedOn w:val="26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2 字符"/>
    <w:basedOn w:val="17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30">
    <w:name w:val="正文文本 字符"/>
    <w:basedOn w:val="17"/>
    <w:link w:val="7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character" w:customStyle="1" w:styleId="31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005正文 Char"/>
    <w:link w:val="33"/>
    <w:qFormat/>
    <w:uiPriority w:val="0"/>
  </w:style>
  <w:style w:type="paragraph" w:customStyle="1" w:styleId="33">
    <w:name w:val="005正文"/>
    <w:basedOn w:val="1"/>
    <w:link w:val="32"/>
    <w:qFormat/>
    <w:uiPriority w:val="0"/>
    <w:pPr>
      <w:spacing w:beforeLines="50" w:line="360" w:lineRule="auto"/>
      <w:ind w:firstLine="200" w:firstLineChars="200"/>
    </w:pPr>
    <w:rPr>
      <w:rFonts w:ascii="等线" w:hAnsi="等线" w:eastAsia="等线" w:cs="宋体"/>
      <w:szCs w:val="22"/>
    </w:rPr>
  </w:style>
  <w:style w:type="paragraph" w:customStyle="1" w:styleId="34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标题 4 字符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6">
    <w:name w:val="HTML 预设格式 字符"/>
    <w:basedOn w:val="17"/>
    <w:link w:val="1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wx_text_underline"/>
    <w:basedOn w:val="17"/>
    <w:qFormat/>
    <w:uiPriority w:val="0"/>
  </w:style>
  <w:style w:type="character" w:customStyle="1" w:styleId="39">
    <w:name w:val="wx_search_keyword_wrap"/>
    <w:basedOn w:val="17"/>
    <w:qFormat/>
    <w:uiPriority w:val="0"/>
  </w:style>
  <w:style w:type="character" w:customStyle="1" w:styleId="40">
    <w:name w:val="lb"/>
    <w:basedOn w:val="17"/>
    <w:qFormat/>
    <w:uiPriority w:val="0"/>
  </w:style>
  <w:style w:type="character" w:customStyle="1" w:styleId="41">
    <w:name w:val="标题 3 字符"/>
    <w:basedOn w:val="17"/>
    <w:link w:val="4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6D150-0CEF-4A6F-87BD-1AB94957E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2687</Words>
  <Characters>2936</Characters>
  <Lines>59</Lines>
  <Paragraphs>36</Paragraphs>
  <TotalTime>305</TotalTime>
  <ScaleCrop>false</ScaleCrop>
  <LinksUpToDate>false</LinksUpToDate>
  <CharactersWithSpaces>3042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2025-11-25T06:30:00Z</dcterms:created>
  <dc:creator>Ge ch</dc:creator>
  <cp:lastModifiedBy>萱</cp:lastModifiedBy>
  <cp:lastPrinted>2024-08-21T06:15:00Z</cp:lastPrinted>
  <dcterms:modified xsi:type="dcterms:W3CDTF">2026-05-22T05:51:15Z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C6FBD8FA64B544B288766FCF20966DF7_13</vt:lpwstr>
  </property>
</Properties>
</file>