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FD9DD" w14:textId="77777777" w:rsidR="00BB15CA" w:rsidRDefault="002A53B6">
      <w:pPr>
        <w:pStyle w:val="a3"/>
        <w:spacing w:before="166"/>
      </w:pPr>
      <w:r>
        <w:t>证券代码 :600235                                      证券简称:</w:t>
      </w:r>
      <w:r>
        <w:rPr>
          <w:rFonts w:hint="eastAsia"/>
        </w:rPr>
        <w:t>民丰特纸</w:t>
      </w:r>
    </w:p>
    <w:p w14:paraId="5185A257" w14:textId="77777777" w:rsidR="00BB15CA" w:rsidRDefault="002A53B6">
      <w:pPr>
        <w:pStyle w:val="a3"/>
        <w:spacing w:before="160"/>
        <w:ind w:left="700"/>
      </w:pPr>
      <w:r>
        <w:t xml:space="preserve"> </w:t>
      </w:r>
    </w:p>
    <w:p w14:paraId="0EB1C025" w14:textId="77777777" w:rsidR="00BB15CA" w:rsidRDefault="00BB15CA">
      <w:pPr>
        <w:pStyle w:val="a3"/>
        <w:spacing w:before="0"/>
        <w:ind w:left="0"/>
        <w:rPr>
          <w:sz w:val="11"/>
        </w:rPr>
      </w:pPr>
    </w:p>
    <w:p w14:paraId="54250B6E" w14:textId="77777777" w:rsidR="00BB15CA" w:rsidRDefault="002A53B6">
      <w:pPr>
        <w:spacing w:before="35" w:line="480" w:lineRule="exact"/>
        <w:jc w:val="center"/>
        <w:rPr>
          <w:rFonts w:asciiTheme="minorEastAsia" w:eastAsiaTheme="minorEastAsia" w:hAnsiTheme="minorEastAsia" w:cs="Microsoft JhengHei"/>
          <w:b/>
          <w:bCs/>
          <w:sz w:val="32"/>
          <w:szCs w:val="32"/>
        </w:rPr>
      </w:pPr>
      <w:r>
        <w:rPr>
          <w:rFonts w:asciiTheme="minorEastAsia" w:eastAsiaTheme="minorEastAsia" w:hAnsiTheme="minorEastAsia" w:cs="Microsoft JhengHei" w:hint="eastAsia"/>
          <w:b/>
          <w:bCs/>
          <w:sz w:val="32"/>
          <w:szCs w:val="32"/>
        </w:rPr>
        <w:t>民丰特种纸</w:t>
      </w:r>
      <w:r>
        <w:rPr>
          <w:rFonts w:asciiTheme="minorEastAsia" w:eastAsiaTheme="minorEastAsia" w:hAnsiTheme="minorEastAsia" w:cs="Microsoft JhengHei"/>
          <w:b/>
          <w:bCs/>
          <w:sz w:val="32"/>
          <w:szCs w:val="32"/>
        </w:rPr>
        <w:t>股份有限公司</w:t>
      </w:r>
    </w:p>
    <w:p w14:paraId="2C345972" w14:textId="77777777" w:rsidR="00BB15CA" w:rsidRDefault="002A53B6">
      <w:pPr>
        <w:spacing w:before="35" w:line="480" w:lineRule="exact"/>
        <w:jc w:val="center"/>
        <w:rPr>
          <w:rFonts w:asciiTheme="minorEastAsia" w:eastAsiaTheme="minorEastAsia" w:hAnsiTheme="minorEastAsia" w:cs="Microsoft JhengHei"/>
          <w:b/>
          <w:bCs/>
          <w:sz w:val="32"/>
          <w:szCs w:val="32"/>
        </w:rPr>
      </w:pPr>
      <w:r>
        <w:rPr>
          <w:rFonts w:asciiTheme="minorEastAsia" w:eastAsiaTheme="minorEastAsia" w:hAnsiTheme="minorEastAsia" w:cs="Microsoft JhengHei" w:hint="eastAsia"/>
          <w:b/>
          <w:bCs/>
          <w:sz w:val="32"/>
          <w:szCs w:val="32"/>
        </w:rPr>
        <w:t>投资者关系活动记录表</w:t>
      </w:r>
    </w:p>
    <w:p w14:paraId="6F584620" w14:textId="77777777" w:rsidR="00BB15CA" w:rsidRDefault="00BB15CA">
      <w:pPr>
        <w:pStyle w:val="a3"/>
        <w:spacing w:before="1"/>
        <w:ind w:left="0"/>
        <w:rPr>
          <w:rFonts w:ascii="Microsoft JhengHei"/>
          <w:b/>
          <w:sz w:val="29"/>
        </w:rPr>
      </w:pPr>
    </w:p>
    <w:p w14:paraId="2887200E" w14:textId="77777777" w:rsidR="00BB15CA" w:rsidRDefault="002A53B6">
      <w:pPr>
        <w:pStyle w:val="a3"/>
        <w:spacing w:before="67"/>
        <w:ind w:left="0" w:right="362"/>
        <w:jc w:val="right"/>
        <w:rPr>
          <w:szCs w:val="22"/>
          <w:lang w:val="en-US"/>
        </w:rPr>
      </w:pPr>
      <w:r>
        <w:rPr>
          <w:szCs w:val="22"/>
        </w:rPr>
        <w:t>编号: 202</w:t>
      </w:r>
      <w:r>
        <w:rPr>
          <w:rFonts w:hint="eastAsia"/>
          <w:szCs w:val="22"/>
          <w:lang w:val="en-US"/>
        </w:rPr>
        <w:t>60522</w:t>
      </w:r>
    </w:p>
    <w:p w14:paraId="62E57840" w14:textId="77777777" w:rsidR="00BB15CA" w:rsidRDefault="00BB15CA">
      <w:pPr>
        <w:pStyle w:val="a3"/>
        <w:spacing w:before="4"/>
        <w:ind w:left="0"/>
        <w:rPr>
          <w:sz w:val="6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81"/>
      </w:tblGrid>
      <w:tr w:rsidR="00BB15CA" w14:paraId="3A999373" w14:textId="77777777">
        <w:trPr>
          <w:trHeight w:val="1869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BA0B" w14:textId="77777777" w:rsidR="00BB15CA" w:rsidRDefault="002A53B6">
            <w:pPr>
              <w:pStyle w:val="TableParagraph"/>
              <w:spacing w:before="165"/>
              <w:ind w:left="191" w:right="62"/>
              <w:jc w:val="center"/>
              <w:rPr>
                <w:sz w:val="24"/>
              </w:rPr>
            </w:pPr>
            <w:r>
              <w:rPr>
                <w:sz w:val="24"/>
              </w:rPr>
              <w:t>投资者关系活动类别</w:t>
            </w:r>
          </w:p>
        </w:tc>
        <w:tc>
          <w:tcPr>
            <w:tcW w:w="5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1DD4" w14:textId="77777777" w:rsidR="00BB15CA" w:rsidRDefault="002A53B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8"/>
                <w:szCs w:val="28"/>
              </w:rPr>
              <w:sym w:font="Wingdings 2" w:char="F052"/>
            </w:r>
            <w:r>
              <w:rPr>
                <w:sz w:val="24"/>
              </w:rPr>
              <w:t xml:space="preserve">公司现场接待□电话接待 </w:t>
            </w:r>
          </w:p>
          <w:p w14:paraId="5FABFBB8" w14:textId="77777777" w:rsidR="00BB15CA" w:rsidRDefault="002A53B6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 xml:space="preserve">□其他场所接待□公开说明会 </w:t>
            </w:r>
          </w:p>
          <w:p w14:paraId="63E4BA67" w14:textId="77777777" w:rsidR="00BB15CA" w:rsidRDefault="002A53B6">
            <w:pPr>
              <w:pStyle w:val="TableParagraph"/>
              <w:spacing w:before="160"/>
              <w:rPr>
                <w:sz w:val="24"/>
              </w:rPr>
            </w:pPr>
            <w:r>
              <w:rPr>
                <w:sz w:val="24"/>
              </w:rPr>
              <w:t xml:space="preserve">□定期报告说明会□重要公告说明会 </w:t>
            </w:r>
          </w:p>
          <w:p w14:paraId="58CFE539" w14:textId="77777777" w:rsidR="00BB15CA" w:rsidRDefault="002A53B6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 xml:space="preserve">□其他： </w:t>
            </w:r>
          </w:p>
        </w:tc>
      </w:tr>
      <w:tr w:rsidR="00BB15CA" w14:paraId="6E0DC1A8" w14:textId="77777777">
        <w:trPr>
          <w:trHeight w:val="578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7127" w14:textId="77777777" w:rsidR="00BB15CA" w:rsidRDefault="002A53B6">
            <w:pPr>
              <w:pStyle w:val="TableParagraph"/>
              <w:spacing w:before="165"/>
              <w:ind w:left="191" w:right="62"/>
              <w:jc w:val="center"/>
              <w:rPr>
                <w:sz w:val="24"/>
              </w:rPr>
            </w:pPr>
            <w:r>
              <w:rPr>
                <w:sz w:val="24"/>
              </w:rPr>
              <w:t>参与单位名称及人员姓名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BEDB" w14:textId="77777777" w:rsidR="00BB15CA" w:rsidRDefault="002A53B6">
            <w:pPr>
              <w:pStyle w:val="TableParagraph"/>
              <w:spacing w:before="7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华</w:t>
            </w:r>
            <w:proofErr w:type="gramStart"/>
            <w:r>
              <w:rPr>
                <w:rFonts w:hint="eastAsia"/>
                <w:sz w:val="24"/>
              </w:rPr>
              <w:t>福</w:t>
            </w:r>
            <w:r>
              <w:rPr>
                <w:rFonts w:hint="eastAsia"/>
                <w:sz w:val="24"/>
                <w:lang w:val="en-US"/>
              </w:rPr>
              <w:t>证券</w:t>
            </w:r>
            <w:proofErr w:type="gramEnd"/>
            <w:r>
              <w:rPr>
                <w:rFonts w:hint="eastAsia"/>
                <w:sz w:val="24"/>
                <w:lang w:val="en-US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lang w:val="en-US"/>
              </w:rPr>
              <w:t>李宏鹏</w:t>
            </w:r>
            <w:proofErr w:type="gramEnd"/>
            <w:r>
              <w:rPr>
                <w:rFonts w:hint="eastAsia"/>
                <w:sz w:val="24"/>
                <w:lang w:val="en-US"/>
              </w:rPr>
              <w:t xml:space="preserve"> 汪浚哲</w:t>
            </w:r>
          </w:p>
        </w:tc>
      </w:tr>
      <w:tr w:rsidR="00BB15CA" w14:paraId="79CE3E76" w14:textId="77777777">
        <w:trPr>
          <w:trHeight w:val="57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2BAA" w14:textId="77777777" w:rsidR="00BB15CA" w:rsidRDefault="002A53B6">
            <w:pPr>
              <w:pStyle w:val="TableParagraph"/>
              <w:spacing w:before="165"/>
              <w:ind w:left="191" w:right="62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E64F" w14:textId="77777777" w:rsidR="00BB15CA" w:rsidRDefault="002A53B6">
            <w:pPr>
              <w:pStyle w:val="TableParagraph"/>
              <w:spacing w:before="165"/>
              <w:ind w:left="191" w:righ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</w:t>
            </w:r>
            <w:r>
              <w:rPr>
                <w:rFonts w:hint="eastAsia"/>
                <w:sz w:val="24"/>
                <w:lang w:val="en-US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/>
              </w:rPr>
              <w:t>22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B15CA" w14:paraId="5884D40A" w14:textId="77777777">
        <w:trPr>
          <w:trHeight w:val="578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25EE" w14:textId="77777777" w:rsidR="00BB15CA" w:rsidRDefault="002A53B6">
            <w:pPr>
              <w:pStyle w:val="TableParagraph"/>
              <w:spacing w:before="165"/>
              <w:ind w:left="191" w:right="62"/>
              <w:jc w:val="center"/>
              <w:rPr>
                <w:sz w:val="24"/>
              </w:rPr>
            </w:pPr>
            <w:r>
              <w:rPr>
                <w:sz w:val="24"/>
              </w:rPr>
              <w:t>地点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4BD6" w14:textId="77777777" w:rsidR="00BB15CA" w:rsidRDefault="002A53B6">
            <w:pPr>
              <w:autoSpaceDE/>
              <w:autoSpaceDN/>
              <w:spacing w:line="360" w:lineRule="auto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民丰</w:t>
            </w:r>
            <w:r>
              <w:rPr>
                <w:sz w:val="24"/>
              </w:rPr>
              <w:t>特纸</w:t>
            </w:r>
          </w:p>
          <w:p w14:paraId="299F1F69" w14:textId="77777777" w:rsidR="00BB15CA" w:rsidRDefault="002A53B6">
            <w:pPr>
              <w:autoSpaceDE/>
              <w:autoSpaceDN/>
              <w:spacing w:line="360" w:lineRule="auto"/>
              <w:jc w:val="both"/>
              <w:outlineLvl w:val="1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kern w:val="2"/>
                <w:sz w:val="24"/>
                <w:szCs w:val="24"/>
                <w:lang w:val="en-US" w:bidi="ar"/>
              </w:rPr>
              <w:t>浙江省嘉兴市海盐</w:t>
            </w:r>
            <w:proofErr w:type="gramStart"/>
            <w:r>
              <w:rPr>
                <w:rFonts w:hint="eastAsia"/>
                <w:kern w:val="2"/>
                <w:sz w:val="24"/>
                <w:szCs w:val="24"/>
                <w:lang w:val="en-US" w:bidi="ar"/>
              </w:rPr>
              <w:t>县沈荡镇</w:t>
            </w:r>
            <w:proofErr w:type="gramEnd"/>
            <w:r>
              <w:rPr>
                <w:rFonts w:hint="eastAsia"/>
                <w:kern w:val="2"/>
                <w:sz w:val="24"/>
                <w:szCs w:val="24"/>
                <w:lang w:val="en-US" w:bidi="ar"/>
              </w:rPr>
              <w:t>永康路288号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BB15CA" w14:paraId="2851AB37" w14:textId="77777777">
        <w:trPr>
          <w:trHeight w:val="57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55C0" w14:textId="77777777" w:rsidR="00BB15CA" w:rsidRDefault="002A53B6">
            <w:pPr>
              <w:pStyle w:val="TableParagraph"/>
              <w:spacing w:before="165"/>
              <w:ind w:left="191" w:righ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上市公司接待人员姓名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A9F1" w14:textId="5F98FB58" w:rsidR="00BB15CA" w:rsidRDefault="002A53B6">
            <w:pPr>
              <w:pStyle w:val="TableParagraph"/>
              <w:spacing w:before="165"/>
              <w:ind w:left="191" w:right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董事会</w:t>
            </w:r>
            <w:r>
              <w:rPr>
                <w:sz w:val="24"/>
              </w:rPr>
              <w:t>秘书</w:t>
            </w:r>
            <w:r>
              <w:rPr>
                <w:rFonts w:hint="eastAsia"/>
                <w:sz w:val="24"/>
              </w:rPr>
              <w:t>姚名欢</w:t>
            </w:r>
            <w:bookmarkStart w:id="0" w:name="_GoBack"/>
            <w:bookmarkEnd w:id="0"/>
          </w:p>
          <w:p w14:paraId="4C31A9F3" w14:textId="77777777" w:rsidR="00BB15CA" w:rsidRDefault="002A53B6">
            <w:pPr>
              <w:pStyle w:val="TableParagraph"/>
              <w:spacing w:before="165"/>
              <w:ind w:left="191" w:right="62"/>
              <w:jc w:val="center"/>
              <w:rPr>
                <w:sz w:val="24"/>
              </w:rPr>
            </w:pPr>
            <w:r>
              <w:rPr>
                <w:sz w:val="24"/>
              </w:rPr>
              <w:t>证券事务代表严水明</w:t>
            </w:r>
          </w:p>
        </w:tc>
      </w:tr>
      <w:tr w:rsidR="00BB15CA" w14:paraId="43672A88" w14:textId="77777777">
        <w:trPr>
          <w:trHeight w:val="4214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F080" w14:textId="77777777" w:rsidR="00BB15CA" w:rsidRDefault="002A53B6">
            <w:pPr>
              <w:pStyle w:val="TableParagraph"/>
              <w:spacing w:before="180" w:line="364" w:lineRule="auto"/>
              <w:ind w:left="1230" w:right="141" w:hanging="1080"/>
              <w:rPr>
                <w:sz w:val="24"/>
              </w:rPr>
            </w:pPr>
            <w:r>
              <w:rPr>
                <w:sz w:val="24"/>
              </w:rPr>
              <w:t xml:space="preserve">投资者关系活动主要内容介绍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4AF3" w14:textId="77777777" w:rsidR="00BB15CA" w:rsidRDefault="00BB15CA">
            <w:pPr>
              <w:rPr>
                <w:b/>
              </w:rPr>
            </w:pPr>
          </w:p>
          <w:p w14:paraId="37D59851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Q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：关于产能，公司二期“年产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7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万吨特种涂布纸项目”已于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2025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年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6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月底投产，目前爬坡进度和实际产能利用率如何？预计何时能满产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/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达到盈亏平衡？</w:t>
            </w:r>
          </w:p>
          <w:p w14:paraId="01202C69" w14:textId="1F62783F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A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：公司二期项目自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投产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以来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，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项目运行始终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朝着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积极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方向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迈进。目前月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产能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已经接近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5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000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吨，生产总体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保持稳定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，产能利用率目前约为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7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0%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左右（按年产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7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万吨计算），该项目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目前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已经达到毛利盈亏平衡。公司接下来将继续努力，根据市场情况合理安排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生产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，争取早日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实现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项目满产。</w:t>
            </w:r>
          </w:p>
          <w:p w14:paraId="1236E53A" w14:textId="77777777" w:rsidR="00BB15CA" w:rsidRDefault="00BB15CA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</w:p>
          <w:p w14:paraId="5B40AAFA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Q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：去年下半年以来，</w:t>
            </w:r>
            <w:proofErr w:type="gramStart"/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外盘浆价持续</w:t>
            </w:r>
            <w:proofErr w:type="gramEnd"/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上涨，</w:t>
            </w:r>
            <w:proofErr w:type="gramStart"/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当前浆价高位</w:t>
            </w:r>
            <w:proofErr w:type="gramEnd"/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盘整，另外地缘冲突也导致部分化工辅料、能源成本波动，请问我们目前成本端环比波动情况？我们有哪些应对措施？</w:t>
            </w:r>
          </w:p>
          <w:p w14:paraId="1E18BE60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A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：公司目前木浆领用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成本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整体保持平稳，环比略有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下降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；但是受地缘冲突影响，化工辅料领用成本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整体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涨幅较大。能源成本基本保持稳定。公司主动积极应对原辅材料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的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上涨，通过降低产品单耗、实施进口替代等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措施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，努力控制公司成本保持在一个合理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范围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之内。</w:t>
            </w:r>
          </w:p>
          <w:p w14:paraId="51E2BA43" w14:textId="77777777" w:rsidR="00BB15CA" w:rsidRDefault="00BB15CA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</w:p>
          <w:p w14:paraId="07A65F9E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Q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：看到友商在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Q1/Q2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对部分产品进行了提价，我们是否也有价格调整策略，如何看待延续性？</w:t>
            </w:r>
          </w:p>
          <w:p w14:paraId="091917AE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A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: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公司将根据市场供需变化以及自身实际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情况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，科学灵活的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实施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价格策略。公司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认为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提价是否具有延续性，主要还是取决于市场整体的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供需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态势变化。</w:t>
            </w:r>
          </w:p>
          <w:p w14:paraId="0C4438E0" w14:textId="77777777" w:rsidR="00BB15CA" w:rsidRDefault="00BB15CA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</w:p>
          <w:p w14:paraId="4AC859CC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lastRenderedPageBreak/>
              <w:t>Q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：关于政府补助，公司南湖</w:t>
            </w:r>
            <w:proofErr w:type="gramStart"/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厂区征收</w:t>
            </w:r>
            <w:proofErr w:type="gramEnd"/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补偿总金额合计约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10.79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亿元，已于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2025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年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11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月收到第一期补偿款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1.3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亿元，请问公司预计何时能够收到剩余的约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9.5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亿元补偿款？具体的收款节奏是怎样的？以及该笔款项准备如何使用？</w:t>
            </w:r>
          </w:p>
          <w:p w14:paraId="0EB6AF22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A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：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公司补偿款的具体情况敬请查阅公司于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2025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年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9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月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30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日披露的关于签署《国有土地上房屋征收补偿框架协议》的公告。公司将严格按照《框架协议》以及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公司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自身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实际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需求，科学合理的使用好补偿款。</w:t>
            </w:r>
          </w:p>
          <w:p w14:paraId="65A01EF6" w14:textId="77777777" w:rsidR="00BB15CA" w:rsidRDefault="00BB15CA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</w:p>
          <w:p w14:paraId="1234ECFB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Q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：去年我们描图纸增收不增利，主要是哪些原因？是成本端压力较大还是价格难以传导，期末库存较高，预计将如何消化？</w:t>
            </w:r>
          </w:p>
          <w:p w14:paraId="108CD21D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A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：去年描图纸增收不增利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的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主要原因是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该产品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毛利率同比下降较大，营业收入的增长来源于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销量增加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，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但是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产品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售价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不增反降，同时营业成本的增幅超过营业收入的增幅。今年以来，该产品售价有所回暖，但市场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整体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仍呈现供过于求的态势，并且短期内很难扭转。公司将通过局部压产、开发新品等措施积极应对。</w:t>
            </w:r>
          </w:p>
          <w:p w14:paraId="013F6968" w14:textId="77777777" w:rsidR="00BB15CA" w:rsidRDefault="00BB15CA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</w:p>
          <w:p w14:paraId="7A5255B8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Q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：我们当前卷烟纸的生产经营情况，有导入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/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中标哪些新客户，或者开发了哪些新产品，如何对比新产品与我们普通产品的盈利差异？</w:t>
            </w:r>
          </w:p>
          <w:p w14:paraId="00702F97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A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：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公司在卷烟纸新产品开发方面，通过自主创新、合作研发、高端定制，开发多</w:t>
            </w:r>
            <w:proofErr w:type="gramStart"/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款具有</w:t>
            </w:r>
            <w:proofErr w:type="gramEnd"/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卓越性能、深受用户认可的新产品。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 xml:space="preserve">2025 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年成功应用于新用户及新牌号数量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35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个，包括云烟、利群、黄鹤楼、芙蓉王等国内著名高档烟大品牌；公司首次全方位深度参与云南中烟技术研发工作并获得高度评价，目前已完成三款卷烟新品的技术开发并成功批量供货；针对湖北中烟和贵州中</w:t>
            </w:r>
            <w:proofErr w:type="gramStart"/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烟出口</w:t>
            </w:r>
            <w:proofErr w:type="gramEnd"/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中东市场定制化需求，配合开发多款黑色、两色渐变、多色</w:t>
            </w:r>
            <w:proofErr w:type="gramStart"/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炫</w:t>
            </w:r>
            <w:proofErr w:type="gramEnd"/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彩新颖卷烟纸，实现批量供货，并获得市场高度认可，增量潜力较大。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部分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新品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毛利较原普通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产品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盈利能力略有提升。</w:t>
            </w:r>
          </w:p>
          <w:p w14:paraId="3B67D05B" w14:textId="77777777" w:rsidR="00BB15CA" w:rsidRDefault="00BB15CA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</w:p>
          <w:p w14:paraId="2415F88A" w14:textId="77777777" w:rsidR="00BB15CA" w:rsidRDefault="00BB15CA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</w:p>
          <w:p w14:paraId="70A691D4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Q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：我们去年工业配套用纸下滑较多，主要原因有哪些，未来这一块的发展规划？</w:t>
            </w:r>
          </w:p>
          <w:p w14:paraId="15BD4521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A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: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去年工业配套用纸销量下滑的主要原因是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2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5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年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与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2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4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年相比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部分机台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（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P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M21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）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停产，二期项目产能尚处于爬坡阶段，以及市场竞争激烈，导致产销量同比减少所致。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P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M22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纸机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2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4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年运行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8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个月，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2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5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年无；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P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M21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纸机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2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4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年全年运行，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2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5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年运行半年。未来工配用纸将全部由二期项目承接。</w:t>
            </w:r>
          </w:p>
          <w:p w14:paraId="0E53FEA9" w14:textId="77777777" w:rsidR="00BB15CA" w:rsidRDefault="00BB15CA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</w:p>
          <w:p w14:paraId="2BC840ED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Q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：面对行业“高集中、微盈利”的新阶段，除了降本增效的常规提法外，公司在产品差异化方面有哪些具体举措来构建护城河？例如，在加热不燃烧（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HNB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）烟草用纸、环保型描图纸等高增长领域，公司的技术储备和市场开拓进展如何？</w:t>
            </w:r>
          </w:p>
          <w:p w14:paraId="0690F497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A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: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 xml:space="preserve"> 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公司根据国内和国际市场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HNB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新型烟草用纸技术开发需求，研发储备具有耐温、防渗以及导热型的新型卷烟用纸产品，目前已有多款产品应用于国内中烟加热卷烟产品中。描图纸方面，公司积极拓展应用场景，挖掘增量市场：依托描图纸高克重、高平滑度、高透明度的核心特性，向高端电子产品包装等高潜力领域延伸。</w:t>
            </w:r>
          </w:p>
          <w:p w14:paraId="7D84B0F2" w14:textId="77777777" w:rsidR="00BB15CA" w:rsidRDefault="00BB15CA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</w:p>
          <w:p w14:paraId="690C3F8D" w14:textId="77777777" w:rsidR="00BB15CA" w:rsidRDefault="00BB15CA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</w:p>
          <w:p w14:paraId="0D97EC63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lastRenderedPageBreak/>
              <w:t>Q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：请问管理层对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2026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年全年的营业收入和净利润是否有具体的指引或增长目标？</w:t>
            </w:r>
          </w:p>
          <w:p w14:paraId="4FD6E1A5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A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：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 xml:space="preserve">2026 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年是公司生产经营全面转移至海盐的开局之年，也是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“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十五五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”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规划的开局之年。公司将始终筑牢安全和环保底线，紧密围绕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“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开源、节流、提质、增效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”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八字总方针，谋划重点工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 xml:space="preserve"> 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作方向，制订工作措施，狠抓落实，全力以赴达成各项年度目标，以实干实绩实效为民丰下一个五年规划开好局，起好步。</w:t>
            </w:r>
            <w:r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  <w:t xml:space="preserve"> </w:t>
            </w:r>
          </w:p>
          <w:p w14:paraId="21E202D4" w14:textId="77777777" w:rsidR="00BB15CA" w:rsidRDefault="00BB15CA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</w:p>
          <w:p w14:paraId="0980E401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Q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：考虑到公司即将获得搬迁补偿款，现金状况将极大改善，公司是否会考虑在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2026</w:t>
            </w:r>
            <w:r>
              <w:rPr>
                <w:rFonts w:ascii="Calibri" w:hAnsi="Calibri" w:cs="Times New Roman" w:hint="eastAsia"/>
                <w:kern w:val="2"/>
                <w:sz w:val="21"/>
                <w:szCs w:val="24"/>
                <w:lang w:val="en-US" w:bidi="ar-SA"/>
              </w:rPr>
              <w:t>年及以后提高分红比例，以回报长期投资者？是否有计划将分红政策与未来的现金流状况更紧密地挂钩？</w:t>
            </w:r>
          </w:p>
          <w:p w14:paraId="4F423A0F" w14:textId="77777777" w:rsidR="00BB15CA" w:rsidRDefault="002A53B6">
            <w:pPr>
              <w:autoSpaceDE/>
              <w:autoSpaceDN/>
              <w:jc w:val="both"/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A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：关于分红事项，公司将严格按照《股东回报规划》（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2024-2026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年）要求，结合公司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202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6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年实际经营状况以及现金流状况，审慎制订</w:t>
            </w:r>
            <w:r>
              <w:rPr>
                <w:rFonts w:ascii="Calibri" w:hAnsi="Calibri" w:cs="Times New Roman"/>
                <w:b/>
                <w:kern w:val="2"/>
                <w:sz w:val="21"/>
                <w:szCs w:val="24"/>
                <w:lang w:val="en-US" w:bidi="ar-SA"/>
              </w:rPr>
              <w:t>2026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年的分红方案！</w:t>
            </w:r>
            <w:r>
              <w:rPr>
                <w:rFonts w:ascii="Calibri" w:hAnsi="Calibri" w:cs="Times New Roman" w:hint="eastAsia"/>
                <w:b/>
                <w:kern w:val="2"/>
                <w:sz w:val="21"/>
                <w:szCs w:val="24"/>
                <w:lang w:val="en-US" w:bidi="ar-SA"/>
              </w:rPr>
              <w:t> </w:t>
            </w:r>
          </w:p>
          <w:p w14:paraId="6CDE4910" w14:textId="77777777" w:rsidR="00BB15CA" w:rsidRDefault="002A53B6">
            <w:pPr>
              <w:pStyle w:val="TableParagraph"/>
              <w:spacing w:before="16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6A5D849" w14:textId="77777777" w:rsidR="00BB15CA" w:rsidRDefault="002A53B6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B15CA" w14:paraId="3C11C6EB" w14:textId="77777777">
        <w:trPr>
          <w:trHeight w:val="57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0A18" w14:textId="77777777" w:rsidR="00BB15CA" w:rsidRDefault="002A53B6">
            <w:pPr>
              <w:pStyle w:val="TableParagraph"/>
              <w:spacing w:before="131"/>
              <w:ind w:left="190" w:right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是否涉及应当披露的</w:t>
            </w:r>
          </w:p>
          <w:p w14:paraId="67D77E38" w14:textId="77777777" w:rsidR="00BB15CA" w:rsidRDefault="002A53B6">
            <w:pPr>
              <w:pStyle w:val="TableParagraph"/>
              <w:spacing w:before="131"/>
              <w:ind w:left="190" w:right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重大信息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09E0" w14:textId="77777777" w:rsidR="00BB15CA" w:rsidRDefault="002A53B6">
            <w:pPr>
              <w:pStyle w:val="TableParagraph"/>
              <w:spacing w:before="131"/>
              <w:ind w:left="190" w:right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:rsidR="00BB15CA" w14:paraId="4F67F0DA" w14:textId="77777777">
        <w:trPr>
          <w:trHeight w:val="57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CC59" w14:textId="77777777" w:rsidR="00BB15CA" w:rsidRDefault="002A53B6">
            <w:pPr>
              <w:pStyle w:val="TableParagraph"/>
              <w:spacing w:before="131"/>
              <w:ind w:left="190" w:right="62"/>
              <w:jc w:val="center"/>
              <w:rPr>
                <w:sz w:val="24"/>
              </w:rPr>
            </w:pPr>
            <w:r>
              <w:rPr>
                <w:sz w:val="24"/>
              </w:rPr>
              <w:t>附件清单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如有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3326" w14:textId="77777777" w:rsidR="00BB15CA" w:rsidRDefault="002A53B6">
            <w:pPr>
              <w:pStyle w:val="TableParagraph"/>
              <w:spacing w:before="131"/>
              <w:ind w:left="190" w:right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BB15CA" w14:paraId="0CD8921E" w14:textId="77777777">
        <w:trPr>
          <w:trHeight w:val="57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F878" w14:textId="77777777" w:rsidR="00BB15CA" w:rsidRDefault="002A53B6">
            <w:pPr>
              <w:pStyle w:val="TableParagraph"/>
              <w:spacing w:before="134"/>
              <w:ind w:left="190" w:right="62"/>
              <w:jc w:val="center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D7EE" w14:textId="77777777" w:rsidR="00BB15CA" w:rsidRDefault="002A53B6">
            <w:pPr>
              <w:pStyle w:val="TableParagraph"/>
              <w:spacing w:before="134"/>
              <w:ind w:left="190" w:right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/>
              </w:rPr>
              <w:t>22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B6A3567" w14:textId="77777777" w:rsidR="00BB15CA" w:rsidRDefault="002A53B6">
      <w:pPr>
        <w:pStyle w:val="a3"/>
        <w:spacing w:before="79"/>
        <w:ind w:left="700"/>
      </w:pPr>
      <w:r>
        <w:t xml:space="preserve"> </w:t>
      </w:r>
    </w:p>
    <w:sectPr w:rsidR="00BB15CA">
      <w:pgSz w:w="11910" w:h="16840"/>
      <w:pgMar w:top="1460" w:right="1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A4"/>
    <w:rsid w:val="000A2A1A"/>
    <w:rsid w:val="00137B3B"/>
    <w:rsid w:val="00211AB6"/>
    <w:rsid w:val="00254B41"/>
    <w:rsid w:val="00262138"/>
    <w:rsid w:val="00263A10"/>
    <w:rsid w:val="002A3789"/>
    <w:rsid w:val="002A53B6"/>
    <w:rsid w:val="002F7BD5"/>
    <w:rsid w:val="003D0DE6"/>
    <w:rsid w:val="003E40F7"/>
    <w:rsid w:val="00470FA4"/>
    <w:rsid w:val="006B496D"/>
    <w:rsid w:val="00772E74"/>
    <w:rsid w:val="00782E5A"/>
    <w:rsid w:val="00954463"/>
    <w:rsid w:val="009659C3"/>
    <w:rsid w:val="00976D87"/>
    <w:rsid w:val="00AF0FD9"/>
    <w:rsid w:val="00AF6190"/>
    <w:rsid w:val="00B40CA4"/>
    <w:rsid w:val="00BB03B8"/>
    <w:rsid w:val="00BB15CA"/>
    <w:rsid w:val="00CF68E3"/>
    <w:rsid w:val="00D47E82"/>
    <w:rsid w:val="00D74A63"/>
    <w:rsid w:val="00EA2C20"/>
    <w:rsid w:val="00F2681A"/>
    <w:rsid w:val="00FC62FD"/>
    <w:rsid w:val="00FE1649"/>
    <w:rsid w:val="21D9718F"/>
    <w:rsid w:val="6A560CCF"/>
    <w:rsid w:val="73D9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287FF"/>
  <w15:docId w15:val="{7AADBC31-BF29-4342-8860-5F8B2C93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uiPriority w:val="1"/>
    <w:qFormat/>
    <w:pPr>
      <w:ind w:left="2443"/>
      <w:outlineLvl w:val="0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511" w:lineRule="exact"/>
      <w:ind w:left="2377" w:right="1745"/>
      <w:jc w:val="center"/>
      <w:outlineLvl w:val="1"/>
    </w:pPr>
    <w:rPr>
      <w:rFonts w:ascii="Microsoft JhengHei" w:eastAsia="Microsoft JhengHei" w:hAnsi="Microsoft JhengHei" w:cs="Microsoft JhengHei"/>
      <w:b/>
      <w:bCs/>
      <w:sz w:val="30"/>
      <w:szCs w:val="30"/>
    </w:rPr>
  </w:style>
  <w:style w:type="paragraph" w:styleId="3">
    <w:name w:val="heading 3"/>
    <w:basedOn w:val="a"/>
    <w:uiPriority w:val="1"/>
    <w:qFormat/>
    <w:pPr>
      <w:spacing w:line="364" w:lineRule="exact"/>
      <w:ind w:left="2377"/>
      <w:outlineLvl w:val="2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"/>
      <w:ind w:left="220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7">
    <w:name w:val="页眉 字符"/>
    <w:basedOn w:val="a0"/>
    <w:link w:val="a6"/>
    <w:uiPriority w:val="99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paragraph" w:customStyle="1" w:styleId="marklang-paragraph">
    <w:name w:val="marklang-paragraph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customStyle="1" w:styleId="cosd-citation-citationid">
    <w:name w:val="cosd-citation-citationid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350</Words>
  <Characters>1996</Characters>
  <Application>Microsoft Office Word</Application>
  <DocSecurity>0</DocSecurity>
  <Lines>16</Lines>
  <Paragraphs>4</Paragraphs>
  <ScaleCrop>false</ScaleCrop>
  <Company>微软中国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姚名欢</cp:lastModifiedBy>
  <cp:revision>18</cp:revision>
  <dcterms:created xsi:type="dcterms:W3CDTF">2025-04-15T09:11:00Z</dcterms:created>
  <dcterms:modified xsi:type="dcterms:W3CDTF">2026-05-22T06:43:00Z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2025-04-11T00:00:00Z</vt:filetime>
  </property>
  <property fmtid="{D5CDD505-2E9C-101B-9397-08002B2CF9AE}" pid="5" name="KSOProductBuildVer">
    <vt:lpwstr>2052-12.8.2.18205</vt:lpwstr>
  </property>
  <property fmtid="{D5CDD505-2E9C-101B-9397-08002B2CF9AE}" pid="6" name="ICV">
    <vt:lpwstr>CE566F769EE04445998B30F0742F429D_12</vt:lpwstr>
  </property>
</Properties>
</file>