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745F">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广东天安新材料</w:t>
      </w:r>
      <w:r>
        <w:rPr>
          <w:rFonts w:ascii="宋体" w:hAnsi="宋体"/>
          <w:b/>
          <w:bCs/>
          <w:iCs/>
          <w:color w:val="FF0000"/>
          <w:sz w:val="28"/>
          <w:szCs w:val="24"/>
        </w:rPr>
        <w:t>股份有限公司</w:t>
      </w:r>
    </w:p>
    <w:p w14:paraId="2F692872">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投资者关系活动记录表</w:t>
      </w:r>
    </w:p>
    <w:p w14:paraId="70415F46">
      <w:pPr>
        <w:spacing w:line="400" w:lineRule="exact"/>
        <w:rPr>
          <w:rFonts w:hint="eastAsia" w:ascii="宋体" w:hAnsi="宋体" w:eastAsia="宋体"/>
          <w:bCs/>
          <w:iCs/>
          <w:sz w:val="24"/>
          <w:szCs w:val="24"/>
          <w:lang w:eastAsia="zh-CN"/>
        </w:rPr>
      </w:pPr>
      <w:r>
        <w:rPr>
          <w:rFonts w:hint="eastAsia" w:ascii="宋体" w:hAnsi="宋体"/>
          <w:bCs/>
          <w:iCs/>
          <w:sz w:val="24"/>
          <w:szCs w:val="24"/>
        </w:rPr>
        <w:t xml:space="preserve">                                                   编号：</w:t>
      </w:r>
      <w:r>
        <w:rPr>
          <w:rFonts w:ascii="宋体" w:hAnsi="宋体"/>
          <w:bCs/>
          <w:iCs/>
          <w:sz w:val="24"/>
          <w:szCs w:val="24"/>
        </w:rPr>
        <w:t>TA</w:t>
      </w: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-00</w:t>
      </w:r>
      <w:r>
        <w:rPr>
          <w:rFonts w:hint="eastAsia" w:ascii="宋体" w:hAnsi="宋体"/>
          <w:bCs/>
          <w:iCs/>
          <w:sz w:val="24"/>
          <w:szCs w:val="24"/>
          <w:lang w:val="en-US" w:eastAsia="zh-CN"/>
        </w:rPr>
        <w:t>2</w:t>
      </w:r>
    </w:p>
    <w:tbl>
      <w:tblPr>
        <w:tblStyle w:val="6"/>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6499"/>
      </w:tblGrid>
      <w:tr w14:paraId="09D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16F0F3AC">
            <w:pPr>
              <w:spacing w:line="480" w:lineRule="atLeast"/>
              <w:jc w:val="both"/>
              <w:rPr>
                <w:rFonts w:hint="eastAsia" w:ascii="宋体" w:hAnsi="宋体"/>
                <w:b/>
                <w:bCs/>
                <w:iCs/>
                <w:sz w:val="24"/>
                <w:szCs w:val="24"/>
              </w:rPr>
            </w:pPr>
            <w:r>
              <w:rPr>
                <w:rFonts w:hint="eastAsia" w:ascii="宋体" w:hAnsi="宋体"/>
                <w:b/>
                <w:bCs/>
                <w:iCs/>
                <w:sz w:val="24"/>
                <w:szCs w:val="24"/>
              </w:rPr>
              <w:t>投资者关系活动类别</w:t>
            </w:r>
          </w:p>
          <w:p w14:paraId="34C0CF0C">
            <w:pPr>
              <w:spacing w:line="480" w:lineRule="atLeast"/>
              <w:jc w:val="both"/>
              <w:rPr>
                <w:rFonts w:hint="eastAsia" w:ascii="宋体" w:hAnsi="宋体"/>
                <w:b/>
                <w:bCs/>
                <w:iCs/>
                <w:sz w:val="24"/>
                <w:szCs w:val="24"/>
              </w:rPr>
            </w:pPr>
          </w:p>
        </w:tc>
        <w:tc>
          <w:tcPr>
            <w:tcW w:w="6499" w:type="dxa"/>
            <w:shd w:val="clear" w:color="auto" w:fill="auto"/>
          </w:tcPr>
          <w:p w14:paraId="63D3D6B9">
            <w:pPr>
              <w:spacing w:line="480" w:lineRule="atLeast"/>
              <w:rPr>
                <w:rFonts w:hint="eastAsia" w:ascii="宋体" w:hAnsi="宋体"/>
                <w:bCs/>
                <w:iCs/>
                <w:sz w:val="24"/>
                <w:szCs w:val="24"/>
              </w:rPr>
            </w:pP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50E16F77">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sz w:val="24"/>
                <w:szCs w:val="24"/>
                <w:lang w:eastAsia="zh-CN"/>
              </w:rPr>
              <w:t>☑</w:t>
            </w:r>
            <w:r>
              <w:rPr>
                <w:rFonts w:hint="eastAsia" w:ascii="宋体" w:hAnsi="宋体"/>
                <w:sz w:val="24"/>
                <w:szCs w:val="24"/>
              </w:rPr>
              <w:t>业绩说明会</w:t>
            </w:r>
          </w:p>
          <w:p w14:paraId="737E1686">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sz w:val="24"/>
                <w:szCs w:val="24"/>
                <w:lang w:val="en-US" w:eastAsia="zh-CN"/>
              </w:rPr>
              <w:t xml:space="preserve"> </w:t>
            </w:r>
            <w:r>
              <w:rPr>
                <w:rFonts w:hint="eastAsia" w:ascii="宋体" w:hAnsi="宋体"/>
                <w:sz w:val="24"/>
                <w:szCs w:val="24"/>
              </w:rPr>
              <w:t xml:space="preserve">        □路演活动</w:t>
            </w:r>
          </w:p>
          <w:p w14:paraId="4732FAE8">
            <w:pPr>
              <w:tabs>
                <w:tab w:val="left" w:pos="2805"/>
                <w:tab w:val="center" w:pos="3199"/>
              </w:tabs>
              <w:spacing w:line="480" w:lineRule="atLeast"/>
              <w:rPr>
                <w:rFonts w:hint="eastAsia" w:ascii="宋体" w:hAnsi="宋体" w:eastAsia="宋体"/>
                <w:bCs/>
                <w:iCs/>
                <w:sz w:val="24"/>
                <w:szCs w:val="24"/>
                <w:lang w:val="en-US" w:eastAsia="zh-CN"/>
              </w:rPr>
            </w:pPr>
            <w:r>
              <w:rPr>
                <w:rFonts w:hint="eastAsia" w:ascii="宋体" w:hAnsi="宋体"/>
                <w:sz w:val="24"/>
                <w:szCs w:val="24"/>
              </w:rPr>
              <w:t>□现场参观</w:t>
            </w:r>
            <w:r>
              <w:rPr>
                <w:rFonts w:hint="eastAsia" w:ascii="宋体" w:hAnsi="宋体"/>
                <w:bCs/>
                <w:iCs/>
                <w:sz w:val="24"/>
                <w:szCs w:val="24"/>
              </w:rPr>
              <w:t xml:space="preserve">            </w:t>
            </w:r>
            <w:r>
              <w:rPr>
                <w:rFonts w:hint="eastAsia" w:ascii="宋体" w:hAnsi="宋体"/>
                <w:sz w:val="24"/>
                <w:szCs w:val="24"/>
              </w:rPr>
              <w:t>□</w:t>
            </w:r>
            <w:r>
              <w:rPr>
                <w:rFonts w:hint="eastAsia" w:ascii="宋体" w:hAnsi="宋体"/>
                <w:bCs/>
                <w:iCs/>
                <w:sz w:val="24"/>
                <w:szCs w:val="24"/>
              </w:rPr>
              <w:t>其他</w:t>
            </w:r>
          </w:p>
        </w:tc>
      </w:tr>
      <w:tr w14:paraId="051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1A7BBD2E">
            <w:pPr>
              <w:spacing w:line="480" w:lineRule="atLeast"/>
              <w:jc w:val="both"/>
              <w:rPr>
                <w:rFonts w:hint="eastAsia" w:ascii="宋体" w:hAnsi="宋体"/>
                <w:b/>
                <w:bCs/>
                <w:iCs/>
                <w:sz w:val="24"/>
                <w:szCs w:val="24"/>
              </w:rPr>
            </w:pPr>
            <w:r>
              <w:rPr>
                <w:rFonts w:hint="eastAsia" w:ascii="宋体" w:hAnsi="宋体"/>
                <w:b/>
                <w:bCs/>
                <w:iCs/>
                <w:sz w:val="24"/>
                <w:szCs w:val="24"/>
              </w:rPr>
              <w:t>参与单位名称</w:t>
            </w:r>
          </w:p>
        </w:tc>
        <w:tc>
          <w:tcPr>
            <w:tcW w:w="6499" w:type="dxa"/>
            <w:shd w:val="clear" w:color="auto" w:fill="auto"/>
            <w:vAlign w:val="center"/>
          </w:tcPr>
          <w:p w14:paraId="18155306">
            <w:pPr>
              <w:spacing w:line="480" w:lineRule="atLeast"/>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参与公司</w:t>
            </w:r>
            <w:r>
              <w:rPr>
                <w:rFonts w:hint="default" w:asciiTheme="minorEastAsia" w:hAnsiTheme="minorEastAsia" w:eastAsiaTheme="minorEastAsia"/>
                <w:sz w:val="24"/>
                <w:szCs w:val="24"/>
                <w:lang w:val="en-US" w:eastAsia="zh-CN"/>
              </w:rPr>
              <w:t>2025年年度暨2026年第一季度业绩说明会</w:t>
            </w:r>
            <w:r>
              <w:rPr>
                <w:rFonts w:hint="eastAsia" w:asciiTheme="minorEastAsia" w:hAnsiTheme="minorEastAsia" w:eastAsiaTheme="minorEastAsia"/>
                <w:sz w:val="24"/>
                <w:szCs w:val="24"/>
                <w:lang w:val="en-US" w:eastAsia="zh-CN"/>
              </w:rPr>
              <w:t>的投资者</w:t>
            </w:r>
          </w:p>
        </w:tc>
      </w:tr>
      <w:tr w14:paraId="3E7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07EB9D8B">
            <w:pPr>
              <w:spacing w:line="480" w:lineRule="atLeast"/>
              <w:jc w:val="both"/>
              <w:rPr>
                <w:rFonts w:hint="eastAsia" w:ascii="宋体" w:hAnsi="宋体"/>
                <w:b/>
                <w:bCs/>
                <w:iCs/>
                <w:sz w:val="24"/>
                <w:szCs w:val="24"/>
              </w:rPr>
            </w:pPr>
            <w:r>
              <w:rPr>
                <w:rFonts w:hint="eastAsia" w:ascii="宋体" w:hAnsi="宋体"/>
                <w:b/>
                <w:bCs/>
                <w:iCs/>
                <w:sz w:val="24"/>
                <w:szCs w:val="24"/>
              </w:rPr>
              <w:t>时间</w:t>
            </w:r>
          </w:p>
        </w:tc>
        <w:tc>
          <w:tcPr>
            <w:tcW w:w="6499" w:type="dxa"/>
            <w:shd w:val="clear" w:color="auto" w:fill="auto"/>
            <w:vAlign w:val="center"/>
          </w:tcPr>
          <w:p w14:paraId="750791CB">
            <w:pPr>
              <w:spacing w:line="480" w:lineRule="atLeast"/>
              <w:jc w:val="both"/>
              <w:rPr>
                <w:rFonts w:hint="default" w:ascii="宋体" w:hAnsi="宋体" w:eastAsia="宋体"/>
                <w:bCs/>
                <w:iCs/>
                <w:sz w:val="24"/>
                <w:szCs w:val="24"/>
                <w:lang w:val="en-US" w:eastAsia="zh-CN"/>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20</w:t>
            </w:r>
            <w:r>
              <w:rPr>
                <w:rFonts w:hint="eastAsia" w:ascii="宋体" w:hAnsi="宋体"/>
                <w:bCs/>
                <w:iCs/>
                <w:sz w:val="24"/>
                <w:szCs w:val="24"/>
              </w:rPr>
              <w:t>日</w:t>
            </w:r>
          </w:p>
        </w:tc>
      </w:tr>
      <w:tr w14:paraId="61A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129AC241">
            <w:pPr>
              <w:spacing w:line="480" w:lineRule="atLeast"/>
              <w:jc w:val="both"/>
              <w:rPr>
                <w:rFonts w:hint="eastAsia" w:ascii="宋体" w:hAnsi="宋体"/>
                <w:b/>
                <w:bCs/>
                <w:iCs/>
                <w:sz w:val="24"/>
                <w:szCs w:val="24"/>
              </w:rPr>
            </w:pPr>
            <w:r>
              <w:rPr>
                <w:rFonts w:hint="eastAsia" w:ascii="宋体" w:hAnsi="宋体"/>
                <w:b/>
                <w:bCs/>
                <w:iCs/>
                <w:sz w:val="24"/>
                <w:szCs w:val="24"/>
              </w:rPr>
              <w:t>地点</w:t>
            </w:r>
          </w:p>
        </w:tc>
        <w:tc>
          <w:tcPr>
            <w:tcW w:w="6499" w:type="dxa"/>
            <w:shd w:val="clear" w:color="auto" w:fill="auto"/>
            <w:vAlign w:val="center"/>
          </w:tcPr>
          <w:p w14:paraId="5DDE344E">
            <w:pPr>
              <w:spacing w:line="480" w:lineRule="atLeast"/>
              <w:jc w:val="left"/>
              <w:rPr>
                <w:rFonts w:hint="default" w:ascii="宋体" w:hAnsi="宋体"/>
                <w:bCs/>
                <w:iCs/>
                <w:sz w:val="24"/>
                <w:szCs w:val="24"/>
                <w:lang w:val="en-US" w:eastAsia="zh-CN"/>
              </w:rPr>
            </w:pPr>
            <w:r>
              <w:rPr>
                <w:rFonts w:hint="default" w:ascii="宋体" w:hAnsi="宋体"/>
                <w:bCs/>
                <w:iCs/>
                <w:sz w:val="24"/>
                <w:szCs w:val="24"/>
                <w:lang w:val="en-US" w:eastAsia="zh-CN"/>
              </w:rPr>
              <w:t>上海证券交易所上证路演中心（网址：https://roadshow.sseinfo.com/）</w:t>
            </w:r>
          </w:p>
        </w:tc>
      </w:tr>
      <w:tr w14:paraId="0CD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25C337B3">
            <w:pPr>
              <w:spacing w:line="480" w:lineRule="atLeast"/>
              <w:jc w:val="both"/>
              <w:rPr>
                <w:rFonts w:hint="eastAsia" w:ascii="宋体" w:hAnsi="宋体"/>
                <w:b/>
                <w:bCs/>
                <w:iCs/>
                <w:sz w:val="24"/>
                <w:szCs w:val="24"/>
              </w:rPr>
            </w:pPr>
            <w:r>
              <w:rPr>
                <w:rFonts w:hint="eastAsia" w:ascii="宋体" w:hAnsi="宋体"/>
                <w:b/>
                <w:bCs/>
                <w:iCs/>
                <w:sz w:val="24"/>
                <w:szCs w:val="24"/>
              </w:rPr>
              <w:t>上市公司接待人员姓名</w:t>
            </w:r>
          </w:p>
        </w:tc>
        <w:tc>
          <w:tcPr>
            <w:tcW w:w="6499" w:type="dxa"/>
            <w:shd w:val="clear" w:color="auto" w:fill="auto"/>
            <w:vAlign w:val="center"/>
          </w:tcPr>
          <w:p w14:paraId="73CD1C47">
            <w:pPr>
              <w:spacing w:line="480" w:lineRule="atLeast"/>
              <w:jc w:val="both"/>
              <w:rPr>
                <w:rFonts w:hint="eastAsia" w:ascii="宋体" w:hAnsi="宋体"/>
                <w:bCs/>
                <w:iCs/>
                <w:sz w:val="24"/>
                <w:szCs w:val="24"/>
              </w:rPr>
            </w:pPr>
            <w:r>
              <w:rPr>
                <w:rFonts w:hint="eastAsia" w:ascii="宋体" w:hAnsi="宋体"/>
                <w:bCs/>
                <w:iCs/>
                <w:sz w:val="24"/>
                <w:szCs w:val="24"/>
              </w:rPr>
              <w:t>董事长、总经理吴启超</w:t>
            </w:r>
          </w:p>
          <w:p w14:paraId="6319F4E0">
            <w:pPr>
              <w:spacing w:line="480" w:lineRule="atLeast"/>
              <w:jc w:val="both"/>
              <w:rPr>
                <w:rFonts w:hint="eastAsia" w:ascii="宋体" w:hAnsi="宋体"/>
                <w:bCs/>
                <w:iCs/>
                <w:sz w:val="24"/>
                <w:szCs w:val="24"/>
              </w:rPr>
            </w:pPr>
            <w:r>
              <w:rPr>
                <w:rFonts w:hint="eastAsia" w:ascii="宋体" w:hAnsi="宋体"/>
                <w:bCs/>
                <w:iCs/>
                <w:sz w:val="24"/>
                <w:szCs w:val="24"/>
              </w:rPr>
              <w:t>独立董事罗琴</w:t>
            </w:r>
          </w:p>
          <w:p w14:paraId="25E25FB8">
            <w:pPr>
              <w:spacing w:line="480" w:lineRule="atLeast"/>
              <w:jc w:val="both"/>
              <w:rPr>
                <w:rFonts w:hint="eastAsia" w:ascii="宋体" w:hAnsi="宋体"/>
                <w:bCs/>
                <w:iCs/>
                <w:sz w:val="24"/>
                <w:szCs w:val="24"/>
              </w:rPr>
            </w:pPr>
            <w:r>
              <w:rPr>
                <w:rFonts w:hint="eastAsia" w:ascii="宋体" w:hAnsi="宋体"/>
                <w:bCs/>
                <w:iCs/>
                <w:sz w:val="24"/>
                <w:szCs w:val="24"/>
              </w:rPr>
              <w:t>副总经理、财务总监刘巧云</w:t>
            </w:r>
          </w:p>
          <w:p w14:paraId="563D98C5">
            <w:pPr>
              <w:spacing w:line="480" w:lineRule="atLeast"/>
              <w:jc w:val="both"/>
              <w:rPr>
                <w:rFonts w:hint="eastAsia" w:ascii="宋体" w:hAnsi="宋体"/>
                <w:bCs/>
                <w:iCs/>
                <w:sz w:val="24"/>
                <w:szCs w:val="24"/>
              </w:rPr>
            </w:pPr>
            <w:r>
              <w:rPr>
                <w:rFonts w:hint="eastAsia" w:ascii="宋体" w:hAnsi="宋体"/>
                <w:bCs/>
                <w:iCs/>
                <w:sz w:val="24"/>
                <w:szCs w:val="24"/>
              </w:rPr>
              <w:t>副总经理、董事会秘书曾艳华</w:t>
            </w:r>
          </w:p>
        </w:tc>
      </w:tr>
      <w:tr w14:paraId="1184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74" w:type="dxa"/>
            <w:shd w:val="clear" w:color="auto" w:fill="auto"/>
            <w:vAlign w:val="center"/>
          </w:tcPr>
          <w:p w14:paraId="65C3D4FB">
            <w:pPr>
              <w:spacing w:line="480" w:lineRule="atLeast"/>
              <w:jc w:val="both"/>
              <w:rPr>
                <w:rFonts w:hint="eastAsia" w:ascii="宋体" w:hAnsi="宋体"/>
                <w:b/>
                <w:bCs/>
                <w:iCs/>
                <w:sz w:val="24"/>
                <w:szCs w:val="24"/>
              </w:rPr>
            </w:pPr>
            <w:r>
              <w:rPr>
                <w:rFonts w:hint="eastAsia" w:ascii="宋体" w:hAnsi="宋体"/>
                <w:b/>
                <w:bCs/>
                <w:iCs/>
                <w:sz w:val="24"/>
                <w:szCs w:val="24"/>
              </w:rPr>
              <w:t>投资者关系活动主要内容介绍</w:t>
            </w:r>
          </w:p>
          <w:p w14:paraId="24CE7D0C">
            <w:pPr>
              <w:spacing w:line="480" w:lineRule="atLeast"/>
              <w:jc w:val="both"/>
              <w:rPr>
                <w:rFonts w:hint="eastAsia" w:ascii="宋体" w:hAnsi="宋体"/>
                <w:b/>
                <w:bCs/>
                <w:iCs/>
                <w:sz w:val="24"/>
                <w:szCs w:val="24"/>
              </w:rPr>
            </w:pPr>
          </w:p>
        </w:tc>
        <w:tc>
          <w:tcPr>
            <w:tcW w:w="6499" w:type="dxa"/>
            <w:shd w:val="clear" w:color="auto" w:fill="auto"/>
            <w:vAlign w:val="center"/>
          </w:tcPr>
          <w:p w14:paraId="3FDE66CF">
            <w:pPr>
              <w:widowControl/>
              <w:spacing w:beforeLines="0" w:afterLines="0" w:line="360" w:lineRule="auto"/>
              <w:ind w:left="479" w:leftChars="228" w:firstLine="0" w:firstLineChars="0"/>
              <w:jc w:val="both"/>
              <w:rPr>
                <w:rFonts w:hint="eastAsia"/>
                <w:sz w:val="24"/>
                <w:szCs w:val="24"/>
              </w:rPr>
            </w:pPr>
            <w:r>
              <w:rPr>
                <w:rFonts w:hint="eastAsia"/>
                <w:b/>
                <w:sz w:val="24"/>
                <w:szCs w:val="24"/>
              </w:rPr>
              <w:t>本次业绩说明会与投资者网络文字互动问答内容如下：</w:t>
            </w:r>
            <w:r>
              <w:rPr>
                <w:rFonts w:hint="eastAsia"/>
                <w:sz w:val="24"/>
                <w:szCs w:val="24"/>
              </w:rPr>
              <w:t>1、公司业绩增长主要驱动因素是什么？</w:t>
            </w:r>
          </w:p>
          <w:p w14:paraId="3DF4C7C6">
            <w:pPr>
              <w:widowControl/>
              <w:spacing w:beforeLines="0" w:afterLines="0" w:line="360" w:lineRule="auto"/>
              <w:ind w:firstLine="480" w:firstLineChars="200"/>
              <w:jc w:val="both"/>
              <w:rPr>
                <w:rFonts w:hint="eastAsia"/>
                <w:sz w:val="24"/>
                <w:szCs w:val="24"/>
              </w:rPr>
            </w:pPr>
            <w:r>
              <w:rPr>
                <w:rFonts w:hint="eastAsia"/>
                <w:sz w:val="24"/>
                <w:szCs w:val="24"/>
              </w:rPr>
              <w:t>回答：报告期内，公司业务发展呈现“多点开花”，得益于公司深耕高分子复合饰面材料和建筑陶瓷两大基业，持续夯实泛家居产业生态圈的建设，以“技术同源、增量市场、预判趋势”为转型逻辑，确立“深耕存量旧改、推进体系出海、拥抱新经济”三大战略方向，以产业链资源优势打造高科技、高效能、高质量的新质生产力发展路径，多措并举不断提升公司管理效率和经营效益。</w:t>
            </w:r>
          </w:p>
          <w:p w14:paraId="5583CA20">
            <w:pPr>
              <w:widowControl/>
              <w:spacing w:beforeLines="0" w:afterLines="0" w:line="360" w:lineRule="auto"/>
              <w:ind w:firstLine="480" w:firstLineChars="200"/>
              <w:jc w:val="both"/>
              <w:rPr>
                <w:rFonts w:hint="eastAsia"/>
                <w:sz w:val="24"/>
                <w:szCs w:val="24"/>
              </w:rPr>
            </w:pPr>
          </w:p>
          <w:p w14:paraId="1D9886C1">
            <w:pPr>
              <w:widowControl/>
              <w:spacing w:beforeLines="0" w:afterLines="0" w:line="360" w:lineRule="auto"/>
              <w:ind w:firstLine="480" w:firstLineChars="200"/>
              <w:jc w:val="both"/>
              <w:rPr>
                <w:rFonts w:hint="eastAsia"/>
                <w:sz w:val="24"/>
                <w:szCs w:val="24"/>
              </w:rPr>
            </w:pPr>
            <w:r>
              <w:rPr>
                <w:rFonts w:hint="eastAsia"/>
                <w:sz w:val="24"/>
                <w:szCs w:val="24"/>
              </w:rPr>
              <w:t>2、请问公司2025年以及2026年一季度整体经营情况怎么样？</w:t>
            </w:r>
          </w:p>
          <w:p w14:paraId="32924273">
            <w:pPr>
              <w:widowControl/>
              <w:spacing w:beforeLines="0" w:afterLines="0" w:line="360" w:lineRule="auto"/>
              <w:ind w:firstLine="480" w:firstLineChars="200"/>
              <w:jc w:val="both"/>
              <w:rPr>
                <w:rFonts w:hint="eastAsia"/>
                <w:sz w:val="24"/>
                <w:szCs w:val="24"/>
              </w:rPr>
            </w:pPr>
            <w:r>
              <w:rPr>
                <w:rFonts w:hint="eastAsia"/>
                <w:sz w:val="24"/>
                <w:szCs w:val="24"/>
              </w:rPr>
              <w:t>回答：2025年，在复杂多变的内外部环境下，公司保持稳健经营，实现营业收入30.86亿元，同比基本持平；归母净利润11,157.14万元，同比增长10.46%；扣非归母净利润10,841.00万元，同比增长19.80%，经营质量稳步提升。2025年实现归属于上市公司股东的扣除非经常性损益的净利润同比增加，主要得益于汽车内饰饰面材料、建筑耐火饰面板材的营收和利润双增长以及非经常性损益项目同比减少。2026年一季度，公司实现营业收入5.25亿元，同比下降9.53%；实现归母净利润1,936.79万元，同比增长27.65%；实现扣非归母净利润1,389.44万元，同比增长0.76%。</w:t>
            </w:r>
          </w:p>
          <w:p w14:paraId="325EF5A8">
            <w:pPr>
              <w:widowControl/>
              <w:spacing w:beforeLines="0" w:afterLines="0" w:line="360" w:lineRule="auto"/>
              <w:ind w:firstLine="480" w:firstLineChars="200"/>
              <w:jc w:val="both"/>
              <w:rPr>
                <w:rFonts w:hint="eastAsia"/>
                <w:sz w:val="24"/>
                <w:szCs w:val="24"/>
              </w:rPr>
            </w:pPr>
          </w:p>
          <w:p w14:paraId="458698AE">
            <w:pPr>
              <w:widowControl/>
              <w:spacing w:beforeLines="0" w:afterLines="0" w:line="360" w:lineRule="auto"/>
              <w:ind w:firstLine="480" w:firstLineChars="200"/>
              <w:jc w:val="both"/>
              <w:rPr>
                <w:rFonts w:hint="eastAsia"/>
                <w:sz w:val="24"/>
                <w:szCs w:val="24"/>
              </w:rPr>
            </w:pPr>
            <w:r>
              <w:rPr>
                <w:rFonts w:hint="eastAsia"/>
                <w:sz w:val="24"/>
                <w:szCs w:val="24"/>
              </w:rPr>
              <w:t>3、请问公司未来的分红计划和派息政策？</w:t>
            </w:r>
          </w:p>
          <w:p w14:paraId="6EE25E24">
            <w:pPr>
              <w:widowControl/>
              <w:spacing w:beforeLines="0" w:afterLines="0" w:line="360" w:lineRule="auto"/>
              <w:ind w:firstLine="480" w:firstLineChars="200"/>
              <w:jc w:val="both"/>
              <w:rPr>
                <w:rFonts w:hint="eastAsia"/>
                <w:sz w:val="24"/>
                <w:szCs w:val="24"/>
              </w:rPr>
            </w:pPr>
            <w:r>
              <w:rPr>
                <w:rFonts w:hint="eastAsia"/>
                <w:sz w:val="24"/>
                <w:szCs w:val="24"/>
              </w:rPr>
              <w:t>回答：公司管理层非常重视对投资者的回报，自上市以来，公司严格按照法律法规及《公司章程》等相关制度的规定，在符合分红条件及利润分配政策的情况下积极实施分红。2025年度，公司拟以实施权益分派股权登记日的总股本扣除公司回购专用账户的股份数量为基数，向全体股东每10股派发现金红利人民币1.2元（含税），合计拟派发现金红利3,614.49万元（含税）。公司将严格按照相关要求及时履行信息披露义务。</w:t>
            </w:r>
          </w:p>
          <w:p w14:paraId="534EF2C0">
            <w:pPr>
              <w:widowControl/>
              <w:spacing w:beforeLines="0" w:afterLines="0" w:line="360" w:lineRule="auto"/>
              <w:ind w:firstLine="480" w:firstLineChars="200"/>
              <w:jc w:val="both"/>
              <w:rPr>
                <w:rFonts w:hint="eastAsia"/>
                <w:sz w:val="24"/>
                <w:szCs w:val="24"/>
              </w:rPr>
            </w:pPr>
          </w:p>
          <w:p w14:paraId="21FD4995">
            <w:pPr>
              <w:widowControl/>
              <w:spacing w:beforeLines="0" w:afterLines="0" w:line="360" w:lineRule="auto"/>
              <w:ind w:firstLine="480" w:firstLineChars="200"/>
              <w:jc w:val="both"/>
              <w:rPr>
                <w:rFonts w:hint="eastAsia"/>
                <w:sz w:val="24"/>
                <w:szCs w:val="24"/>
              </w:rPr>
            </w:pPr>
            <w:r>
              <w:rPr>
                <w:rFonts w:hint="eastAsia"/>
                <w:sz w:val="24"/>
                <w:szCs w:val="24"/>
              </w:rPr>
              <w:t>4、公司在推进国际化战略及海外市场布局方面有哪些具体举措？</w:t>
            </w:r>
          </w:p>
          <w:p w14:paraId="2F62C3B6">
            <w:pPr>
              <w:widowControl/>
              <w:spacing w:beforeLines="0" w:afterLines="0" w:line="360" w:lineRule="auto"/>
              <w:ind w:firstLine="480" w:firstLineChars="200"/>
              <w:jc w:val="both"/>
              <w:rPr>
                <w:rFonts w:hint="eastAsia"/>
                <w:sz w:val="24"/>
                <w:szCs w:val="24"/>
              </w:rPr>
            </w:pPr>
            <w:r>
              <w:rPr>
                <w:rFonts w:hint="eastAsia"/>
                <w:sz w:val="24"/>
                <w:szCs w:val="24"/>
              </w:rPr>
              <w:t>回答：公司坚定推进国际化战略，在巩固国内市场基本盘的同时，加快海外市场拓展步伐。公司将借助产品安装简单快捷、绿色环保等优势，积极拓展经济发达但家居建材生产力相对落后的地区和国家的需求潜力。公司不再局限于单一产品输出，升级为“产品+服务+品牌+标准+设计”的全套体系出海，将澳大利亚、新加坡展厅建设的成功经验推广到全球，加快海外市场探索；通过线下展厅作为体验载体，联合海外本土设计师团队，对当地装修团队开展培训，构建起“门店+设计师+装修队”的运营体系，形成“体验引流、设计转化、交付落地”的闭环，以输出装配式内装标准带动材料产品出口销售，不断推动新经济与传统产业深度融合，积极培育新的业绩增长点，推动公司高质量发展。</w:t>
            </w:r>
          </w:p>
          <w:p w14:paraId="01C3397B">
            <w:pPr>
              <w:widowControl/>
              <w:spacing w:beforeLines="0" w:afterLines="0" w:line="360" w:lineRule="auto"/>
              <w:ind w:firstLine="480" w:firstLineChars="200"/>
              <w:jc w:val="both"/>
              <w:rPr>
                <w:rFonts w:hint="eastAsia"/>
                <w:sz w:val="24"/>
                <w:szCs w:val="24"/>
              </w:rPr>
            </w:pPr>
          </w:p>
          <w:p w14:paraId="5E05C18A">
            <w:pPr>
              <w:widowControl/>
              <w:spacing w:beforeLines="0" w:afterLines="0" w:line="360" w:lineRule="auto"/>
              <w:ind w:firstLine="480" w:firstLineChars="200"/>
              <w:jc w:val="both"/>
              <w:rPr>
                <w:rFonts w:hint="eastAsia"/>
                <w:sz w:val="24"/>
                <w:szCs w:val="24"/>
              </w:rPr>
            </w:pPr>
            <w:r>
              <w:rPr>
                <w:rFonts w:hint="eastAsia"/>
                <w:sz w:val="24"/>
                <w:szCs w:val="24"/>
              </w:rPr>
              <w:t>5、</w:t>
            </w:r>
            <w:r>
              <w:rPr>
                <w:rFonts w:hint="eastAsia"/>
                <w:sz w:val="24"/>
                <w:szCs w:val="24"/>
                <w:highlight w:val="none"/>
              </w:rPr>
              <w:t>公司布局新媒体营销矩阵、打造企业家与职业经理人IP，未来是否会结合线下渠道，实现线上流量线下转化，进一步夯实全国终端渠道优势？</w:t>
            </w:r>
          </w:p>
          <w:p w14:paraId="314A7B2E">
            <w:pPr>
              <w:widowControl/>
              <w:spacing w:beforeLines="0" w:afterLines="0" w:line="360" w:lineRule="auto"/>
              <w:ind w:firstLine="480" w:firstLineChars="200"/>
              <w:jc w:val="both"/>
              <w:rPr>
                <w:rFonts w:hint="eastAsia"/>
                <w:sz w:val="24"/>
                <w:szCs w:val="24"/>
              </w:rPr>
            </w:pPr>
            <w:r>
              <w:rPr>
                <w:rFonts w:hint="eastAsia"/>
                <w:sz w:val="24"/>
                <w:szCs w:val="24"/>
              </w:rPr>
              <w:t>回答：近年来，公司构建短视频、直播、社交平台的新媒体矩阵，通过内容分享与场景化直播触达意向客户，提升用户互动效率，拓宽获客渠道。公司积极顺应新媒体营销发展趋势，创新打造“启超智荟”企业家IP及职业经理人个人IP，并在抖音、小红书、视频号等主流社交平台建立品牌新媒体矩阵，</w:t>
            </w:r>
            <w:r>
              <w:rPr>
                <w:rFonts w:hint="eastAsia"/>
                <w:sz w:val="24"/>
                <w:szCs w:val="24"/>
                <w:lang w:val="en-US" w:eastAsia="zh-CN"/>
              </w:rPr>
              <w:t>以</w:t>
            </w:r>
            <w:r>
              <w:rPr>
                <w:rFonts w:hint="eastAsia"/>
                <w:sz w:val="24"/>
                <w:szCs w:val="24"/>
              </w:rPr>
              <w:t>实现触达意向客户</w:t>
            </w:r>
            <w:r>
              <w:rPr>
                <w:rFonts w:hint="eastAsia"/>
                <w:sz w:val="24"/>
                <w:szCs w:val="24"/>
                <w:lang w:eastAsia="zh-CN"/>
              </w:rPr>
              <w:t>，</w:t>
            </w:r>
            <w:bookmarkStart w:id="0" w:name="_GoBack"/>
            <w:bookmarkEnd w:id="0"/>
            <w:r>
              <w:rPr>
                <w:rFonts w:hint="eastAsia"/>
                <w:sz w:val="24"/>
                <w:szCs w:val="24"/>
              </w:rPr>
              <w:t>为全国终端渠道持续赋能拓客。</w:t>
            </w:r>
          </w:p>
          <w:p w14:paraId="482FFF05">
            <w:pPr>
              <w:widowControl/>
              <w:spacing w:beforeLines="0" w:afterLines="0" w:line="360" w:lineRule="auto"/>
              <w:ind w:firstLine="480" w:firstLineChars="200"/>
              <w:jc w:val="both"/>
              <w:rPr>
                <w:rFonts w:hint="eastAsia"/>
                <w:sz w:val="24"/>
                <w:szCs w:val="24"/>
              </w:rPr>
            </w:pPr>
          </w:p>
          <w:p w14:paraId="54AA68A6">
            <w:pPr>
              <w:widowControl/>
              <w:spacing w:beforeLines="0" w:afterLines="0" w:line="360" w:lineRule="auto"/>
              <w:ind w:firstLine="480" w:firstLineChars="200"/>
              <w:jc w:val="both"/>
              <w:rPr>
                <w:rFonts w:hint="eastAsia"/>
                <w:sz w:val="24"/>
                <w:szCs w:val="24"/>
                <w:highlight w:val="none"/>
              </w:rPr>
            </w:pPr>
            <w:r>
              <w:rPr>
                <w:rFonts w:hint="eastAsia"/>
                <w:sz w:val="24"/>
                <w:szCs w:val="24"/>
                <w:highlight w:val="none"/>
              </w:rPr>
              <w:t>6、公司参股若铂机器人后有哪些举措，以实现产业协同、双向赋能？</w:t>
            </w:r>
          </w:p>
          <w:p w14:paraId="084EA7CB">
            <w:pPr>
              <w:widowControl/>
              <w:spacing w:beforeLines="0" w:afterLines="0" w:line="360" w:lineRule="auto"/>
              <w:ind w:firstLine="480" w:firstLineChars="200"/>
              <w:jc w:val="both"/>
              <w:rPr>
                <w:rFonts w:hint="eastAsia"/>
                <w:sz w:val="24"/>
                <w:szCs w:val="24"/>
              </w:rPr>
            </w:pPr>
            <w:r>
              <w:rPr>
                <w:rFonts w:hint="eastAsia"/>
                <w:sz w:val="24"/>
                <w:szCs w:val="24"/>
              </w:rPr>
              <w:t>回答：</w:t>
            </w:r>
            <w:r>
              <w:rPr>
                <w:rFonts w:hint="eastAsia"/>
                <w:sz w:val="24"/>
                <w:szCs w:val="24"/>
                <w:lang w:val="en-US" w:eastAsia="zh-CN"/>
              </w:rPr>
              <w:t>具体情况请</w:t>
            </w:r>
            <w:r>
              <w:rPr>
                <w:rFonts w:hint="eastAsia"/>
                <w:sz w:val="24"/>
                <w:szCs w:val="24"/>
              </w:rPr>
              <w:t>查阅公司2025年年度报告</w:t>
            </w:r>
            <w:r>
              <w:rPr>
                <w:rFonts w:hint="eastAsia"/>
                <w:sz w:val="24"/>
                <w:szCs w:val="24"/>
                <w:lang w:val="en-US" w:eastAsia="zh-CN"/>
              </w:rPr>
              <w:t>第三节</w:t>
            </w:r>
            <w:r>
              <w:rPr>
                <w:rFonts w:hint="eastAsia"/>
                <w:sz w:val="24"/>
                <w:szCs w:val="24"/>
              </w:rPr>
              <w:t>“管理层讨论与分析”中的相关内容。感谢您对公司的关注。</w:t>
            </w:r>
          </w:p>
          <w:p w14:paraId="5D0147A0">
            <w:pPr>
              <w:widowControl/>
              <w:spacing w:beforeLines="0" w:afterLines="0" w:line="360" w:lineRule="auto"/>
              <w:ind w:firstLine="480" w:firstLineChars="200"/>
              <w:jc w:val="both"/>
              <w:rPr>
                <w:rFonts w:hint="eastAsia"/>
                <w:sz w:val="24"/>
                <w:szCs w:val="24"/>
              </w:rPr>
            </w:pPr>
          </w:p>
          <w:p w14:paraId="72542747">
            <w:pPr>
              <w:widowControl/>
              <w:spacing w:beforeLines="0" w:afterLines="0" w:line="360" w:lineRule="auto"/>
              <w:ind w:firstLine="480" w:firstLineChars="200"/>
              <w:jc w:val="both"/>
              <w:rPr>
                <w:rFonts w:hint="eastAsia"/>
                <w:sz w:val="24"/>
                <w:szCs w:val="24"/>
              </w:rPr>
            </w:pPr>
            <w:r>
              <w:rPr>
                <w:rFonts w:hint="eastAsia"/>
                <w:sz w:val="24"/>
                <w:szCs w:val="24"/>
              </w:rPr>
              <w:t>7、面对广阔的房地产存量市场，公司有哪些新举措？</w:t>
            </w:r>
          </w:p>
          <w:p w14:paraId="12B6FFE8">
            <w:pPr>
              <w:widowControl/>
              <w:spacing w:beforeLines="0" w:afterLines="0" w:line="360" w:lineRule="auto"/>
              <w:ind w:firstLine="480" w:firstLineChars="200"/>
              <w:jc w:val="both"/>
              <w:rPr>
                <w:sz w:val="24"/>
                <w:szCs w:val="24"/>
              </w:rPr>
            </w:pPr>
            <w:r>
              <w:rPr>
                <w:rFonts w:hint="eastAsia"/>
                <w:sz w:val="24"/>
                <w:szCs w:val="24"/>
              </w:rPr>
              <w:t>回答：面对存量时代的来临，公司主动把握城市更新与旧房改造的政策机遇，加速布局存量市场。公司持续深耕存量房交易及配套服务市场，把以EB表面处理技术为支撑的高环保高品质饰面材料、生产技术和以装配式集成整装技术为基础的空间环保快装解决方案应用在家居和公装整装领域。鹰牌公司旗下的鹰牌新材定位“旧改专家”，依托公司多年来在汽车空间和家居空间积累的高品质高环保饰面材料产品及核心技术，通过整合各业务板块产品品类和产业链体系，针对旧改过程中流程繁琐、效率低、环保性不足等痛点，推出硅藻泥科技板、安芯墙板、质感墙衣、石晶地板、防摔地胶等工业化内装产品及装配式交付服务，涵盖客餐厅、卧室、儿童房、厨房、卫生间、阳台六大家装旧改场景体系。在零售端，通过鹰牌新材和鹰牌生活实施梯次布局，以差异化的工业化内装产品与服务覆盖多元消费需求，为消费端局改旧改需求提供“美快好省”的焕新体验；在工程端，依托南方设计院、天汇建科，聚焦医院、酒店、办公楼等商业空间的存量改造需求，提供从设计到交付的一站式解决方案。</w:t>
            </w:r>
          </w:p>
        </w:tc>
      </w:tr>
      <w:tr w14:paraId="623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2CBAFEF1">
            <w:pPr>
              <w:spacing w:line="480" w:lineRule="atLeast"/>
              <w:jc w:val="both"/>
              <w:rPr>
                <w:rFonts w:hint="eastAsia" w:ascii="宋体" w:hAnsi="宋体"/>
                <w:b/>
                <w:bCs/>
                <w:iCs/>
                <w:sz w:val="24"/>
                <w:szCs w:val="24"/>
              </w:rPr>
            </w:pPr>
            <w:r>
              <w:rPr>
                <w:rFonts w:hint="eastAsia" w:ascii="宋体" w:hAnsi="宋体"/>
                <w:b/>
                <w:bCs/>
                <w:iCs/>
                <w:sz w:val="24"/>
                <w:szCs w:val="24"/>
              </w:rPr>
              <w:t>附件清单</w:t>
            </w:r>
          </w:p>
          <w:p w14:paraId="14C10D9E">
            <w:pPr>
              <w:spacing w:line="480" w:lineRule="atLeast"/>
              <w:jc w:val="both"/>
              <w:rPr>
                <w:rFonts w:hint="eastAsia" w:ascii="宋体" w:hAnsi="宋体"/>
                <w:b/>
                <w:bCs/>
                <w:iCs/>
                <w:sz w:val="24"/>
                <w:szCs w:val="24"/>
              </w:rPr>
            </w:pPr>
            <w:r>
              <w:rPr>
                <w:rFonts w:hint="eastAsia" w:ascii="宋体" w:hAnsi="宋体"/>
                <w:b/>
                <w:bCs/>
                <w:iCs/>
                <w:sz w:val="24"/>
                <w:szCs w:val="24"/>
              </w:rPr>
              <w:t>（如有）</w:t>
            </w:r>
          </w:p>
        </w:tc>
        <w:tc>
          <w:tcPr>
            <w:tcW w:w="6499" w:type="dxa"/>
            <w:shd w:val="clear" w:color="auto" w:fill="auto"/>
            <w:vAlign w:val="center"/>
          </w:tcPr>
          <w:p w14:paraId="4D3415FA">
            <w:pPr>
              <w:spacing w:line="480" w:lineRule="atLeast"/>
              <w:jc w:val="both"/>
              <w:rPr>
                <w:rFonts w:hint="eastAsia" w:ascii="宋体" w:hAnsi="宋体"/>
                <w:bCs/>
                <w:iCs/>
                <w:sz w:val="24"/>
                <w:szCs w:val="24"/>
              </w:rPr>
            </w:pPr>
            <w:r>
              <w:rPr>
                <w:rFonts w:ascii="宋体" w:hAnsi="宋体"/>
                <w:bCs/>
                <w:iCs/>
                <w:sz w:val="24"/>
                <w:szCs w:val="24"/>
              </w:rPr>
              <w:t>无</w:t>
            </w:r>
          </w:p>
        </w:tc>
      </w:tr>
      <w:tr w14:paraId="719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4" w:type="dxa"/>
            <w:shd w:val="clear" w:color="auto" w:fill="auto"/>
            <w:vAlign w:val="center"/>
          </w:tcPr>
          <w:p w14:paraId="32A9BB6F">
            <w:pPr>
              <w:spacing w:line="480" w:lineRule="atLeast"/>
              <w:jc w:val="both"/>
              <w:rPr>
                <w:rFonts w:hint="eastAsia" w:ascii="宋体" w:hAnsi="宋体"/>
                <w:b/>
                <w:bCs/>
                <w:iCs/>
                <w:sz w:val="24"/>
                <w:szCs w:val="24"/>
              </w:rPr>
            </w:pPr>
            <w:r>
              <w:rPr>
                <w:rFonts w:hint="eastAsia" w:ascii="宋体" w:hAnsi="宋体"/>
                <w:b/>
                <w:bCs/>
                <w:iCs/>
                <w:sz w:val="24"/>
                <w:szCs w:val="24"/>
              </w:rPr>
              <w:t>日期</w:t>
            </w:r>
          </w:p>
        </w:tc>
        <w:tc>
          <w:tcPr>
            <w:tcW w:w="6499" w:type="dxa"/>
            <w:shd w:val="clear" w:color="auto" w:fill="auto"/>
            <w:vAlign w:val="center"/>
          </w:tcPr>
          <w:p w14:paraId="3488726F">
            <w:pPr>
              <w:spacing w:line="480" w:lineRule="atLeast"/>
              <w:jc w:val="both"/>
              <w:rPr>
                <w:rFonts w:hint="eastAsia" w:ascii="宋体" w:hAnsi="宋体"/>
                <w:bCs/>
                <w:iCs/>
                <w:sz w:val="24"/>
                <w:szCs w:val="24"/>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5</w:t>
            </w:r>
            <w:r>
              <w:rPr>
                <w:rFonts w:hint="eastAsia" w:ascii="宋体" w:hAnsi="宋体"/>
                <w:bCs/>
                <w:iCs/>
                <w:sz w:val="24"/>
                <w:szCs w:val="24"/>
              </w:rPr>
              <w:t>月</w:t>
            </w:r>
            <w:r>
              <w:rPr>
                <w:rFonts w:hint="eastAsia" w:ascii="宋体" w:hAnsi="宋体"/>
                <w:bCs/>
                <w:iCs/>
                <w:sz w:val="24"/>
                <w:szCs w:val="24"/>
                <w:lang w:val="en-US" w:eastAsia="zh-CN"/>
              </w:rPr>
              <w:t>20</w:t>
            </w:r>
            <w:r>
              <w:rPr>
                <w:rFonts w:hint="eastAsia" w:ascii="宋体" w:hAnsi="宋体"/>
                <w:bCs/>
                <w:iCs/>
                <w:sz w:val="24"/>
                <w:szCs w:val="24"/>
              </w:rPr>
              <w:t>日</w:t>
            </w:r>
          </w:p>
        </w:tc>
      </w:tr>
    </w:tbl>
    <w:p w14:paraId="5B12D23E"/>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92EF">
    <w:pPr>
      <w:pStyle w:val="4"/>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7FD"/>
    <w:rsid w:val="000245CA"/>
    <w:rsid w:val="000450A9"/>
    <w:rsid w:val="00063073"/>
    <w:rsid w:val="000754B4"/>
    <w:rsid w:val="0007568B"/>
    <w:rsid w:val="00080F2B"/>
    <w:rsid w:val="000849BA"/>
    <w:rsid w:val="000A31DA"/>
    <w:rsid w:val="000A79FB"/>
    <w:rsid w:val="000A7E4A"/>
    <w:rsid w:val="000B1C14"/>
    <w:rsid w:val="000B75A7"/>
    <w:rsid w:val="000D00C7"/>
    <w:rsid w:val="000D3A79"/>
    <w:rsid w:val="000D56FE"/>
    <w:rsid w:val="000F18AF"/>
    <w:rsid w:val="000F4DD6"/>
    <w:rsid w:val="001024E5"/>
    <w:rsid w:val="00106147"/>
    <w:rsid w:val="00113B34"/>
    <w:rsid w:val="00130C40"/>
    <w:rsid w:val="001337F9"/>
    <w:rsid w:val="0013500E"/>
    <w:rsid w:val="001439BE"/>
    <w:rsid w:val="00143F94"/>
    <w:rsid w:val="001502E6"/>
    <w:rsid w:val="00155B3C"/>
    <w:rsid w:val="001722F3"/>
    <w:rsid w:val="00173E13"/>
    <w:rsid w:val="00174F18"/>
    <w:rsid w:val="00175757"/>
    <w:rsid w:val="00192E4E"/>
    <w:rsid w:val="00194834"/>
    <w:rsid w:val="001A467E"/>
    <w:rsid w:val="001B1A53"/>
    <w:rsid w:val="001C3480"/>
    <w:rsid w:val="001C6A4B"/>
    <w:rsid w:val="001D2DB1"/>
    <w:rsid w:val="001D369A"/>
    <w:rsid w:val="001D3916"/>
    <w:rsid w:val="001D4AAE"/>
    <w:rsid w:val="001D6BFE"/>
    <w:rsid w:val="001F10A8"/>
    <w:rsid w:val="001F4DDD"/>
    <w:rsid w:val="00214491"/>
    <w:rsid w:val="00220AEA"/>
    <w:rsid w:val="00225393"/>
    <w:rsid w:val="002312D7"/>
    <w:rsid w:val="00231727"/>
    <w:rsid w:val="00232BC1"/>
    <w:rsid w:val="00246187"/>
    <w:rsid w:val="0025317F"/>
    <w:rsid w:val="00273315"/>
    <w:rsid w:val="002C5EEF"/>
    <w:rsid w:val="002D1265"/>
    <w:rsid w:val="002D200D"/>
    <w:rsid w:val="002D39A7"/>
    <w:rsid w:val="002D7DA7"/>
    <w:rsid w:val="003063E5"/>
    <w:rsid w:val="00312F15"/>
    <w:rsid w:val="00320994"/>
    <w:rsid w:val="003262D5"/>
    <w:rsid w:val="00333001"/>
    <w:rsid w:val="0033336C"/>
    <w:rsid w:val="00340B1B"/>
    <w:rsid w:val="0035062B"/>
    <w:rsid w:val="00352F7F"/>
    <w:rsid w:val="003542D7"/>
    <w:rsid w:val="00364883"/>
    <w:rsid w:val="00371229"/>
    <w:rsid w:val="00374563"/>
    <w:rsid w:val="00395D4D"/>
    <w:rsid w:val="003B1E53"/>
    <w:rsid w:val="003B5E23"/>
    <w:rsid w:val="003E102C"/>
    <w:rsid w:val="003E2689"/>
    <w:rsid w:val="003E59F4"/>
    <w:rsid w:val="003F122F"/>
    <w:rsid w:val="003F4018"/>
    <w:rsid w:val="003F43A4"/>
    <w:rsid w:val="003F4561"/>
    <w:rsid w:val="00404F68"/>
    <w:rsid w:val="00415156"/>
    <w:rsid w:val="004425B5"/>
    <w:rsid w:val="00444B9F"/>
    <w:rsid w:val="00465489"/>
    <w:rsid w:val="00474FCD"/>
    <w:rsid w:val="0047613C"/>
    <w:rsid w:val="00497936"/>
    <w:rsid w:val="004B1A37"/>
    <w:rsid w:val="004B1BED"/>
    <w:rsid w:val="004D363E"/>
    <w:rsid w:val="004E2B0F"/>
    <w:rsid w:val="004F55D1"/>
    <w:rsid w:val="004F612C"/>
    <w:rsid w:val="00512B00"/>
    <w:rsid w:val="005266F5"/>
    <w:rsid w:val="005275C3"/>
    <w:rsid w:val="00532CF0"/>
    <w:rsid w:val="0054754D"/>
    <w:rsid w:val="00547B0C"/>
    <w:rsid w:val="00550366"/>
    <w:rsid w:val="00572AFC"/>
    <w:rsid w:val="005736DE"/>
    <w:rsid w:val="00575FE1"/>
    <w:rsid w:val="005821BB"/>
    <w:rsid w:val="005846A6"/>
    <w:rsid w:val="0058766F"/>
    <w:rsid w:val="0059105E"/>
    <w:rsid w:val="005A47A2"/>
    <w:rsid w:val="005B17F9"/>
    <w:rsid w:val="005C77BC"/>
    <w:rsid w:val="005D293A"/>
    <w:rsid w:val="005E7547"/>
    <w:rsid w:val="005F359B"/>
    <w:rsid w:val="005F503A"/>
    <w:rsid w:val="00611486"/>
    <w:rsid w:val="00612EFB"/>
    <w:rsid w:val="0061358F"/>
    <w:rsid w:val="00613C16"/>
    <w:rsid w:val="00627797"/>
    <w:rsid w:val="00640A3C"/>
    <w:rsid w:val="00642CF8"/>
    <w:rsid w:val="00645FCE"/>
    <w:rsid w:val="006468F7"/>
    <w:rsid w:val="00654A0F"/>
    <w:rsid w:val="00667A84"/>
    <w:rsid w:val="00684FFB"/>
    <w:rsid w:val="00686ADF"/>
    <w:rsid w:val="006870FD"/>
    <w:rsid w:val="006C0777"/>
    <w:rsid w:val="006C2175"/>
    <w:rsid w:val="006D524A"/>
    <w:rsid w:val="006D58E8"/>
    <w:rsid w:val="006E7E43"/>
    <w:rsid w:val="006F0CFA"/>
    <w:rsid w:val="006F0D58"/>
    <w:rsid w:val="006F5D79"/>
    <w:rsid w:val="0072048B"/>
    <w:rsid w:val="00736D7F"/>
    <w:rsid w:val="00752C09"/>
    <w:rsid w:val="00762AF4"/>
    <w:rsid w:val="00774DCC"/>
    <w:rsid w:val="00775F2E"/>
    <w:rsid w:val="007819D5"/>
    <w:rsid w:val="00786334"/>
    <w:rsid w:val="00786BC2"/>
    <w:rsid w:val="007919B0"/>
    <w:rsid w:val="007A786C"/>
    <w:rsid w:val="007C57FF"/>
    <w:rsid w:val="007D371E"/>
    <w:rsid w:val="007E334D"/>
    <w:rsid w:val="007E6C40"/>
    <w:rsid w:val="00807DF7"/>
    <w:rsid w:val="00812FFA"/>
    <w:rsid w:val="00817A24"/>
    <w:rsid w:val="00821EFA"/>
    <w:rsid w:val="008403C3"/>
    <w:rsid w:val="00851660"/>
    <w:rsid w:val="00854131"/>
    <w:rsid w:val="00860925"/>
    <w:rsid w:val="0086439C"/>
    <w:rsid w:val="008713D8"/>
    <w:rsid w:val="00872CDE"/>
    <w:rsid w:val="0087466F"/>
    <w:rsid w:val="00877D67"/>
    <w:rsid w:val="00883B7B"/>
    <w:rsid w:val="008865DC"/>
    <w:rsid w:val="0089641D"/>
    <w:rsid w:val="008A0B53"/>
    <w:rsid w:val="008A17AA"/>
    <w:rsid w:val="008A7858"/>
    <w:rsid w:val="008B255D"/>
    <w:rsid w:val="008F1A7E"/>
    <w:rsid w:val="008F31B0"/>
    <w:rsid w:val="008F3A0C"/>
    <w:rsid w:val="0090042E"/>
    <w:rsid w:val="0091762C"/>
    <w:rsid w:val="009234B9"/>
    <w:rsid w:val="00923FA7"/>
    <w:rsid w:val="00941E2C"/>
    <w:rsid w:val="00947DE7"/>
    <w:rsid w:val="00957F83"/>
    <w:rsid w:val="009648A3"/>
    <w:rsid w:val="0098031D"/>
    <w:rsid w:val="009829C7"/>
    <w:rsid w:val="0099128B"/>
    <w:rsid w:val="00992438"/>
    <w:rsid w:val="00993947"/>
    <w:rsid w:val="009B06B8"/>
    <w:rsid w:val="009B0E89"/>
    <w:rsid w:val="009B52CC"/>
    <w:rsid w:val="009D6411"/>
    <w:rsid w:val="009E11A3"/>
    <w:rsid w:val="009E1A7B"/>
    <w:rsid w:val="009F00AB"/>
    <w:rsid w:val="00A001F8"/>
    <w:rsid w:val="00A0553C"/>
    <w:rsid w:val="00A1617C"/>
    <w:rsid w:val="00A2592E"/>
    <w:rsid w:val="00A34AF5"/>
    <w:rsid w:val="00A374E6"/>
    <w:rsid w:val="00A37B2D"/>
    <w:rsid w:val="00A51181"/>
    <w:rsid w:val="00A607A4"/>
    <w:rsid w:val="00A60AEF"/>
    <w:rsid w:val="00A641FB"/>
    <w:rsid w:val="00A767D4"/>
    <w:rsid w:val="00A7755E"/>
    <w:rsid w:val="00A7759C"/>
    <w:rsid w:val="00A82C5F"/>
    <w:rsid w:val="00A8341B"/>
    <w:rsid w:val="00A90EC7"/>
    <w:rsid w:val="00A91C76"/>
    <w:rsid w:val="00AC0959"/>
    <w:rsid w:val="00AD039E"/>
    <w:rsid w:val="00AD0F41"/>
    <w:rsid w:val="00AE4E56"/>
    <w:rsid w:val="00AF0224"/>
    <w:rsid w:val="00AF7C3D"/>
    <w:rsid w:val="00AF7F31"/>
    <w:rsid w:val="00B0652E"/>
    <w:rsid w:val="00B07A7E"/>
    <w:rsid w:val="00B241D3"/>
    <w:rsid w:val="00B27C5C"/>
    <w:rsid w:val="00B352B6"/>
    <w:rsid w:val="00B37C8E"/>
    <w:rsid w:val="00B37D1E"/>
    <w:rsid w:val="00B504EB"/>
    <w:rsid w:val="00B54BB7"/>
    <w:rsid w:val="00B54D2F"/>
    <w:rsid w:val="00B65713"/>
    <w:rsid w:val="00B7542F"/>
    <w:rsid w:val="00BA1952"/>
    <w:rsid w:val="00BA1A55"/>
    <w:rsid w:val="00BA78D9"/>
    <w:rsid w:val="00BD0516"/>
    <w:rsid w:val="00BD096D"/>
    <w:rsid w:val="00BD2277"/>
    <w:rsid w:val="00C140EC"/>
    <w:rsid w:val="00C17D24"/>
    <w:rsid w:val="00C25E7A"/>
    <w:rsid w:val="00C44A3A"/>
    <w:rsid w:val="00C50940"/>
    <w:rsid w:val="00C52AF1"/>
    <w:rsid w:val="00C56033"/>
    <w:rsid w:val="00C65777"/>
    <w:rsid w:val="00C66E2E"/>
    <w:rsid w:val="00C73448"/>
    <w:rsid w:val="00C84344"/>
    <w:rsid w:val="00CB7B99"/>
    <w:rsid w:val="00CC384A"/>
    <w:rsid w:val="00CD4E73"/>
    <w:rsid w:val="00CD74DE"/>
    <w:rsid w:val="00CF19F9"/>
    <w:rsid w:val="00CF6EB7"/>
    <w:rsid w:val="00D13A50"/>
    <w:rsid w:val="00D1672D"/>
    <w:rsid w:val="00D239AB"/>
    <w:rsid w:val="00D25FC2"/>
    <w:rsid w:val="00D336F2"/>
    <w:rsid w:val="00D35953"/>
    <w:rsid w:val="00D35C2F"/>
    <w:rsid w:val="00D56E9D"/>
    <w:rsid w:val="00D66034"/>
    <w:rsid w:val="00D70F87"/>
    <w:rsid w:val="00D80003"/>
    <w:rsid w:val="00D87A9B"/>
    <w:rsid w:val="00DA1244"/>
    <w:rsid w:val="00DA214C"/>
    <w:rsid w:val="00DA75A1"/>
    <w:rsid w:val="00DB0AE8"/>
    <w:rsid w:val="00DC3BE2"/>
    <w:rsid w:val="00DC6C00"/>
    <w:rsid w:val="00DD2324"/>
    <w:rsid w:val="00DD4F16"/>
    <w:rsid w:val="00DF0471"/>
    <w:rsid w:val="00DF4543"/>
    <w:rsid w:val="00DF7207"/>
    <w:rsid w:val="00DF77E6"/>
    <w:rsid w:val="00E02D30"/>
    <w:rsid w:val="00E0677D"/>
    <w:rsid w:val="00E109A7"/>
    <w:rsid w:val="00E11054"/>
    <w:rsid w:val="00E1547C"/>
    <w:rsid w:val="00E40C1C"/>
    <w:rsid w:val="00E44458"/>
    <w:rsid w:val="00E50677"/>
    <w:rsid w:val="00E52047"/>
    <w:rsid w:val="00E62974"/>
    <w:rsid w:val="00E763EC"/>
    <w:rsid w:val="00E81BEF"/>
    <w:rsid w:val="00E84B35"/>
    <w:rsid w:val="00E906D5"/>
    <w:rsid w:val="00EA058C"/>
    <w:rsid w:val="00EC6CF7"/>
    <w:rsid w:val="00EF2C4F"/>
    <w:rsid w:val="00F006DC"/>
    <w:rsid w:val="00F069B6"/>
    <w:rsid w:val="00F24EE3"/>
    <w:rsid w:val="00F30B51"/>
    <w:rsid w:val="00F46166"/>
    <w:rsid w:val="00F54E81"/>
    <w:rsid w:val="00F564A0"/>
    <w:rsid w:val="00F60C0E"/>
    <w:rsid w:val="00F705B3"/>
    <w:rsid w:val="00F733B4"/>
    <w:rsid w:val="00F737B7"/>
    <w:rsid w:val="00F77FD2"/>
    <w:rsid w:val="00F82D1E"/>
    <w:rsid w:val="00F83012"/>
    <w:rsid w:val="00F83D23"/>
    <w:rsid w:val="00F85525"/>
    <w:rsid w:val="00F934AD"/>
    <w:rsid w:val="00F96DAA"/>
    <w:rsid w:val="00FA3967"/>
    <w:rsid w:val="00FB5EE6"/>
    <w:rsid w:val="00FC29B2"/>
    <w:rsid w:val="00FC51E6"/>
    <w:rsid w:val="00FD03A8"/>
    <w:rsid w:val="00FD3B33"/>
    <w:rsid w:val="00FD68D8"/>
    <w:rsid w:val="00FF321C"/>
    <w:rsid w:val="01A87AFF"/>
    <w:rsid w:val="01AC619B"/>
    <w:rsid w:val="01D65AC4"/>
    <w:rsid w:val="029E1705"/>
    <w:rsid w:val="02BB6852"/>
    <w:rsid w:val="02E85CA9"/>
    <w:rsid w:val="031418F0"/>
    <w:rsid w:val="03536EC3"/>
    <w:rsid w:val="03681C3C"/>
    <w:rsid w:val="037B54CB"/>
    <w:rsid w:val="04074BD6"/>
    <w:rsid w:val="043B10FF"/>
    <w:rsid w:val="043D7F29"/>
    <w:rsid w:val="046425BE"/>
    <w:rsid w:val="04785EAF"/>
    <w:rsid w:val="04D806FC"/>
    <w:rsid w:val="04F66000"/>
    <w:rsid w:val="05446477"/>
    <w:rsid w:val="05942874"/>
    <w:rsid w:val="06293733"/>
    <w:rsid w:val="068C65AB"/>
    <w:rsid w:val="06C4775E"/>
    <w:rsid w:val="073360BD"/>
    <w:rsid w:val="07397B77"/>
    <w:rsid w:val="074262C5"/>
    <w:rsid w:val="07697D31"/>
    <w:rsid w:val="079923C4"/>
    <w:rsid w:val="07A019A5"/>
    <w:rsid w:val="07A174CB"/>
    <w:rsid w:val="07A20778"/>
    <w:rsid w:val="07C30AFD"/>
    <w:rsid w:val="07F7533D"/>
    <w:rsid w:val="08057A5A"/>
    <w:rsid w:val="081F79D3"/>
    <w:rsid w:val="082A74C0"/>
    <w:rsid w:val="08986B20"/>
    <w:rsid w:val="08A74FB5"/>
    <w:rsid w:val="08C16076"/>
    <w:rsid w:val="08F24482"/>
    <w:rsid w:val="09075A53"/>
    <w:rsid w:val="091C4F8C"/>
    <w:rsid w:val="09436A8B"/>
    <w:rsid w:val="0973209F"/>
    <w:rsid w:val="098827C8"/>
    <w:rsid w:val="0A474359"/>
    <w:rsid w:val="0A6B58A5"/>
    <w:rsid w:val="0A7B72A1"/>
    <w:rsid w:val="0AB3379D"/>
    <w:rsid w:val="0B0D1E69"/>
    <w:rsid w:val="0B2746D4"/>
    <w:rsid w:val="0B884C29"/>
    <w:rsid w:val="0C261806"/>
    <w:rsid w:val="0C831895"/>
    <w:rsid w:val="0CC02A05"/>
    <w:rsid w:val="0CC2416B"/>
    <w:rsid w:val="0CC5375D"/>
    <w:rsid w:val="0CDD0FA5"/>
    <w:rsid w:val="0CF46A23"/>
    <w:rsid w:val="0D1E5CB6"/>
    <w:rsid w:val="0D523741"/>
    <w:rsid w:val="0D662534"/>
    <w:rsid w:val="0D763030"/>
    <w:rsid w:val="0D8C0298"/>
    <w:rsid w:val="0DAB40F0"/>
    <w:rsid w:val="0DCB0A0E"/>
    <w:rsid w:val="0E1D789D"/>
    <w:rsid w:val="0E2D3866"/>
    <w:rsid w:val="0E682AF0"/>
    <w:rsid w:val="0EC202DE"/>
    <w:rsid w:val="0F1D392A"/>
    <w:rsid w:val="0F5355AE"/>
    <w:rsid w:val="0F696B20"/>
    <w:rsid w:val="0FB5289B"/>
    <w:rsid w:val="0FBB2F4F"/>
    <w:rsid w:val="0FCE0E92"/>
    <w:rsid w:val="108C51BC"/>
    <w:rsid w:val="1193257A"/>
    <w:rsid w:val="11AB1672"/>
    <w:rsid w:val="11B00A36"/>
    <w:rsid w:val="11DF30C9"/>
    <w:rsid w:val="12906AB9"/>
    <w:rsid w:val="12B27644"/>
    <w:rsid w:val="12EB7235"/>
    <w:rsid w:val="130D1EB8"/>
    <w:rsid w:val="13631D30"/>
    <w:rsid w:val="1367781A"/>
    <w:rsid w:val="13D529D6"/>
    <w:rsid w:val="141F555F"/>
    <w:rsid w:val="14FF0009"/>
    <w:rsid w:val="150A2B53"/>
    <w:rsid w:val="15DB2014"/>
    <w:rsid w:val="15DB629E"/>
    <w:rsid w:val="16337E88"/>
    <w:rsid w:val="163D2AB4"/>
    <w:rsid w:val="16565924"/>
    <w:rsid w:val="165A3666"/>
    <w:rsid w:val="166167A3"/>
    <w:rsid w:val="16836428"/>
    <w:rsid w:val="16AE750E"/>
    <w:rsid w:val="170A1403"/>
    <w:rsid w:val="173043C7"/>
    <w:rsid w:val="17B9468F"/>
    <w:rsid w:val="17D226D6"/>
    <w:rsid w:val="17D82A95"/>
    <w:rsid w:val="18210952"/>
    <w:rsid w:val="18730A0F"/>
    <w:rsid w:val="18D55226"/>
    <w:rsid w:val="18DE3F5F"/>
    <w:rsid w:val="194D300E"/>
    <w:rsid w:val="19A867BE"/>
    <w:rsid w:val="19BD0194"/>
    <w:rsid w:val="19FE21FC"/>
    <w:rsid w:val="1A3C637F"/>
    <w:rsid w:val="1AAE26E1"/>
    <w:rsid w:val="1AFF47DC"/>
    <w:rsid w:val="1B1069E9"/>
    <w:rsid w:val="1B2B3823"/>
    <w:rsid w:val="1B3E5305"/>
    <w:rsid w:val="1B733202"/>
    <w:rsid w:val="1B8371BB"/>
    <w:rsid w:val="1C136517"/>
    <w:rsid w:val="1C2F4C4D"/>
    <w:rsid w:val="1C3B2397"/>
    <w:rsid w:val="1C664547"/>
    <w:rsid w:val="1C6C5EA1"/>
    <w:rsid w:val="1CD51C99"/>
    <w:rsid w:val="1D046798"/>
    <w:rsid w:val="1D3A5FA0"/>
    <w:rsid w:val="1D533C1F"/>
    <w:rsid w:val="1E18008F"/>
    <w:rsid w:val="1E182ECA"/>
    <w:rsid w:val="1EA062D6"/>
    <w:rsid w:val="1EA336D1"/>
    <w:rsid w:val="1EB17343"/>
    <w:rsid w:val="1EEB7551"/>
    <w:rsid w:val="1F6E1F30"/>
    <w:rsid w:val="1F8A78EA"/>
    <w:rsid w:val="1FD94245"/>
    <w:rsid w:val="20601879"/>
    <w:rsid w:val="20BB0071"/>
    <w:rsid w:val="20DF30E6"/>
    <w:rsid w:val="20F84E09"/>
    <w:rsid w:val="211C2557"/>
    <w:rsid w:val="21333432"/>
    <w:rsid w:val="21B84BEB"/>
    <w:rsid w:val="21E97C4B"/>
    <w:rsid w:val="21F901D7"/>
    <w:rsid w:val="22205764"/>
    <w:rsid w:val="227418F7"/>
    <w:rsid w:val="22917AEB"/>
    <w:rsid w:val="2305495A"/>
    <w:rsid w:val="23137077"/>
    <w:rsid w:val="231E3090"/>
    <w:rsid w:val="232829C8"/>
    <w:rsid w:val="23284A00"/>
    <w:rsid w:val="23AE6D9F"/>
    <w:rsid w:val="23B31F24"/>
    <w:rsid w:val="23BC770E"/>
    <w:rsid w:val="23C73B1B"/>
    <w:rsid w:val="23CD7676"/>
    <w:rsid w:val="24606A59"/>
    <w:rsid w:val="24961D0D"/>
    <w:rsid w:val="24CF3471"/>
    <w:rsid w:val="24FA129A"/>
    <w:rsid w:val="25407ECB"/>
    <w:rsid w:val="259734E4"/>
    <w:rsid w:val="25A4045A"/>
    <w:rsid w:val="25EC4202"/>
    <w:rsid w:val="25FD7B6A"/>
    <w:rsid w:val="26275E9D"/>
    <w:rsid w:val="262D3FA9"/>
    <w:rsid w:val="262E03B6"/>
    <w:rsid w:val="26325A66"/>
    <w:rsid w:val="26493BE3"/>
    <w:rsid w:val="26527EB6"/>
    <w:rsid w:val="266F2816"/>
    <w:rsid w:val="267B7D64"/>
    <w:rsid w:val="269D41C7"/>
    <w:rsid w:val="26A5448A"/>
    <w:rsid w:val="26AB5818"/>
    <w:rsid w:val="26C64400"/>
    <w:rsid w:val="26ED0DC9"/>
    <w:rsid w:val="27092D0A"/>
    <w:rsid w:val="27930786"/>
    <w:rsid w:val="279A0157"/>
    <w:rsid w:val="28172612"/>
    <w:rsid w:val="28771E56"/>
    <w:rsid w:val="28910A78"/>
    <w:rsid w:val="289B0BA8"/>
    <w:rsid w:val="28E6709C"/>
    <w:rsid w:val="28F545CD"/>
    <w:rsid w:val="2912392D"/>
    <w:rsid w:val="29254939"/>
    <w:rsid w:val="293C0E8C"/>
    <w:rsid w:val="29785E86"/>
    <w:rsid w:val="29946A38"/>
    <w:rsid w:val="29BB70E6"/>
    <w:rsid w:val="29CF181E"/>
    <w:rsid w:val="29EC3DAC"/>
    <w:rsid w:val="2A010E51"/>
    <w:rsid w:val="2A264090"/>
    <w:rsid w:val="2A355B25"/>
    <w:rsid w:val="2A5C7555"/>
    <w:rsid w:val="2A62278A"/>
    <w:rsid w:val="2A6C52BE"/>
    <w:rsid w:val="2A8F3DB3"/>
    <w:rsid w:val="2B520958"/>
    <w:rsid w:val="2B6F28F5"/>
    <w:rsid w:val="2B6F55CF"/>
    <w:rsid w:val="2B8C732F"/>
    <w:rsid w:val="2BD466CA"/>
    <w:rsid w:val="2BE02C40"/>
    <w:rsid w:val="2BEB6DE3"/>
    <w:rsid w:val="2C043A01"/>
    <w:rsid w:val="2C3E47E1"/>
    <w:rsid w:val="2C531232"/>
    <w:rsid w:val="2C8903AA"/>
    <w:rsid w:val="2CA07839"/>
    <w:rsid w:val="2D047A30"/>
    <w:rsid w:val="2D134007"/>
    <w:rsid w:val="2D2D6F87"/>
    <w:rsid w:val="2DA76D39"/>
    <w:rsid w:val="2DEC6DA9"/>
    <w:rsid w:val="2E05033D"/>
    <w:rsid w:val="2E2C5491"/>
    <w:rsid w:val="2E8059FB"/>
    <w:rsid w:val="2E9D1A0C"/>
    <w:rsid w:val="2F430CE4"/>
    <w:rsid w:val="2F5C0D51"/>
    <w:rsid w:val="2FDA77E1"/>
    <w:rsid w:val="300C2A60"/>
    <w:rsid w:val="300D72CC"/>
    <w:rsid w:val="30405223"/>
    <w:rsid w:val="30B978AD"/>
    <w:rsid w:val="31081922"/>
    <w:rsid w:val="314174A5"/>
    <w:rsid w:val="31464ABB"/>
    <w:rsid w:val="3154611C"/>
    <w:rsid w:val="318E3088"/>
    <w:rsid w:val="31A11CF2"/>
    <w:rsid w:val="31A92FFC"/>
    <w:rsid w:val="31BD23A5"/>
    <w:rsid w:val="31C3610C"/>
    <w:rsid w:val="31CD6F8B"/>
    <w:rsid w:val="32084224"/>
    <w:rsid w:val="323B2146"/>
    <w:rsid w:val="323E5792"/>
    <w:rsid w:val="32496611"/>
    <w:rsid w:val="32A9089C"/>
    <w:rsid w:val="32B02AEC"/>
    <w:rsid w:val="332E1CAB"/>
    <w:rsid w:val="336E3E55"/>
    <w:rsid w:val="337726A7"/>
    <w:rsid w:val="338D077F"/>
    <w:rsid w:val="339C4E66"/>
    <w:rsid w:val="33C30645"/>
    <w:rsid w:val="33DE760F"/>
    <w:rsid w:val="34044EE1"/>
    <w:rsid w:val="34207846"/>
    <w:rsid w:val="34B166F0"/>
    <w:rsid w:val="35577297"/>
    <w:rsid w:val="35BC359E"/>
    <w:rsid w:val="35FB603C"/>
    <w:rsid w:val="362115CD"/>
    <w:rsid w:val="365E4F6F"/>
    <w:rsid w:val="367125DA"/>
    <w:rsid w:val="36D6243D"/>
    <w:rsid w:val="372F3B75"/>
    <w:rsid w:val="3747259D"/>
    <w:rsid w:val="375A659B"/>
    <w:rsid w:val="37620175"/>
    <w:rsid w:val="37950099"/>
    <w:rsid w:val="379D2F5B"/>
    <w:rsid w:val="37AE4A52"/>
    <w:rsid w:val="38C40AA6"/>
    <w:rsid w:val="38DB60E6"/>
    <w:rsid w:val="39194863"/>
    <w:rsid w:val="39740540"/>
    <w:rsid w:val="397B2807"/>
    <w:rsid w:val="397D1296"/>
    <w:rsid w:val="39822409"/>
    <w:rsid w:val="3A045513"/>
    <w:rsid w:val="3A3C4CAD"/>
    <w:rsid w:val="3A576901"/>
    <w:rsid w:val="3A663AD8"/>
    <w:rsid w:val="3AF328FC"/>
    <w:rsid w:val="3B017004"/>
    <w:rsid w:val="3B3140E6"/>
    <w:rsid w:val="3B5953EB"/>
    <w:rsid w:val="3BDC04F6"/>
    <w:rsid w:val="3BF764BC"/>
    <w:rsid w:val="3C522566"/>
    <w:rsid w:val="3C7624CD"/>
    <w:rsid w:val="3CC1149A"/>
    <w:rsid w:val="3D0221DE"/>
    <w:rsid w:val="3D032B65"/>
    <w:rsid w:val="3D2B3DC8"/>
    <w:rsid w:val="3D7C3859"/>
    <w:rsid w:val="3EE80F60"/>
    <w:rsid w:val="3F073ADC"/>
    <w:rsid w:val="3F251488"/>
    <w:rsid w:val="3F43088C"/>
    <w:rsid w:val="3F566811"/>
    <w:rsid w:val="3F8A64BB"/>
    <w:rsid w:val="4027003D"/>
    <w:rsid w:val="404A37EE"/>
    <w:rsid w:val="40596D74"/>
    <w:rsid w:val="40642868"/>
    <w:rsid w:val="40793110"/>
    <w:rsid w:val="40D4373D"/>
    <w:rsid w:val="40D5502B"/>
    <w:rsid w:val="41A53138"/>
    <w:rsid w:val="41AB4B00"/>
    <w:rsid w:val="41EA3241"/>
    <w:rsid w:val="42502B41"/>
    <w:rsid w:val="425D1C65"/>
    <w:rsid w:val="4262727B"/>
    <w:rsid w:val="42674EE5"/>
    <w:rsid w:val="429F5DD9"/>
    <w:rsid w:val="42BF022A"/>
    <w:rsid w:val="42D42037"/>
    <w:rsid w:val="42DC0504"/>
    <w:rsid w:val="42E303BC"/>
    <w:rsid w:val="43103BB7"/>
    <w:rsid w:val="43616E7D"/>
    <w:rsid w:val="43747266"/>
    <w:rsid w:val="438F661B"/>
    <w:rsid w:val="439518B3"/>
    <w:rsid w:val="43B458B4"/>
    <w:rsid w:val="446F063A"/>
    <w:rsid w:val="447514E8"/>
    <w:rsid w:val="44B6499C"/>
    <w:rsid w:val="4542345E"/>
    <w:rsid w:val="45570BED"/>
    <w:rsid w:val="45765089"/>
    <w:rsid w:val="45AA51C1"/>
    <w:rsid w:val="460C7C2A"/>
    <w:rsid w:val="461F178B"/>
    <w:rsid w:val="462036D5"/>
    <w:rsid w:val="46C24BA5"/>
    <w:rsid w:val="474A3B9E"/>
    <w:rsid w:val="47C003E5"/>
    <w:rsid w:val="47CC58C3"/>
    <w:rsid w:val="483671E0"/>
    <w:rsid w:val="4848391D"/>
    <w:rsid w:val="48BB1493"/>
    <w:rsid w:val="48D16F09"/>
    <w:rsid w:val="48EF7956"/>
    <w:rsid w:val="4A8F0E29"/>
    <w:rsid w:val="4AD056CA"/>
    <w:rsid w:val="4B4B1FAE"/>
    <w:rsid w:val="4BB62FE7"/>
    <w:rsid w:val="4BC87E8A"/>
    <w:rsid w:val="4BE11A5A"/>
    <w:rsid w:val="4C97785C"/>
    <w:rsid w:val="4CA67C81"/>
    <w:rsid w:val="4CEA7E6E"/>
    <w:rsid w:val="4D151ABA"/>
    <w:rsid w:val="4D461C73"/>
    <w:rsid w:val="4E345F70"/>
    <w:rsid w:val="4E946A0E"/>
    <w:rsid w:val="4ECF65DB"/>
    <w:rsid w:val="4EDD2163"/>
    <w:rsid w:val="4F1F277C"/>
    <w:rsid w:val="4F4C6AE6"/>
    <w:rsid w:val="4FB355BA"/>
    <w:rsid w:val="503404A9"/>
    <w:rsid w:val="50504A55"/>
    <w:rsid w:val="50874A7C"/>
    <w:rsid w:val="50A607F3"/>
    <w:rsid w:val="50B11AF9"/>
    <w:rsid w:val="50D86F9C"/>
    <w:rsid w:val="50EF2A97"/>
    <w:rsid w:val="511856D5"/>
    <w:rsid w:val="51256932"/>
    <w:rsid w:val="51A74EF3"/>
    <w:rsid w:val="523F3135"/>
    <w:rsid w:val="526D18EF"/>
    <w:rsid w:val="52913E6A"/>
    <w:rsid w:val="529C5288"/>
    <w:rsid w:val="529F6FA1"/>
    <w:rsid w:val="52A95399"/>
    <w:rsid w:val="53592617"/>
    <w:rsid w:val="53797153"/>
    <w:rsid w:val="53A10DA8"/>
    <w:rsid w:val="541C54DC"/>
    <w:rsid w:val="548A4FF6"/>
    <w:rsid w:val="54A97595"/>
    <w:rsid w:val="54C448CE"/>
    <w:rsid w:val="54E3249D"/>
    <w:rsid w:val="551663CF"/>
    <w:rsid w:val="5520724E"/>
    <w:rsid w:val="55664241"/>
    <w:rsid w:val="5578402A"/>
    <w:rsid w:val="559612BE"/>
    <w:rsid w:val="55B0580B"/>
    <w:rsid w:val="55E26BF6"/>
    <w:rsid w:val="568357E0"/>
    <w:rsid w:val="56C02A96"/>
    <w:rsid w:val="56FE536D"/>
    <w:rsid w:val="57396CFC"/>
    <w:rsid w:val="57546EDB"/>
    <w:rsid w:val="57696EE6"/>
    <w:rsid w:val="57824451"/>
    <w:rsid w:val="581035A9"/>
    <w:rsid w:val="584063F0"/>
    <w:rsid w:val="58712B68"/>
    <w:rsid w:val="588673C8"/>
    <w:rsid w:val="58B54151"/>
    <w:rsid w:val="58D44162"/>
    <w:rsid w:val="58F85DEC"/>
    <w:rsid w:val="59013441"/>
    <w:rsid w:val="5909268A"/>
    <w:rsid w:val="59193CBA"/>
    <w:rsid w:val="59853B23"/>
    <w:rsid w:val="5A2E0922"/>
    <w:rsid w:val="5A5B12B5"/>
    <w:rsid w:val="5A81642B"/>
    <w:rsid w:val="5A997C79"/>
    <w:rsid w:val="5AD7215D"/>
    <w:rsid w:val="5ADB40AE"/>
    <w:rsid w:val="5B0647F0"/>
    <w:rsid w:val="5B19266E"/>
    <w:rsid w:val="5B8B1199"/>
    <w:rsid w:val="5BB04C2C"/>
    <w:rsid w:val="5BC53F6F"/>
    <w:rsid w:val="5C2313D1"/>
    <w:rsid w:val="5C693288"/>
    <w:rsid w:val="5C867FAD"/>
    <w:rsid w:val="5CEC03EB"/>
    <w:rsid w:val="5D4810F0"/>
    <w:rsid w:val="5D647EF4"/>
    <w:rsid w:val="5E197728"/>
    <w:rsid w:val="5E3D517E"/>
    <w:rsid w:val="5E4E6523"/>
    <w:rsid w:val="5F313E05"/>
    <w:rsid w:val="5F4B4EC7"/>
    <w:rsid w:val="5FBC2EAC"/>
    <w:rsid w:val="5FC609F2"/>
    <w:rsid w:val="5FC77BFC"/>
    <w:rsid w:val="60021D65"/>
    <w:rsid w:val="60092CBB"/>
    <w:rsid w:val="606A72E3"/>
    <w:rsid w:val="61355C29"/>
    <w:rsid w:val="614147D4"/>
    <w:rsid w:val="618525F4"/>
    <w:rsid w:val="61B52BB6"/>
    <w:rsid w:val="61E909C7"/>
    <w:rsid w:val="61F665F1"/>
    <w:rsid w:val="622F287E"/>
    <w:rsid w:val="624A590A"/>
    <w:rsid w:val="6256605D"/>
    <w:rsid w:val="62631073"/>
    <w:rsid w:val="62681703"/>
    <w:rsid w:val="627961EF"/>
    <w:rsid w:val="62A63B7B"/>
    <w:rsid w:val="62B72874"/>
    <w:rsid w:val="62C31A1B"/>
    <w:rsid w:val="62F810E9"/>
    <w:rsid w:val="6311467A"/>
    <w:rsid w:val="63204010"/>
    <w:rsid w:val="63442359"/>
    <w:rsid w:val="635822A8"/>
    <w:rsid w:val="63F7386F"/>
    <w:rsid w:val="64124205"/>
    <w:rsid w:val="648D1ADE"/>
    <w:rsid w:val="64E8140A"/>
    <w:rsid w:val="651A2071"/>
    <w:rsid w:val="65C418F3"/>
    <w:rsid w:val="660202AA"/>
    <w:rsid w:val="66546D57"/>
    <w:rsid w:val="665713CF"/>
    <w:rsid w:val="66E12EB4"/>
    <w:rsid w:val="66FE4F15"/>
    <w:rsid w:val="670C5884"/>
    <w:rsid w:val="67277FC8"/>
    <w:rsid w:val="67535261"/>
    <w:rsid w:val="677956E9"/>
    <w:rsid w:val="67952A23"/>
    <w:rsid w:val="67A54D96"/>
    <w:rsid w:val="68843049"/>
    <w:rsid w:val="68905759"/>
    <w:rsid w:val="68953657"/>
    <w:rsid w:val="68EB3277"/>
    <w:rsid w:val="693966D8"/>
    <w:rsid w:val="69450B30"/>
    <w:rsid w:val="695D5F23"/>
    <w:rsid w:val="698A0CE2"/>
    <w:rsid w:val="698E7C07"/>
    <w:rsid w:val="699C2263"/>
    <w:rsid w:val="69FC44B0"/>
    <w:rsid w:val="6A221CCC"/>
    <w:rsid w:val="6AA12AE5"/>
    <w:rsid w:val="6B457299"/>
    <w:rsid w:val="6B713F07"/>
    <w:rsid w:val="6B924C11"/>
    <w:rsid w:val="6BD91AAD"/>
    <w:rsid w:val="6BF50006"/>
    <w:rsid w:val="6C3D64DF"/>
    <w:rsid w:val="6CA634AC"/>
    <w:rsid w:val="6CD90324"/>
    <w:rsid w:val="6CEE3336"/>
    <w:rsid w:val="6D257B8B"/>
    <w:rsid w:val="6DE035C6"/>
    <w:rsid w:val="6DEF3809"/>
    <w:rsid w:val="6E0A777F"/>
    <w:rsid w:val="6E0E1190"/>
    <w:rsid w:val="6E427DDD"/>
    <w:rsid w:val="6E527FB0"/>
    <w:rsid w:val="6EC439C2"/>
    <w:rsid w:val="6EE60768"/>
    <w:rsid w:val="6F135C71"/>
    <w:rsid w:val="6F1572A0"/>
    <w:rsid w:val="6F1D0EF1"/>
    <w:rsid w:val="6F467459"/>
    <w:rsid w:val="6F80296B"/>
    <w:rsid w:val="6FA26D85"/>
    <w:rsid w:val="6FCF744E"/>
    <w:rsid w:val="6FFB1610"/>
    <w:rsid w:val="700A0487"/>
    <w:rsid w:val="70147D44"/>
    <w:rsid w:val="70FA6D46"/>
    <w:rsid w:val="71213CDA"/>
    <w:rsid w:val="716B31A7"/>
    <w:rsid w:val="717643E7"/>
    <w:rsid w:val="719B1CDE"/>
    <w:rsid w:val="7233722B"/>
    <w:rsid w:val="726273B2"/>
    <w:rsid w:val="72802C82"/>
    <w:rsid w:val="72835DCF"/>
    <w:rsid w:val="72897D89"/>
    <w:rsid w:val="72E2393D"/>
    <w:rsid w:val="72E707EF"/>
    <w:rsid w:val="730B69EF"/>
    <w:rsid w:val="733C6F85"/>
    <w:rsid w:val="73691671"/>
    <w:rsid w:val="738238D4"/>
    <w:rsid w:val="73D9089C"/>
    <w:rsid w:val="747B7BA5"/>
    <w:rsid w:val="7488443F"/>
    <w:rsid w:val="74B9247B"/>
    <w:rsid w:val="75151DA7"/>
    <w:rsid w:val="755F4997"/>
    <w:rsid w:val="765468FF"/>
    <w:rsid w:val="76634D94"/>
    <w:rsid w:val="768F7AF6"/>
    <w:rsid w:val="76932DB3"/>
    <w:rsid w:val="76D4314C"/>
    <w:rsid w:val="76F31C74"/>
    <w:rsid w:val="76F53C3E"/>
    <w:rsid w:val="77212C85"/>
    <w:rsid w:val="7744462F"/>
    <w:rsid w:val="77470212"/>
    <w:rsid w:val="7761127E"/>
    <w:rsid w:val="77794C6D"/>
    <w:rsid w:val="77FE2FC7"/>
    <w:rsid w:val="781A76D5"/>
    <w:rsid w:val="781D71EE"/>
    <w:rsid w:val="78686692"/>
    <w:rsid w:val="78E21FA1"/>
    <w:rsid w:val="78FD327E"/>
    <w:rsid w:val="79652BD2"/>
    <w:rsid w:val="798E588D"/>
    <w:rsid w:val="7A066163"/>
    <w:rsid w:val="7A2605B3"/>
    <w:rsid w:val="7B0D7956"/>
    <w:rsid w:val="7B393CE7"/>
    <w:rsid w:val="7B742C9F"/>
    <w:rsid w:val="7BEE6EAE"/>
    <w:rsid w:val="7BF5648F"/>
    <w:rsid w:val="7BF62924"/>
    <w:rsid w:val="7C6210BC"/>
    <w:rsid w:val="7C7750F6"/>
    <w:rsid w:val="7C977546"/>
    <w:rsid w:val="7D690EE2"/>
    <w:rsid w:val="7DC15B2F"/>
    <w:rsid w:val="7DC9372F"/>
    <w:rsid w:val="7DDD0F99"/>
    <w:rsid w:val="7DFD162B"/>
    <w:rsid w:val="7E7E6C0F"/>
    <w:rsid w:val="7E880E0B"/>
    <w:rsid w:val="7ED625A7"/>
    <w:rsid w:val="7F183EFE"/>
    <w:rsid w:val="7F4C0323"/>
    <w:rsid w:val="7F4C4618"/>
    <w:rsid w:val="7F593B0D"/>
    <w:rsid w:val="7F92054D"/>
    <w:rsid w:val="7F9238F9"/>
    <w:rsid w:val="7F9B4CB4"/>
    <w:rsid w:val="7FC752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字符"/>
    <w:basedOn w:val="7"/>
    <w:link w:val="2"/>
    <w:semiHidden/>
    <w:qFormat/>
    <w:uiPriority w:val="99"/>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1990</Words>
  <Characters>2136</Characters>
  <Lines>1</Lines>
  <Paragraphs>1</Paragraphs>
  <TotalTime>11</TotalTime>
  <ScaleCrop>false</ScaleCrop>
  <LinksUpToDate>false</LinksUpToDate>
  <CharactersWithSpaces>2229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2023-09-22T00:44:00Z</dcterms:created>
  <dc:creator>pc</dc:creator>
  <cp:lastModifiedBy>WZ</cp:lastModifiedBy>
  <cp:lastPrinted>2017-11-06T02:12:00Z</cp:lastPrinted>
  <dcterms:modified xsi:type="dcterms:W3CDTF">2026-05-22T04:02:12Z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0F8B9BFDE05D4B62967F67DD66F7EAE7</vt:lpwstr>
  </property>
  <property fmtid="{D5CDD505-2E9C-101B-9397-08002B2CF9AE}" pid="4" name="KSOTemplateDocerSaveRecord">
    <vt:lpwstr>eyJoZGlkIjoiZmJlNTRkODU4Mzc2YjVhMzdlN2ZiN2EyZjE2YWUxN2EiLCJ1c2VySWQiOiI0MTgwNTk0NTEifQ==</vt:lpwstr>
  </property>
</Properties>
</file>