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14221BBC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</w:t>
      </w:r>
      <w:r w:rsidR="009E5D51">
        <w:rPr>
          <w:rFonts w:ascii="Arial" w:eastAsia="宋体" w:hAnsi="Arial" w:cs="Arial"/>
          <w:color w:val="auto"/>
        </w:rPr>
        <w:t>6</w:t>
      </w:r>
      <w:r>
        <w:rPr>
          <w:rFonts w:ascii="Arial" w:eastAsia="宋体" w:hAnsi="Arial" w:cs="Arial"/>
          <w:color w:val="auto"/>
        </w:rPr>
        <w:t>-0</w:t>
      </w:r>
      <w:r w:rsidR="009E5D51">
        <w:rPr>
          <w:rFonts w:ascii="Arial" w:eastAsia="宋体" w:hAnsi="Arial" w:cs="Arial"/>
          <w:color w:val="auto"/>
        </w:rPr>
        <w:t>0</w:t>
      </w:r>
      <w:r w:rsidR="00800CBB">
        <w:rPr>
          <w:rFonts w:ascii="Arial" w:eastAsia="宋体" w:hAnsi="Arial" w:cs="Arial"/>
          <w:color w:val="auto"/>
        </w:rPr>
        <w:t>4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3EAB0143" w:rsidR="005D664A" w:rsidRDefault="00800CBB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6F14711A" w14:textId="2F9819B5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9E5D51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46991B7C" w:rsidR="005D664A" w:rsidRDefault="00800CBB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现场参观            </w:t>
            </w:r>
            <w:bookmarkStart w:id="0" w:name="OLE_LINK1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bookmarkEnd w:id="0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一对一沟通</w:t>
            </w:r>
          </w:p>
          <w:p w14:paraId="4A60AE89" w14:textId="39A4A3C0" w:rsidR="005D664A" w:rsidRDefault="00800CBB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  <w:r w:rsidR="00216B51">
              <w:rPr>
                <w:rFonts w:ascii="宋体" w:eastAsia="宋体" w:hAnsi="宋体" w:cs="Arial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5D664A" w14:paraId="1EAD1ACB" w14:textId="77777777">
        <w:trPr>
          <w:trHeight w:val="1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7ABD" w14:textId="666EC346" w:rsidR="008C4245" w:rsidRDefault="008C4245" w:rsidP="008C4245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tbl>
            <w:tblPr>
              <w:tblW w:w="7957" w:type="dxa"/>
              <w:tblLayout w:type="fixed"/>
              <w:tblLook w:val="04A0" w:firstRow="1" w:lastRow="0" w:firstColumn="1" w:lastColumn="0" w:noHBand="0" w:noVBand="1"/>
            </w:tblPr>
            <w:tblGrid>
              <w:gridCol w:w="2600"/>
              <w:gridCol w:w="1246"/>
              <w:gridCol w:w="2919"/>
              <w:gridCol w:w="1192"/>
            </w:tblGrid>
            <w:tr w:rsidR="00800CBB" w:rsidRPr="00800CBB" w14:paraId="0CA3D65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141ED36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博时基金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7DA20F9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黄楚翔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4D3D95A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中信银行广州分行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4EA4357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陈慕贤</w:t>
                  </w:r>
                </w:p>
              </w:tc>
            </w:tr>
            <w:tr w:rsidR="00800CBB" w:rsidRPr="00800CBB" w14:paraId="32A6DFD7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463C09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博时基金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01DF748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李博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7485866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第一财经日报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4181FBD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安卓</w:t>
                  </w:r>
                </w:p>
              </w:tc>
            </w:tr>
            <w:tr w:rsidR="00800CBB" w:rsidRPr="00800CBB" w14:paraId="26AE24A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46E5FD3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博时基金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002F229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刘玉强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2B4E898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今晚吃基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7EFF640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蔡晓铭</w:t>
                  </w:r>
                </w:p>
              </w:tc>
            </w:tr>
            <w:tr w:rsidR="00800CBB" w:rsidRPr="00800CBB" w14:paraId="5D066134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1C21F07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博时基金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0F2CEDA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任行启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49A66D5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第一财经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10BDD0F8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曹璐</w:t>
                  </w:r>
                </w:p>
              </w:tc>
            </w:tr>
            <w:tr w:rsidR="00800CBB" w:rsidRPr="00800CBB" w14:paraId="16197D9C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58CC010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博时基金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25511E8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吴夏帆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340DBDF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研值有道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0E3EB10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陈豪</w:t>
                  </w:r>
                </w:p>
              </w:tc>
            </w:tr>
            <w:tr w:rsidR="00800CBB" w:rsidRPr="00800CBB" w14:paraId="3525DDB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6AF48204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21</w:t>
                  </w:r>
                  <w:r w:rsidRPr="00800CBB">
                    <w:rPr>
                      <w:rFonts w:ascii="Arial" w:eastAsia="宋体" w:hAnsi="Arial" w:cs="Arial"/>
                      <w:kern w:val="0"/>
                    </w:rPr>
                    <w:t>世纪经济报道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412CC41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李域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6D6AC0A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深圳晚报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336E9A6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高健桓</w:t>
                  </w:r>
                </w:p>
              </w:tc>
            </w:tr>
            <w:tr w:rsidR="00800CBB" w:rsidRPr="00800CBB" w14:paraId="3B9B1DDE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8B8C60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21</w:t>
                  </w:r>
                  <w:r w:rsidRPr="00800CBB">
                    <w:rPr>
                      <w:rFonts w:ascii="Arial" w:eastAsia="宋体" w:hAnsi="Arial" w:cs="Arial"/>
                      <w:kern w:val="0"/>
                    </w:rPr>
                    <w:t>世纪经济报道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3392962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庞华玮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1996F6D7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中国经营报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4F88511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顾梦轩</w:t>
                  </w:r>
                </w:p>
              </w:tc>
            </w:tr>
            <w:tr w:rsidR="00800CBB" w:rsidRPr="00800CBB" w14:paraId="366F5765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48D5B0EE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21</w:t>
                  </w:r>
                  <w:r w:rsidRPr="00800CBB">
                    <w:rPr>
                      <w:rFonts w:ascii="Arial" w:eastAsia="宋体" w:hAnsi="Arial" w:cs="Arial"/>
                      <w:kern w:val="0"/>
                    </w:rPr>
                    <w:t>世纪经济报道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48F167C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曾芳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7027753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文汇报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34C9A297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李昌鸿</w:t>
                  </w:r>
                </w:p>
              </w:tc>
            </w:tr>
            <w:tr w:rsidR="00800CBB" w:rsidRPr="00800CBB" w14:paraId="75FD7E7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68787DAE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福建中信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717A5AB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李木林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7DF63A5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经理人杂志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6A2A5B4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李清臣</w:t>
                  </w:r>
                </w:p>
              </w:tc>
            </w:tr>
            <w:tr w:rsidR="00800CBB" w:rsidRPr="00800CBB" w14:paraId="37996561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18EAD310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福建中信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03AFC94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刘惠芳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09C9990A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嗨牛财经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1600CBD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林立杰</w:t>
                  </w:r>
                </w:p>
              </w:tc>
            </w:tr>
            <w:tr w:rsidR="00800CBB" w:rsidRPr="00800CBB" w14:paraId="4516DAB4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12D3056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福建中信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4482AE4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邹红英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6465020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厦门建行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120AD840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林晓菊</w:t>
                  </w:r>
                </w:p>
              </w:tc>
            </w:tr>
            <w:tr w:rsidR="00800CBB" w:rsidRPr="00800CBB" w14:paraId="1EAE7543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18D101D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华兴银行总行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25411FE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黄靖云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4E729A1E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南方都市报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1D8F54A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罗曼瑜</w:t>
                  </w:r>
                </w:p>
              </w:tc>
            </w:tr>
            <w:tr w:rsidR="00800CBB" w:rsidRPr="00800CBB" w14:paraId="626EF917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25D55DD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华兴银行总行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057DB410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许悦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42716AB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新快报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141771A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骆智冕</w:t>
                  </w:r>
                </w:p>
              </w:tc>
            </w:tr>
            <w:tr w:rsidR="00800CBB" w:rsidRPr="00800CBB" w14:paraId="1AB9C58D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5656CBC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界面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5AD3BA9A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曾令俊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07AA79B8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羊城晚报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320C3E2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莫谨榕</w:t>
                  </w:r>
                </w:p>
              </w:tc>
            </w:tr>
            <w:tr w:rsidR="00800CBB" w:rsidRPr="00800CBB" w14:paraId="6DE5F91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63DC621A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上海证券报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18AC5BE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何漪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274EB2A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格隆汇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1129065E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邵钊伦</w:t>
                  </w:r>
                </w:p>
              </w:tc>
            </w:tr>
            <w:tr w:rsidR="00800CBB" w:rsidRPr="00800CBB" w14:paraId="1A718EBE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2A93043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上海证券报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65155F7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黄金滔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7FFC158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全景网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04D27F7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孙非</w:t>
                  </w:r>
                </w:p>
              </w:tc>
            </w:tr>
            <w:tr w:rsidR="00800CBB" w:rsidRPr="00800CBB" w14:paraId="2A25BE2A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117DC89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邮储银行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21844FB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刘瑜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6BF24484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南方日报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483B688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唐柳雯</w:t>
                  </w:r>
                </w:p>
              </w:tc>
            </w:tr>
            <w:tr w:rsidR="00800CBB" w:rsidRPr="00800CBB" w14:paraId="407A0255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4FD10C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邮储银行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7B7A3D2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张睿佳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1B88A8E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广州日报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64C3A41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王楚涵</w:t>
                  </w:r>
                </w:p>
              </w:tc>
            </w:tr>
            <w:tr w:rsidR="00800CBB" w:rsidRPr="00800CBB" w14:paraId="78F53D31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23B84EC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70B2B7E0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陈水明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13450430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智通财经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59BE69F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王哲毅</w:t>
                  </w:r>
                </w:p>
              </w:tc>
            </w:tr>
            <w:tr w:rsidR="00800CBB" w:rsidRPr="00800CBB" w14:paraId="514A9447" w14:textId="77777777" w:rsidTr="00800CBB">
              <w:trPr>
                <w:trHeight w:val="30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73396DA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7D31367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冯翔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6403BBD0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农业银行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7E48FE24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郭伟杏</w:t>
                  </w:r>
                </w:p>
              </w:tc>
            </w:tr>
            <w:tr w:rsidR="00800CBB" w:rsidRPr="00800CBB" w14:paraId="55932A62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35274288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3E3033F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孙有保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5A46A5C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银河证券广东分公司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6351D63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吴国梁</w:t>
                  </w:r>
                </w:p>
              </w:tc>
            </w:tr>
            <w:tr w:rsidR="00800CBB" w:rsidRPr="00800CBB" w14:paraId="3D05267C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9CDD2D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381F12E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温淳茜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1B25A8C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福州建行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0EC880E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吴玲</w:t>
                  </w:r>
                </w:p>
              </w:tc>
            </w:tr>
            <w:tr w:rsidR="00800CBB" w:rsidRPr="00800CBB" w14:paraId="0200D5EC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9A2285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2CF3059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伍鑫雨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02299C1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源媒汇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1154EC7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严友良</w:t>
                  </w:r>
                </w:p>
              </w:tc>
            </w:tr>
            <w:tr w:rsidR="00800CBB" w:rsidRPr="00800CBB" w14:paraId="47D6A9DC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751B81C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3B4F3864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邢云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6933379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晶报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6CE928F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易少龄</w:t>
                  </w:r>
                </w:p>
              </w:tc>
            </w:tr>
            <w:tr w:rsidR="00800CBB" w:rsidRPr="00800CBB" w14:paraId="373A2F9D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113F341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40BD2D2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徐成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347A9EE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深圳商报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5F2F5E1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詹钰叶</w:t>
                  </w:r>
                </w:p>
              </w:tc>
            </w:tr>
            <w:tr w:rsidR="00800CBB" w:rsidRPr="00800CBB" w14:paraId="6F3818C6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4E4172E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3FE1CBBA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徐光明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5451872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广东柏舟证券投资基金管理有限公司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56BB6C57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张宸珲</w:t>
                  </w:r>
                </w:p>
              </w:tc>
            </w:tr>
            <w:tr w:rsidR="00800CBB" w:rsidRPr="00800CBB" w14:paraId="34A3D726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561B5598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71AF972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张思远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7847E6A6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每日财报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796862D1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张戈</w:t>
                  </w:r>
                </w:p>
              </w:tc>
            </w:tr>
            <w:tr w:rsidR="00800CBB" w:rsidRPr="00800CBB" w14:paraId="30BB751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C81A3F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647B5E44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张信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6BDC515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信息时报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7E2A1D8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张柳静</w:t>
                  </w:r>
                </w:p>
              </w:tc>
            </w:tr>
            <w:tr w:rsidR="00800CBB" w:rsidRPr="00800CBB" w14:paraId="21F0A15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2288FF34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证券时报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7CB338AA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吴琦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0291DC9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资管网（迪哥看财经）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30C8C9C0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赵迪</w:t>
                  </w:r>
                </w:p>
              </w:tc>
            </w:tr>
            <w:tr w:rsidR="00800CBB" w:rsidRPr="00800CBB" w14:paraId="015A422E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276B8318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lastRenderedPageBreak/>
                    <w:t>中信建投证券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6290F16E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邵婷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6D8AEE43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大财可富司机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05E3705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赵琳</w:t>
                  </w:r>
                </w:p>
              </w:tc>
            </w:tr>
            <w:tr w:rsidR="00800CBB" w:rsidRPr="00800CBB" w14:paraId="5738C46A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7EA9A07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中信建投证券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4C7F1469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王帆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423ED14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中国商报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7EEFF938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赵琳</w:t>
                  </w:r>
                </w:p>
              </w:tc>
            </w:tr>
            <w:tr w:rsidR="00800CBB" w:rsidRPr="00800CBB" w14:paraId="0BE34F5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37D40614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中信建投证券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5BF9F27F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王思佳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1ED8EC0C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观点（金投研）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02E4502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周倩茹</w:t>
                  </w:r>
                </w:p>
              </w:tc>
            </w:tr>
            <w:tr w:rsidR="00800CBB" w:rsidRPr="00800CBB" w14:paraId="7FC39B7F" w14:textId="77777777" w:rsidTr="00800CBB">
              <w:trPr>
                <w:trHeight w:val="29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2A689E4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中信建投证券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0A8C94BA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吴佳璐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center"/>
                  <w:hideMark/>
                </w:tcPr>
                <w:p w14:paraId="4E325BBB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财联社</w:t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  <w:hideMark/>
                </w:tcPr>
                <w:p w14:paraId="7CF5E0F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周晓雅</w:t>
                  </w:r>
                </w:p>
              </w:tc>
            </w:tr>
            <w:tr w:rsidR="00800CBB" w:rsidRPr="00800CBB" w14:paraId="79C12EBD" w14:textId="77777777" w:rsidTr="00800CBB">
              <w:trPr>
                <w:trHeight w:val="300"/>
              </w:trPr>
              <w:tc>
                <w:tcPr>
                  <w:tcW w:w="2600" w:type="dxa"/>
                  <w:shd w:val="clear" w:color="auto" w:fill="auto"/>
                  <w:noWrap/>
                  <w:vAlign w:val="center"/>
                  <w:hideMark/>
                </w:tcPr>
                <w:p w14:paraId="0E315372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前海时代</w:t>
                  </w:r>
                  <w:r w:rsidRPr="00800CBB">
                    <w:rPr>
                      <w:rFonts w:ascii="Arial" w:eastAsia="宋体" w:hAnsi="Arial" w:cs="Arial"/>
                      <w:kern w:val="0"/>
                    </w:rPr>
                    <w:t>Finance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  <w:hideMark/>
                </w:tcPr>
                <w:p w14:paraId="155AFD15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  <w:r w:rsidRPr="00800CBB">
                    <w:rPr>
                      <w:rFonts w:ascii="Arial" w:eastAsia="宋体" w:hAnsi="Arial" w:cs="Arial"/>
                      <w:kern w:val="0"/>
                    </w:rPr>
                    <w:t>邹晨辉</w:t>
                  </w:r>
                </w:p>
              </w:tc>
              <w:tc>
                <w:tcPr>
                  <w:tcW w:w="2919" w:type="dxa"/>
                  <w:shd w:val="clear" w:color="auto" w:fill="auto"/>
                  <w:noWrap/>
                  <w:vAlign w:val="bottom"/>
                  <w:hideMark/>
                </w:tcPr>
                <w:p w14:paraId="5EABB8BD" w14:textId="77777777" w:rsidR="00800CBB" w:rsidRPr="00800CBB" w:rsidRDefault="00800CBB" w:rsidP="00800CBB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  <w:noWrap/>
                  <w:vAlign w:val="bottom"/>
                  <w:hideMark/>
                </w:tcPr>
                <w:p w14:paraId="7CDB07A5" w14:textId="77777777" w:rsidR="00800CBB" w:rsidRPr="00800CBB" w:rsidRDefault="00800CBB" w:rsidP="00800CBB">
                  <w:pPr>
                    <w:spacing w:after="0" w:line="240" w:lineRule="auto"/>
                    <w:rPr>
                      <w:rFonts w:ascii="Arial" w:eastAsia="宋体" w:hAnsi="Arial" w:cs="Arial"/>
                      <w:color w:val="auto"/>
                      <w:kern w:val="0"/>
                    </w:rPr>
                  </w:pPr>
                </w:p>
              </w:tc>
            </w:tr>
          </w:tbl>
          <w:p w14:paraId="46C8C151" w14:textId="157B1526" w:rsidR="003C38AA" w:rsidRPr="00A93F09" w:rsidRDefault="003C38AA" w:rsidP="00800CBB">
            <w:pPr>
              <w:spacing w:after="0" w:line="276" w:lineRule="auto"/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</w:pP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3A682043" w:rsidR="00F00292" w:rsidRDefault="009E5D51" w:rsidP="00B72DF7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2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026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年</w:t>
            </w:r>
            <w:r w:rsidR="00800CBB">
              <w:rPr>
                <w:rFonts w:ascii="Arial" w:eastAsia="宋体" w:hAnsi="Arial" w:cs="Arial"/>
                <w:color w:val="auto"/>
                <w:sz w:val="24"/>
                <w:szCs w:val="24"/>
              </w:rPr>
              <w:t>5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月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22</w:t>
            </w:r>
            <w:r w:rsidRPr="009E5D51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 w:rsidR="00800CBB">
              <w:rPr>
                <w:rFonts w:ascii="Arial" w:eastAsia="宋体" w:hAnsi="Arial" w:cs="Arial"/>
                <w:color w:val="auto"/>
                <w:sz w:val="24"/>
                <w:szCs w:val="24"/>
              </w:rPr>
              <w:t>14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:00-</w:t>
            </w:r>
            <w:r w:rsidR="00800CBB">
              <w:rPr>
                <w:rFonts w:ascii="Arial" w:eastAsia="宋体" w:hAnsi="Arial" w:cs="Arial"/>
                <w:color w:val="auto"/>
                <w:sz w:val="24"/>
                <w:szCs w:val="24"/>
              </w:rPr>
              <w:t>16</w:t>
            </w:r>
            <w:r w:rsidRPr="009E5D51">
              <w:rPr>
                <w:rFonts w:ascii="Arial" w:eastAsia="宋体" w:hAnsi="Arial" w:cs="Arial"/>
                <w:color w:val="auto"/>
                <w:sz w:val="24"/>
                <w:szCs w:val="24"/>
              </w:rPr>
              <w:t>:00</w:t>
            </w:r>
          </w:p>
        </w:tc>
      </w:tr>
      <w:tr w:rsidR="005D664A" w14:paraId="4B617252" w14:textId="77777777" w:rsidTr="004D49B0">
        <w:trPr>
          <w:trHeight w:val="13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32CF142C" w:rsidR="00004793" w:rsidRDefault="00800CBB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公司会议室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F127" w14:textId="4D45B539" w:rsidR="003C38AA" w:rsidRDefault="001803EE" w:rsidP="00800CBB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1803EE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李律</w:t>
            </w:r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9842" w14:textId="77777777" w:rsidR="003C38AA" w:rsidRDefault="003C38A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02009B07" w14:textId="781C2EB3" w:rsidR="005D664A" w:rsidRDefault="00800CB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800CBB">
              <w:rPr>
                <w:rFonts w:ascii="Arial" w:eastAsia="宋体" w:hAnsi="Arial" w:cs="Arial" w:hint="eastAsia"/>
              </w:rPr>
              <w:t>本次投资者关系活动以特定对象现场参观调研的方式进行。接待人员带领投资者参观了公司展厅，并与投资者进行了沟通交流，主要内容如下：</w:t>
            </w:r>
          </w:p>
          <w:p w14:paraId="6C388F26" w14:textId="77777777" w:rsidR="00800CBB" w:rsidRPr="00800CBB" w:rsidRDefault="00800CBB">
            <w:pPr>
              <w:pStyle w:val="af5"/>
              <w:ind w:firstLine="480"/>
              <w:jc w:val="both"/>
              <w:rPr>
                <w:rFonts w:ascii="Arial" w:eastAsia="宋体" w:hAnsi="Arial" w:cs="Arial" w:hint="eastAsia"/>
              </w:rPr>
            </w:pPr>
          </w:p>
          <w:p w14:paraId="5336D68F" w14:textId="5F3B756C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一、</w:t>
            </w:r>
            <w:r w:rsidR="00800CBB" w:rsidRPr="005212F2">
              <w:rPr>
                <w:rFonts w:ascii="Arial" w:eastAsia="宋体" w:hAnsi="Arial" w:cs="Arial" w:hint="eastAsia"/>
                <w:b/>
                <w:bCs/>
              </w:rPr>
              <w:t>公司</w:t>
            </w:r>
            <w:r w:rsidR="00800CBB">
              <w:rPr>
                <w:rFonts w:ascii="Arial" w:eastAsia="宋体" w:hAnsi="Arial" w:cs="Arial" w:hint="eastAsia"/>
                <w:b/>
                <w:bCs/>
              </w:rPr>
              <w:t>基本情况</w:t>
            </w:r>
            <w:r w:rsidR="00800CBB" w:rsidRPr="005212F2">
              <w:rPr>
                <w:rFonts w:ascii="Arial" w:eastAsia="宋体" w:hAnsi="Arial" w:cs="Arial" w:hint="eastAsia"/>
                <w:b/>
                <w:bCs/>
              </w:rPr>
              <w:t>、业务布局等方面</w:t>
            </w:r>
            <w:r w:rsidR="00800CBB">
              <w:rPr>
                <w:rFonts w:ascii="Arial" w:eastAsia="宋体" w:hAnsi="Arial" w:cs="Arial" w:hint="eastAsia"/>
                <w:b/>
                <w:bCs/>
              </w:rPr>
              <w:t>的介绍</w:t>
            </w:r>
            <w:r w:rsidR="00800CBB" w:rsidRPr="005212F2">
              <w:rPr>
                <w:rFonts w:ascii="Arial" w:eastAsia="宋体" w:hAnsi="Arial" w:cs="Arial" w:hint="eastAsia"/>
                <w:b/>
                <w:bCs/>
              </w:rPr>
              <w:t>说明</w:t>
            </w:r>
          </w:p>
          <w:p w14:paraId="4E37CD81" w14:textId="77777777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长期以来，公司围绕“人工智能”战略布局，形成了维修智能终端、能源智能中枢和具身智能机器人三大业务体系，分别对应数智车辆诊断行业、智慧充电行业以及具身智能集群行业。</w:t>
            </w:r>
          </w:p>
          <w:p w14:paraId="4DD3A168" w14:textId="77777777" w:rsidR="007957F0" w:rsidRPr="007957F0" w:rsidRDefault="007957F0" w:rsidP="007957F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957F0">
              <w:rPr>
                <w:rFonts w:ascii="Arial" w:eastAsia="宋体" w:hAnsi="Arial" w:cs="Arial"/>
                <w:b/>
                <w:bCs/>
              </w:rPr>
              <w:t>1</w:t>
            </w:r>
            <w:r w:rsidRPr="007957F0">
              <w:rPr>
                <w:rFonts w:ascii="Arial" w:eastAsia="宋体" w:hAnsi="Arial" w:cs="Arial" w:hint="eastAsia"/>
                <w:b/>
                <w:bCs/>
              </w:rPr>
              <w:t>、数智车辆诊断业务</w:t>
            </w:r>
          </w:p>
          <w:p w14:paraId="4AE400ED" w14:textId="77777777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凭借二十余年技术积累与全球化布局，公司保持全球领先的数智车辆诊断解决方案提供商地位，根据弗若斯特沙利文的资料，按</w:t>
            </w:r>
            <w:r w:rsidRPr="007957F0">
              <w:rPr>
                <w:rFonts w:ascii="Arial" w:eastAsia="宋体" w:hAnsi="Arial" w:cs="Arial"/>
              </w:rPr>
              <w:t>2022</w:t>
            </w:r>
            <w:r w:rsidRPr="007957F0">
              <w:rPr>
                <w:rFonts w:ascii="Arial" w:eastAsia="宋体" w:hAnsi="Arial" w:cs="Arial" w:hint="eastAsia"/>
              </w:rPr>
              <w:t>年、</w:t>
            </w:r>
            <w:r w:rsidRPr="007957F0">
              <w:rPr>
                <w:rFonts w:ascii="Arial" w:eastAsia="宋体" w:hAnsi="Arial" w:cs="Arial"/>
              </w:rPr>
              <w:t>2023</w:t>
            </w:r>
            <w:r w:rsidRPr="007957F0">
              <w:rPr>
                <w:rFonts w:ascii="Arial" w:eastAsia="宋体" w:hAnsi="Arial" w:cs="Arial" w:hint="eastAsia"/>
              </w:rPr>
              <w:t>年及</w:t>
            </w:r>
            <w:r w:rsidRPr="007957F0">
              <w:rPr>
                <w:rFonts w:ascii="Arial" w:eastAsia="宋体" w:hAnsi="Arial" w:cs="Arial"/>
              </w:rPr>
              <w:t>2024</w:t>
            </w:r>
            <w:r w:rsidRPr="007957F0">
              <w:rPr>
                <w:rFonts w:ascii="Arial" w:eastAsia="宋体" w:hAnsi="Arial" w:cs="Arial" w:hint="eastAsia"/>
              </w:rPr>
              <w:t>年收入计算，公司是全球第一的数智车辆诊断解决方案提供商，市场份额从</w:t>
            </w:r>
            <w:r w:rsidRPr="007957F0">
              <w:rPr>
                <w:rFonts w:ascii="Arial" w:eastAsia="宋体" w:hAnsi="Arial" w:cs="Arial"/>
              </w:rPr>
              <w:t>2022</w:t>
            </w:r>
            <w:r w:rsidRPr="007957F0">
              <w:rPr>
                <w:rFonts w:ascii="Arial" w:eastAsia="宋体" w:hAnsi="Arial" w:cs="Arial" w:hint="eastAsia"/>
              </w:rPr>
              <w:t>年的</w:t>
            </w:r>
            <w:r w:rsidRPr="007957F0">
              <w:rPr>
                <w:rFonts w:ascii="Arial" w:eastAsia="宋体" w:hAnsi="Arial" w:cs="Arial"/>
              </w:rPr>
              <w:t>9.1%</w:t>
            </w:r>
            <w:r w:rsidRPr="007957F0">
              <w:rPr>
                <w:rFonts w:ascii="Arial" w:eastAsia="宋体" w:hAnsi="Arial" w:cs="Arial" w:hint="eastAsia"/>
              </w:rPr>
              <w:t>增长到</w:t>
            </w:r>
            <w:r w:rsidRPr="007957F0">
              <w:rPr>
                <w:rFonts w:ascii="Arial" w:eastAsia="宋体" w:hAnsi="Arial" w:cs="Arial"/>
              </w:rPr>
              <w:t>2024</w:t>
            </w:r>
            <w:r w:rsidRPr="007957F0">
              <w:rPr>
                <w:rFonts w:ascii="Arial" w:eastAsia="宋体" w:hAnsi="Arial" w:cs="Arial" w:hint="eastAsia"/>
              </w:rPr>
              <w:t>年的</w:t>
            </w:r>
            <w:r w:rsidRPr="007957F0">
              <w:rPr>
                <w:rFonts w:ascii="Arial" w:eastAsia="宋体" w:hAnsi="Arial" w:cs="Arial"/>
              </w:rPr>
              <w:t>11.1%</w:t>
            </w:r>
            <w:r w:rsidRPr="007957F0">
              <w:rPr>
                <w:rFonts w:ascii="Arial" w:eastAsia="宋体" w:hAnsi="Arial" w:cs="Arial" w:hint="eastAsia"/>
              </w:rPr>
              <w:t>，预计</w:t>
            </w:r>
            <w:r w:rsidRPr="007957F0">
              <w:rPr>
                <w:rFonts w:ascii="Arial" w:eastAsia="宋体" w:hAnsi="Arial" w:cs="Arial"/>
              </w:rPr>
              <w:t>2025</w:t>
            </w:r>
            <w:r w:rsidRPr="007957F0">
              <w:rPr>
                <w:rFonts w:ascii="Arial" w:eastAsia="宋体" w:hAnsi="Arial" w:cs="Arial" w:hint="eastAsia"/>
              </w:rPr>
              <w:t>年将进一步提升至</w:t>
            </w:r>
            <w:r w:rsidRPr="007957F0">
              <w:rPr>
                <w:rFonts w:ascii="Arial" w:eastAsia="宋体" w:hAnsi="Arial" w:cs="Arial"/>
              </w:rPr>
              <w:t>12%</w:t>
            </w:r>
            <w:r w:rsidRPr="007957F0">
              <w:rPr>
                <w:rFonts w:ascii="Arial" w:eastAsia="宋体" w:hAnsi="Arial" w:cs="Arial" w:hint="eastAsia"/>
              </w:rPr>
              <w:t>，持续巩固行业龙头地位。公司持续深化自研的数智车辆诊断垂域</w:t>
            </w:r>
            <w:r w:rsidRPr="007957F0">
              <w:rPr>
                <w:rFonts w:ascii="Arial" w:eastAsia="宋体" w:hAnsi="Arial" w:cs="Arial"/>
              </w:rPr>
              <w:t>AI</w:t>
            </w:r>
            <w:r w:rsidRPr="007957F0">
              <w:rPr>
                <w:rFonts w:ascii="Arial" w:eastAsia="宋体" w:hAnsi="Arial" w:cs="Arial" w:hint="eastAsia"/>
              </w:rPr>
              <w:t>模型，基于自主构建的边云协同架构，可提供实时故障识别及决策支持，可显著提升问题检</w:t>
            </w:r>
            <w:r w:rsidRPr="007957F0">
              <w:rPr>
                <w:rFonts w:ascii="Arial" w:eastAsia="宋体" w:hAnsi="Arial" w:cs="Arial" w:hint="eastAsia"/>
              </w:rPr>
              <w:lastRenderedPageBreak/>
              <w:t>测的准确性及车辆诊断的整体效率。在产品层面，</w:t>
            </w:r>
            <w:r w:rsidRPr="007957F0">
              <w:rPr>
                <w:rFonts w:ascii="Arial" w:eastAsia="宋体" w:hAnsi="Arial" w:cs="Arial"/>
              </w:rPr>
              <w:t>2025</w:t>
            </w:r>
            <w:r w:rsidRPr="007957F0">
              <w:rPr>
                <w:rFonts w:ascii="Arial" w:eastAsia="宋体" w:hAnsi="Arial" w:cs="Arial" w:hint="eastAsia"/>
              </w:rPr>
              <w:t>年公司集中推出新一代综合诊断终端</w:t>
            </w:r>
            <w:r w:rsidRPr="007957F0">
              <w:rPr>
                <w:rFonts w:ascii="Arial" w:eastAsia="宋体" w:hAnsi="Arial" w:cs="Arial"/>
              </w:rPr>
              <w:t>Ultra S2</w:t>
            </w:r>
            <w:r w:rsidRPr="007957F0">
              <w:rPr>
                <w:rFonts w:ascii="Arial" w:eastAsia="宋体" w:hAnsi="Arial" w:cs="Arial" w:hint="eastAsia"/>
              </w:rPr>
              <w:t>、</w:t>
            </w:r>
            <w:r w:rsidRPr="007957F0">
              <w:rPr>
                <w:rFonts w:ascii="Arial" w:eastAsia="宋体" w:hAnsi="Arial" w:cs="Arial"/>
              </w:rPr>
              <w:t>ADAS</w:t>
            </w:r>
            <w:r w:rsidRPr="007957F0">
              <w:rPr>
                <w:rFonts w:ascii="Arial" w:eastAsia="宋体" w:hAnsi="Arial" w:cs="Arial" w:hint="eastAsia"/>
              </w:rPr>
              <w:t>标定主架</w:t>
            </w:r>
            <w:r w:rsidRPr="007957F0">
              <w:rPr>
                <w:rFonts w:ascii="Arial" w:eastAsia="宋体" w:hAnsi="Arial" w:cs="Arial"/>
              </w:rPr>
              <w:t>IA1000</w:t>
            </w:r>
            <w:r w:rsidRPr="007957F0">
              <w:rPr>
                <w:rFonts w:ascii="Arial" w:eastAsia="宋体" w:hAnsi="Arial" w:cs="Arial" w:hint="eastAsia"/>
              </w:rPr>
              <w:t>及商用车</w:t>
            </w:r>
            <w:r w:rsidRPr="007957F0">
              <w:rPr>
                <w:rFonts w:ascii="Arial" w:eastAsia="宋体" w:hAnsi="Arial" w:cs="Arial"/>
              </w:rPr>
              <w:t>TPMS</w:t>
            </w:r>
            <w:r w:rsidRPr="007957F0">
              <w:rPr>
                <w:rFonts w:ascii="Arial" w:eastAsia="宋体" w:hAnsi="Arial" w:cs="Arial" w:hint="eastAsia"/>
              </w:rPr>
              <w:t>解决方案，构建覆盖乘用车与商用车、诊断与标定、硬件与服务的完整产品体系，全面适配行业智能化升级需求。</w:t>
            </w:r>
          </w:p>
          <w:p w14:paraId="28045E63" w14:textId="77777777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公司将继续开发新一代</w:t>
            </w:r>
            <w:r w:rsidRPr="007957F0">
              <w:rPr>
                <w:rFonts w:ascii="Arial" w:eastAsia="宋体" w:hAnsi="Arial" w:cs="Arial"/>
              </w:rPr>
              <w:t>AI</w:t>
            </w:r>
            <w:r w:rsidRPr="007957F0">
              <w:rPr>
                <w:rFonts w:ascii="Arial" w:eastAsia="宋体" w:hAnsi="Arial" w:cs="Arial" w:hint="eastAsia"/>
              </w:rPr>
              <w:t>驱动的数智化汽车诊断解决方案。在新能源汽车方面，公司将融合</w:t>
            </w:r>
            <w:r w:rsidRPr="007957F0">
              <w:rPr>
                <w:rFonts w:ascii="Arial" w:eastAsia="宋体" w:hAnsi="Arial" w:cs="Arial"/>
              </w:rPr>
              <w:t>AI</w:t>
            </w:r>
            <w:r w:rsidRPr="007957F0">
              <w:rPr>
                <w:rFonts w:ascii="Arial" w:eastAsia="宋体" w:hAnsi="Arial" w:cs="Arial" w:hint="eastAsia"/>
              </w:rPr>
              <w:t>车辆诊断专家与</w:t>
            </w:r>
            <w:r w:rsidRPr="007957F0">
              <w:rPr>
                <w:rFonts w:ascii="Arial" w:eastAsia="宋体" w:hAnsi="Arial" w:cs="Arial"/>
              </w:rPr>
              <w:t>AI</w:t>
            </w:r>
            <w:r w:rsidRPr="007957F0">
              <w:rPr>
                <w:rFonts w:ascii="Arial" w:eastAsia="宋体" w:hAnsi="Arial" w:cs="Arial" w:hint="eastAsia"/>
              </w:rPr>
              <w:t>电池检测专家的能力，推出覆盖整车与电池系统的新能源诊断方案。同时，公司将进一步升级</w:t>
            </w:r>
            <w:proofErr w:type="spellStart"/>
            <w:r w:rsidRPr="007957F0">
              <w:rPr>
                <w:rFonts w:ascii="Arial" w:eastAsia="宋体" w:hAnsi="Arial" w:cs="Arial"/>
              </w:rPr>
              <w:t>Autel</w:t>
            </w:r>
            <w:proofErr w:type="spellEnd"/>
            <w:r w:rsidRPr="007957F0">
              <w:rPr>
                <w:rFonts w:ascii="Arial" w:eastAsia="宋体" w:hAnsi="Arial" w:cs="Arial"/>
              </w:rPr>
              <w:t xml:space="preserve"> Cloud</w:t>
            </w:r>
            <w:r w:rsidRPr="007957F0">
              <w:rPr>
                <w:rFonts w:ascii="Arial" w:eastAsia="宋体" w:hAnsi="Arial" w:cs="Arial" w:hint="eastAsia"/>
              </w:rPr>
              <w:t>，通过开放式平台架构，使其从单一诊断工具演进为行业共享的基础平台，支持标准化数据形成并强化我们的技术优势。</w:t>
            </w:r>
          </w:p>
          <w:p w14:paraId="4AA5D115" w14:textId="77777777" w:rsidR="007957F0" w:rsidRPr="007957F0" w:rsidRDefault="007957F0" w:rsidP="007957F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957F0">
              <w:rPr>
                <w:rFonts w:ascii="Arial" w:eastAsia="宋体" w:hAnsi="Arial" w:cs="Arial"/>
                <w:b/>
                <w:bCs/>
              </w:rPr>
              <w:t>2</w:t>
            </w:r>
            <w:r w:rsidRPr="007957F0">
              <w:rPr>
                <w:rFonts w:ascii="Arial" w:eastAsia="宋体" w:hAnsi="Arial" w:cs="Arial" w:hint="eastAsia"/>
                <w:b/>
                <w:bCs/>
              </w:rPr>
              <w:t>、智慧充电业务</w:t>
            </w:r>
          </w:p>
          <w:p w14:paraId="5652F9A7" w14:textId="77777777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根据弗若斯特沙利文的资料，按</w:t>
            </w:r>
            <w:r w:rsidRPr="007957F0">
              <w:rPr>
                <w:rFonts w:ascii="Arial" w:eastAsia="宋体" w:hAnsi="Arial" w:cs="Arial"/>
              </w:rPr>
              <w:t>2024</w:t>
            </w:r>
            <w:r w:rsidRPr="007957F0">
              <w:rPr>
                <w:rFonts w:ascii="Arial" w:eastAsia="宋体" w:hAnsi="Arial" w:cs="Arial" w:hint="eastAsia"/>
              </w:rPr>
              <w:t>年海外收入计算，公司是中国最大的海外智能充电解决方案提供商；在北美智慧充电解决方案行业中排名第四，且为该市场规模最大的中国企业。</w:t>
            </w:r>
          </w:p>
          <w:p w14:paraId="48407281" w14:textId="77777777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公司始终坚持以技术创新为驱动，依托电力电子技术与</w:t>
            </w:r>
            <w:r w:rsidRPr="007957F0">
              <w:rPr>
                <w:rFonts w:ascii="Arial" w:eastAsia="宋体" w:hAnsi="Arial" w:cs="Arial"/>
              </w:rPr>
              <w:t>AI</w:t>
            </w:r>
            <w:r w:rsidRPr="007957F0">
              <w:rPr>
                <w:rFonts w:ascii="Arial" w:eastAsia="宋体" w:hAnsi="Arial" w:cs="Arial" w:hint="eastAsia"/>
              </w:rPr>
              <w:t>智能化技术两大坚实基石，构建起涵盖自研充电模块、智慧能源大模型、智能充电、光储充智能能源调度、车桩云兼容、不间断通信、智能运维、智能运营以及智能支付在内的核心能力。</w:t>
            </w:r>
          </w:p>
          <w:p w14:paraId="6B759BD9" w14:textId="77777777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凭借在产品、技术、品牌、市场、服务及全球供应链等方面的系统性优势，公司智慧充电业务与全球范围内的优质客户群体深度合作，涵盖全球能源巨头、头部便利店及加油站运营商、大型停车场运营商、州立电力公司、零售连锁巨头等多个领域，综合竞争力跃升全球行业第一梯队，形成全球多点开花、协同发展的良好格局。</w:t>
            </w:r>
          </w:p>
          <w:p w14:paraId="19E8BDA2" w14:textId="41F35A56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公司将持续完善一站式光储充能源管理解决方案，以应对电力供应不足、电网扩容成本高昂及能源运营费用上升等行业挑战。依托垂域模型能力，打造系列“光储充</w:t>
            </w:r>
            <w:r w:rsidRPr="007957F0">
              <w:rPr>
                <w:rFonts w:ascii="Arial" w:eastAsia="宋体" w:hAnsi="Arial" w:cs="Arial"/>
              </w:rPr>
              <w:t>Agents</w:t>
            </w:r>
            <w:r w:rsidR="009F749E">
              <w:rPr>
                <w:rFonts w:ascii="Arial" w:eastAsia="宋体" w:hAnsi="Arial" w:cs="Arial" w:hint="eastAsia"/>
              </w:rPr>
              <w:t>”</w:t>
            </w:r>
            <w:r w:rsidRPr="007957F0">
              <w:rPr>
                <w:rFonts w:ascii="Arial" w:eastAsia="宋体" w:hAnsi="Arial" w:cs="Arial" w:hint="eastAsia"/>
              </w:rPr>
              <w:t>，构筑“场站自组织、自学习、自演进、一站一策”的差异化竞争优势，实现从规划、建设、维护、优化、扩容的全生命周期智能化管理，显著提升充电容量利用率，降低综合用电成本和能源故障风险。进一步拓展</w:t>
            </w:r>
            <w:r w:rsidRPr="007957F0">
              <w:rPr>
                <w:rFonts w:ascii="Arial" w:eastAsia="宋体" w:hAnsi="Arial" w:cs="Arial"/>
              </w:rPr>
              <w:t>AI</w:t>
            </w:r>
            <w:r w:rsidRPr="007957F0">
              <w:rPr>
                <w:rFonts w:ascii="Arial" w:eastAsia="宋体" w:hAnsi="Arial" w:cs="Arial" w:hint="eastAsia"/>
              </w:rPr>
              <w:t>在能源交易领域的应用，打造能源交易智能体，推动车网互动协同、参与虚拟电厂市场，进一步提升充电站运营商的收益。</w:t>
            </w:r>
          </w:p>
          <w:p w14:paraId="10BFB59D" w14:textId="3C4EC36D" w:rsidR="007957F0" w:rsidRPr="007957F0" w:rsidRDefault="007957F0" w:rsidP="007957F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957F0">
              <w:rPr>
                <w:rFonts w:ascii="Arial" w:eastAsia="宋体" w:hAnsi="Arial" w:cs="Arial"/>
                <w:b/>
                <w:bCs/>
              </w:rPr>
              <w:lastRenderedPageBreak/>
              <w:t>3</w:t>
            </w:r>
            <w:r w:rsidRPr="007957F0">
              <w:rPr>
                <w:rFonts w:ascii="Arial" w:eastAsia="宋体" w:hAnsi="Arial" w:cs="Arial" w:hint="eastAsia"/>
                <w:b/>
                <w:bCs/>
              </w:rPr>
              <w:t>、具身智能集群</w:t>
            </w:r>
            <w:r>
              <w:rPr>
                <w:rFonts w:ascii="Arial" w:eastAsia="宋体" w:hAnsi="Arial" w:cs="Arial" w:hint="eastAsia"/>
                <w:b/>
                <w:bCs/>
              </w:rPr>
              <w:t>业务</w:t>
            </w:r>
          </w:p>
          <w:p w14:paraId="25A6FFA2" w14:textId="77777777" w:rsidR="007957F0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公司于</w:t>
            </w:r>
            <w:r w:rsidRPr="007957F0">
              <w:rPr>
                <w:rFonts w:ascii="Arial" w:eastAsia="宋体" w:hAnsi="Arial" w:cs="Arial"/>
              </w:rPr>
              <w:t>2024</w:t>
            </w:r>
            <w:r w:rsidRPr="007957F0">
              <w:rPr>
                <w:rFonts w:ascii="Arial" w:eastAsia="宋体" w:hAnsi="Arial" w:cs="Arial" w:hint="eastAsia"/>
              </w:rPr>
              <w:t>年</w:t>
            </w:r>
            <w:r w:rsidRPr="007957F0">
              <w:rPr>
                <w:rFonts w:ascii="Arial" w:eastAsia="宋体" w:hAnsi="Arial" w:cs="Arial"/>
              </w:rPr>
              <w:t>11</w:t>
            </w:r>
            <w:r w:rsidRPr="007957F0">
              <w:rPr>
                <w:rFonts w:ascii="Arial" w:eastAsia="宋体" w:hAnsi="Arial" w:cs="Arial" w:hint="eastAsia"/>
              </w:rPr>
              <w:t>月正式布局具身智能集群业务。目前公司已构建起“技术</w:t>
            </w:r>
            <w:r w:rsidRPr="007957F0">
              <w:rPr>
                <w:rFonts w:ascii="Arial" w:eastAsia="宋体" w:hAnsi="Arial" w:cs="Arial"/>
              </w:rPr>
              <w:t>-</w:t>
            </w:r>
            <w:r w:rsidRPr="007957F0">
              <w:rPr>
                <w:rFonts w:ascii="Arial" w:eastAsia="宋体" w:hAnsi="Arial" w:cs="Arial" w:hint="eastAsia"/>
              </w:rPr>
              <w:t>产品</w:t>
            </w:r>
            <w:r w:rsidRPr="007957F0">
              <w:rPr>
                <w:rFonts w:ascii="Arial" w:eastAsia="宋体" w:hAnsi="Arial" w:cs="Arial"/>
              </w:rPr>
              <w:t>-</w:t>
            </w:r>
            <w:r w:rsidRPr="007957F0">
              <w:rPr>
                <w:rFonts w:ascii="Arial" w:eastAsia="宋体" w:hAnsi="Arial" w:cs="Arial" w:hint="eastAsia"/>
              </w:rPr>
              <w:t>市场”的完整闭环，构建起“核心技术</w:t>
            </w:r>
            <w:r w:rsidRPr="007957F0">
              <w:rPr>
                <w:rFonts w:ascii="Arial" w:eastAsia="宋体" w:hAnsi="Arial" w:cs="Arial"/>
              </w:rPr>
              <w:t>+</w:t>
            </w:r>
            <w:r w:rsidRPr="007957F0">
              <w:rPr>
                <w:rFonts w:ascii="Arial" w:eastAsia="宋体" w:hAnsi="Arial" w:cs="Arial" w:hint="eastAsia"/>
              </w:rPr>
              <w:t>一体化方案”的完整能力，核心竞争力持续凸显，为业务规模化拓展奠定坚实基础。</w:t>
            </w:r>
          </w:p>
          <w:p w14:paraId="23F6023E" w14:textId="12A9BB27" w:rsidR="009E5D51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在解决方案方面，公司具身智能集群解决方案可适配能源、交通枢纽、工业园区等多场景，核心为“具身智能体</w:t>
            </w:r>
            <w:r w:rsidRPr="007957F0">
              <w:rPr>
                <w:rFonts w:ascii="Arial" w:eastAsia="宋体" w:hAnsi="Arial" w:cs="Arial"/>
              </w:rPr>
              <w:t>+AI</w:t>
            </w:r>
            <w:r w:rsidRPr="007957F0">
              <w:rPr>
                <w:rFonts w:ascii="Arial" w:eastAsia="宋体" w:hAnsi="Arial" w:cs="Arial" w:hint="eastAsia"/>
              </w:rPr>
              <w:t>应用平台”架构：具身智能体作为物理载体，具备自主导航、多场景适配能力；</w:t>
            </w:r>
            <w:r w:rsidRPr="007957F0">
              <w:rPr>
                <w:rFonts w:ascii="Arial" w:eastAsia="宋体" w:hAnsi="Arial" w:cs="Arial"/>
              </w:rPr>
              <w:t>AI</w:t>
            </w:r>
            <w:r w:rsidRPr="007957F0">
              <w:rPr>
                <w:rFonts w:ascii="Arial" w:eastAsia="宋体" w:hAnsi="Arial" w:cs="Arial" w:hint="eastAsia"/>
              </w:rPr>
              <w:t>应用平台（</w:t>
            </w:r>
            <w:r w:rsidRPr="007957F0">
              <w:rPr>
                <w:rFonts w:ascii="Arial" w:eastAsia="宋体" w:hAnsi="Arial" w:cs="Arial"/>
              </w:rPr>
              <w:t>Hub</w:t>
            </w:r>
            <w:r w:rsidRPr="007957F0">
              <w:rPr>
                <w:rFonts w:ascii="Arial" w:eastAsia="宋体" w:hAnsi="Arial" w:cs="Arial" w:hint="eastAsia"/>
              </w:rPr>
              <w:t>、</w:t>
            </w:r>
            <w:r w:rsidRPr="007957F0">
              <w:rPr>
                <w:rFonts w:ascii="Arial" w:eastAsia="宋体" w:hAnsi="Arial" w:cs="Arial"/>
              </w:rPr>
              <w:t>AIP</w:t>
            </w:r>
            <w:r w:rsidRPr="007957F0">
              <w:rPr>
                <w:rFonts w:ascii="Arial" w:eastAsia="宋体" w:hAnsi="Arial" w:cs="Arial" w:hint="eastAsia"/>
              </w:rPr>
              <w:t>、数据平台）实现智能体管理、低代码开发、数据全生命周期管理等功能，形成“硬件执行</w:t>
            </w:r>
            <w:r w:rsidRPr="007957F0">
              <w:rPr>
                <w:rFonts w:ascii="Arial" w:eastAsia="宋体" w:hAnsi="Arial" w:cs="Arial"/>
              </w:rPr>
              <w:t>+</w:t>
            </w:r>
            <w:r w:rsidRPr="007957F0">
              <w:rPr>
                <w:rFonts w:ascii="Arial" w:eastAsia="宋体" w:hAnsi="Arial" w:cs="Arial" w:hint="eastAsia"/>
              </w:rPr>
              <w:t>平台赋能”闭环。</w:t>
            </w:r>
          </w:p>
          <w:p w14:paraId="2FC0D91E" w14:textId="4881617B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14563083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二、接待人员就投资者关注的问题进行了沟通和交流，主要问答情况如下：</w:t>
            </w:r>
          </w:p>
          <w:p w14:paraId="498FD88C" w14:textId="23EC0F89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问题一：</w:t>
            </w:r>
            <w:r w:rsidR="007957F0" w:rsidRPr="001613EC">
              <w:rPr>
                <w:rFonts w:ascii="Arial" w:eastAsia="宋体" w:hAnsi="Arial" w:cs="Arial" w:hint="eastAsia"/>
                <w:b/>
                <w:bCs/>
              </w:rPr>
              <w:t>公司</w:t>
            </w:r>
            <w:r w:rsidR="007957F0">
              <w:rPr>
                <w:rFonts w:ascii="Arial" w:eastAsia="宋体" w:hAnsi="Arial" w:cs="Arial" w:hint="eastAsia"/>
                <w:b/>
                <w:bCs/>
              </w:rPr>
              <w:t>如何应对海外</w:t>
            </w:r>
            <w:r w:rsidR="007957F0" w:rsidRPr="001613EC">
              <w:rPr>
                <w:rFonts w:ascii="Arial" w:eastAsia="宋体" w:hAnsi="Arial" w:cs="Arial" w:hint="eastAsia"/>
                <w:b/>
                <w:bCs/>
              </w:rPr>
              <w:t>市场</w:t>
            </w:r>
            <w:r w:rsidR="007957F0">
              <w:rPr>
                <w:rFonts w:ascii="Arial" w:eastAsia="宋体" w:hAnsi="Arial" w:cs="Arial" w:hint="eastAsia"/>
                <w:b/>
                <w:bCs/>
              </w:rPr>
              <w:t>汇率、关税等因素的影响</w:t>
            </w:r>
            <w:r w:rsidR="007957F0" w:rsidRPr="001613EC">
              <w:rPr>
                <w:rFonts w:ascii="Arial" w:eastAsia="宋体" w:hAnsi="Arial" w:cs="Arial" w:hint="eastAsia"/>
                <w:b/>
                <w:bCs/>
              </w:rPr>
              <w:t>？</w:t>
            </w:r>
          </w:p>
          <w:p w14:paraId="232788D2" w14:textId="12623716" w:rsidR="007957F0" w:rsidRPr="007957F0" w:rsidRDefault="009E5D51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</w:t>
            </w:r>
            <w:r w:rsidR="007957F0" w:rsidRPr="007957F0">
              <w:rPr>
                <w:rFonts w:ascii="Arial" w:eastAsia="宋体" w:hAnsi="Arial" w:cs="Arial" w:hint="eastAsia"/>
              </w:rPr>
              <w:t>公司主要收入来自海外，其中又以美国和欧洲为核心区域，因此主要结算币种以欧元、美元</w:t>
            </w:r>
            <w:r w:rsidR="009F749E">
              <w:rPr>
                <w:rFonts w:ascii="Arial" w:eastAsia="宋体" w:hAnsi="Arial" w:cs="Arial" w:hint="eastAsia"/>
              </w:rPr>
              <w:t>以及越南盾</w:t>
            </w:r>
            <w:r w:rsidR="007957F0" w:rsidRPr="007957F0">
              <w:rPr>
                <w:rFonts w:ascii="Arial" w:eastAsia="宋体" w:hAnsi="Arial" w:cs="Arial" w:hint="eastAsia"/>
              </w:rPr>
              <w:t>为主，公司将密切关注国际金融市场动态和外汇市场走势，采用多元化措施审慎应对汇率风险。</w:t>
            </w:r>
          </w:p>
          <w:p w14:paraId="18665FCC" w14:textId="3EB8AFDD" w:rsidR="009E5D51" w:rsidRPr="007957F0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 w:hint="eastAsia"/>
              </w:rPr>
              <w:t>公司坚持全球化的布局，在越南、美国、墨西哥建立了三处海外工厂，构筑了覆盖全球的生产及供应链网络。其中，越南海防工厂凭借成熟的运营管理、高效的本地化生产模式及供应链整合优势，充分发挥劳动力资源与成本优势，成为公司全球化战略的重要支撑；美国工厂可响应美国本土政策要求，实现供应链向市场前沿延伸，快速响应北美客户需求；新投产的墨西哥工厂进一步完善了北美市场产供销自闭环，通过全球产能组合布局，大幅提升应对国际贸易政策变化的灵活性。</w:t>
            </w:r>
          </w:p>
          <w:p w14:paraId="2A75D1A7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04F8C485" w14:textId="128EBA78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问题二：</w:t>
            </w:r>
            <w:r w:rsidR="007957F0" w:rsidRPr="003B0E8E">
              <w:rPr>
                <w:rFonts w:ascii="Arial" w:eastAsia="宋体" w:hAnsi="Arial" w:cs="Arial" w:hint="eastAsia"/>
                <w:b/>
                <w:bCs/>
              </w:rPr>
              <w:t>公司</w:t>
            </w:r>
            <w:r w:rsidR="007957F0">
              <w:rPr>
                <w:rFonts w:ascii="Arial" w:eastAsia="宋体" w:hAnsi="Arial" w:cs="Arial" w:hint="eastAsia"/>
                <w:b/>
                <w:bCs/>
              </w:rPr>
              <w:t>如何看待</w:t>
            </w:r>
            <w:r w:rsidR="007957F0" w:rsidRPr="003B0E8E">
              <w:rPr>
                <w:rFonts w:ascii="Arial" w:eastAsia="宋体" w:hAnsi="Arial" w:cs="Arial" w:hint="eastAsia"/>
                <w:b/>
                <w:bCs/>
              </w:rPr>
              <w:t>汽车后市场诊断业务在国内市场的发展</w:t>
            </w:r>
            <w:r w:rsidR="007957F0">
              <w:rPr>
                <w:rFonts w:ascii="Arial" w:eastAsia="宋体" w:hAnsi="Arial" w:cs="Arial" w:hint="eastAsia"/>
                <w:b/>
                <w:bCs/>
              </w:rPr>
              <w:t>机遇</w:t>
            </w:r>
            <w:r w:rsidR="007957F0" w:rsidRPr="003B0E8E">
              <w:rPr>
                <w:rFonts w:ascii="Arial" w:eastAsia="宋体" w:hAnsi="Arial" w:cs="Arial" w:hint="eastAsia"/>
                <w:b/>
                <w:bCs/>
              </w:rPr>
              <w:t>？</w:t>
            </w:r>
          </w:p>
          <w:p w14:paraId="19E33F11" w14:textId="54AE8D19" w:rsidR="009E5D51" w:rsidRPr="009E5D51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</w:t>
            </w:r>
            <w:r w:rsidR="007957F0" w:rsidRPr="007957F0">
              <w:rPr>
                <w:rFonts w:ascii="Arial" w:eastAsia="宋体" w:hAnsi="Arial" w:cs="Arial" w:hint="eastAsia"/>
              </w:rPr>
              <w:t>从汽车后市场形态来看，海外汽车市场起步较早、汽车保有量大、车龄持续上升，完善的法规确定了严格的车载诊断系统，带动汽修业态整合及车辆电子化和智能化技术的提升，促使美国、欧洲地区汽车诊断分析产品市场的持续增长。而我国相关行业的整体发展及市场化水平仍较低，后市场主要以</w:t>
            </w:r>
            <w:r w:rsidR="007957F0" w:rsidRPr="007957F0">
              <w:rPr>
                <w:rFonts w:ascii="Arial" w:eastAsia="宋体" w:hAnsi="Arial" w:cs="Arial"/>
              </w:rPr>
              <w:t>4S</w:t>
            </w:r>
            <w:r w:rsidR="007957F0" w:rsidRPr="007957F0">
              <w:rPr>
                <w:rFonts w:ascii="Arial" w:eastAsia="宋体" w:hAnsi="Arial" w:cs="Arial" w:hint="eastAsia"/>
              </w:rPr>
              <w:t>店为</w:t>
            </w:r>
            <w:r w:rsidR="007957F0" w:rsidRPr="007957F0">
              <w:rPr>
                <w:rFonts w:ascii="Arial" w:eastAsia="宋体" w:hAnsi="Arial" w:cs="Arial" w:hint="eastAsia"/>
              </w:rPr>
              <w:lastRenderedPageBreak/>
              <w:t>主，第三方门店发展不成熟。但随着车龄突破</w:t>
            </w:r>
            <w:r w:rsidR="007957F0" w:rsidRPr="007957F0">
              <w:rPr>
                <w:rFonts w:ascii="Arial" w:eastAsia="宋体" w:hAnsi="Arial" w:cs="Arial"/>
              </w:rPr>
              <w:t>4S</w:t>
            </w:r>
            <w:r w:rsidR="007957F0" w:rsidRPr="007957F0">
              <w:rPr>
                <w:rFonts w:ascii="Arial" w:eastAsia="宋体" w:hAnsi="Arial" w:cs="Arial" w:hint="eastAsia"/>
              </w:rPr>
              <w:t>店质保期限，消费者转向第三方独立机构购买维保服务的意愿增强，将为独立汽车后市场的发展创造条件。全球范围内最大的汽车后市场主要是中国、美国和欧洲，公司会对国内市场机会保持密切关注，以开放的态度，积极筛选与公司发展相契合的优质项目拓展国内市场。</w:t>
            </w:r>
          </w:p>
          <w:p w14:paraId="3DF736CF" w14:textId="7777777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4FFE6F8D" w14:textId="2A6BFFE7" w:rsidR="009E5D51" w:rsidRPr="009E5D51" w:rsidRDefault="009E5D51" w:rsidP="009E5D51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9E5D51">
              <w:rPr>
                <w:rFonts w:ascii="Arial" w:eastAsia="宋体" w:hAnsi="Arial" w:cs="Arial" w:hint="eastAsia"/>
                <w:b/>
                <w:bCs/>
              </w:rPr>
              <w:t>问题三：</w:t>
            </w:r>
            <w:r w:rsidR="007957F0" w:rsidRPr="00182B1F">
              <w:rPr>
                <w:rFonts w:ascii="Arial" w:eastAsia="宋体" w:hAnsi="Arial" w:cs="Arial" w:hint="eastAsia"/>
                <w:b/>
                <w:bCs/>
              </w:rPr>
              <w:t>具身智能集群业务的研发进展</w:t>
            </w:r>
            <w:r w:rsidR="007957F0">
              <w:rPr>
                <w:rFonts w:ascii="Arial" w:eastAsia="宋体" w:hAnsi="Arial" w:cs="Arial" w:hint="eastAsia"/>
                <w:b/>
                <w:bCs/>
              </w:rPr>
              <w:t>及展望</w:t>
            </w:r>
            <w:r w:rsidR="007957F0" w:rsidRPr="00182B1F">
              <w:rPr>
                <w:rFonts w:ascii="Arial" w:eastAsia="宋体" w:hAnsi="Arial" w:cs="Arial" w:hint="eastAsia"/>
                <w:b/>
                <w:bCs/>
              </w:rPr>
              <w:t>如何？</w:t>
            </w:r>
          </w:p>
          <w:p w14:paraId="4E3CB6AF" w14:textId="77777777" w:rsidR="007957F0" w:rsidRPr="007957F0" w:rsidRDefault="009E5D51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9E5D51">
              <w:rPr>
                <w:rFonts w:ascii="Arial" w:eastAsia="宋体" w:hAnsi="Arial" w:cs="Arial" w:hint="eastAsia"/>
              </w:rPr>
              <w:t>回复：</w:t>
            </w:r>
            <w:r w:rsidR="007957F0" w:rsidRPr="007957F0">
              <w:rPr>
                <w:rFonts w:ascii="Arial" w:eastAsia="宋体" w:hAnsi="Arial" w:cs="Arial"/>
              </w:rPr>
              <w:t>2025</w:t>
            </w:r>
            <w:r w:rsidR="007957F0" w:rsidRPr="007957F0">
              <w:rPr>
                <w:rFonts w:ascii="Arial" w:eastAsia="宋体" w:hAnsi="Arial" w:cs="Arial" w:hint="eastAsia"/>
              </w:rPr>
              <w:t>年，公司推出的具身智能集群解决方案适用于能源、交通、园区等多种应用场景，通过实时信息收集与分析，该方案支持早期故障侦测和及时应对，从而提升管理效率及运营响应能力。公司通过专有的</w:t>
            </w:r>
            <w:r w:rsidR="007957F0" w:rsidRPr="007957F0">
              <w:rPr>
                <w:rFonts w:ascii="Arial" w:eastAsia="宋体" w:hAnsi="Arial" w:cs="Arial"/>
              </w:rPr>
              <w:t>AI</w:t>
            </w:r>
            <w:r w:rsidR="007957F0" w:rsidRPr="007957F0">
              <w:rPr>
                <w:rFonts w:ascii="Arial" w:eastAsia="宋体" w:hAnsi="Arial" w:cs="Arial" w:hint="eastAsia"/>
              </w:rPr>
              <w:t>应用平台整合具身智能体，包括</w:t>
            </w:r>
            <w:r w:rsidR="007957F0" w:rsidRPr="007957F0">
              <w:rPr>
                <w:rFonts w:ascii="Arial" w:eastAsia="宋体" w:hAnsi="Arial" w:cs="Arial"/>
              </w:rPr>
              <w:t>Hub</w:t>
            </w:r>
            <w:r w:rsidR="007957F0" w:rsidRPr="007957F0">
              <w:rPr>
                <w:rFonts w:ascii="Arial" w:eastAsia="宋体" w:hAnsi="Arial" w:cs="Arial" w:hint="eastAsia"/>
              </w:rPr>
              <w:t>平台、</w:t>
            </w:r>
            <w:r w:rsidR="007957F0" w:rsidRPr="007957F0">
              <w:rPr>
                <w:rFonts w:ascii="Arial" w:eastAsia="宋体" w:hAnsi="Arial" w:cs="Arial"/>
              </w:rPr>
              <w:t>AIP</w:t>
            </w:r>
            <w:r w:rsidR="007957F0" w:rsidRPr="007957F0">
              <w:rPr>
                <w:rFonts w:ascii="Arial" w:eastAsia="宋体" w:hAnsi="Arial" w:cs="Arial" w:hint="eastAsia"/>
              </w:rPr>
              <w:t>平台及数据平台，可为多种形态的具身机器人的互联协同提供支持，已已构建起“技术</w:t>
            </w:r>
            <w:r w:rsidR="007957F0" w:rsidRPr="007957F0">
              <w:rPr>
                <w:rFonts w:ascii="Arial" w:eastAsia="宋体" w:hAnsi="Arial" w:cs="Arial"/>
              </w:rPr>
              <w:t>-</w:t>
            </w:r>
            <w:r w:rsidR="007957F0" w:rsidRPr="007957F0">
              <w:rPr>
                <w:rFonts w:ascii="Arial" w:eastAsia="宋体" w:hAnsi="Arial" w:cs="Arial" w:hint="eastAsia"/>
              </w:rPr>
              <w:t>产品</w:t>
            </w:r>
            <w:r w:rsidR="007957F0" w:rsidRPr="007957F0">
              <w:rPr>
                <w:rFonts w:ascii="Arial" w:eastAsia="宋体" w:hAnsi="Arial" w:cs="Arial"/>
              </w:rPr>
              <w:t>-</w:t>
            </w:r>
            <w:r w:rsidR="007957F0" w:rsidRPr="007957F0">
              <w:rPr>
                <w:rFonts w:ascii="Arial" w:eastAsia="宋体" w:hAnsi="Arial" w:cs="Arial" w:hint="eastAsia"/>
              </w:rPr>
              <w:t>市场”的完整闭环。</w:t>
            </w:r>
          </w:p>
          <w:p w14:paraId="3AE178A5" w14:textId="0A3932C4" w:rsidR="009E5D51" w:rsidRPr="009E5D51" w:rsidRDefault="007957F0" w:rsidP="007957F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957F0">
              <w:rPr>
                <w:rFonts w:ascii="Arial" w:eastAsia="宋体" w:hAnsi="Arial" w:cs="Arial"/>
              </w:rPr>
              <w:t>2026</w:t>
            </w:r>
            <w:r w:rsidRPr="007957F0">
              <w:rPr>
                <w:rFonts w:ascii="Arial" w:eastAsia="宋体" w:hAnsi="Arial" w:cs="Arial" w:hint="eastAsia"/>
              </w:rPr>
              <w:t>年，公司将强化</w:t>
            </w:r>
            <w:r w:rsidRPr="007957F0">
              <w:rPr>
                <w:rFonts w:ascii="Arial" w:eastAsia="宋体" w:hAnsi="Arial" w:cs="Arial"/>
              </w:rPr>
              <w:t>Hub</w:t>
            </w:r>
            <w:r w:rsidRPr="007957F0">
              <w:rPr>
                <w:rFonts w:ascii="Arial" w:eastAsia="宋体" w:hAnsi="Arial" w:cs="Arial" w:hint="eastAsia"/>
              </w:rPr>
              <w:t>平台的生态能力，支持用户自由接入并集群化管理不同品牌、不同形态的具身机器人，并开展集群自主作业。同时，持续强化</w:t>
            </w:r>
            <w:r w:rsidRPr="007957F0">
              <w:rPr>
                <w:rFonts w:ascii="Arial" w:eastAsia="宋体" w:hAnsi="Arial" w:cs="Arial"/>
              </w:rPr>
              <w:t>AIP</w:t>
            </w:r>
            <w:r w:rsidRPr="007957F0">
              <w:rPr>
                <w:rFonts w:ascii="Arial" w:eastAsia="宋体" w:hAnsi="Arial" w:cs="Arial" w:hint="eastAsia"/>
              </w:rPr>
              <w:t>平台，赋能客户构建更多面向垂域场景的</w:t>
            </w:r>
            <w:r w:rsidRPr="007957F0">
              <w:rPr>
                <w:rFonts w:ascii="Arial" w:eastAsia="宋体" w:hAnsi="Arial" w:cs="Arial"/>
              </w:rPr>
              <w:t>AI Agent</w:t>
            </w:r>
            <w:r w:rsidRPr="007957F0">
              <w:rPr>
                <w:rFonts w:ascii="Arial" w:eastAsia="宋体" w:hAnsi="Arial" w:cs="Arial" w:hint="eastAsia"/>
              </w:rPr>
              <w:t>矩阵；推进</w:t>
            </w:r>
            <w:r w:rsidRPr="007957F0">
              <w:rPr>
                <w:rFonts w:ascii="Arial" w:eastAsia="宋体" w:hAnsi="Arial" w:cs="Arial"/>
              </w:rPr>
              <w:t>token</w:t>
            </w:r>
            <w:r w:rsidRPr="007957F0">
              <w:rPr>
                <w:rFonts w:ascii="Arial" w:eastAsia="宋体" w:hAnsi="Arial" w:cs="Arial" w:hint="eastAsia"/>
              </w:rPr>
              <w:t>使用量的持续性收费模式，提升相关</w:t>
            </w:r>
            <w:r w:rsidRPr="007957F0">
              <w:rPr>
                <w:rFonts w:ascii="Arial" w:eastAsia="宋体" w:hAnsi="Arial" w:cs="Arial"/>
              </w:rPr>
              <w:t>Agents</w:t>
            </w:r>
            <w:r w:rsidRPr="007957F0">
              <w:rPr>
                <w:rFonts w:ascii="Arial" w:eastAsia="宋体" w:hAnsi="Arial" w:cs="Arial" w:hint="eastAsia"/>
              </w:rPr>
              <w:t>应用的收费及盈利能力。</w:t>
            </w:r>
          </w:p>
          <w:p w14:paraId="764A5F7E" w14:textId="34E11B4F" w:rsidR="009E5D51" w:rsidRPr="004D6315" w:rsidRDefault="009E5D51" w:rsidP="009E5D5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ECD8" w14:textId="77777777" w:rsidR="00C96EC9" w:rsidRDefault="00C96EC9" w:rsidP="00EB5708">
      <w:pPr>
        <w:spacing w:after="0" w:line="240" w:lineRule="auto"/>
      </w:pPr>
      <w:r>
        <w:separator/>
      </w:r>
    </w:p>
  </w:endnote>
  <w:endnote w:type="continuationSeparator" w:id="0">
    <w:p w14:paraId="4E47156C" w14:textId="77777777" w:rsidR="00C96EC9" w:rsidRDefault="00C96EC9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C639" w14:textId="77777777" w:rsidR="00C96EC9" w:rsidRDefault="00C96EC9" w:rsidP="00EB5708">
      <w:pPr>
        <w:spacing w:after="0" w:line="240" w:lineRule="auto"/>
      </w:pPr>
      <w:r>
        <w:separator/>
      </w:r>
    </w:p>
  </w:footnote>
  <w:footnote w:type="continuationSeparator" w:id="0">
    <w:p w14:paraId="2C816704" w14:textId="77777777" w:rsidR="00C96EC9" w:rsidRDefault="00C96EC9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04793"/>
    <w:rsid w:val="000158E0"/>
    <w:rsid w:val="00021595"/>
    <w:rsid w:val="0002289F"/>
    <w:rsid w:val="00041EBA"/>
    <w:rsid w:val="000A7278"/>
    <w:rsid w:val="000A7CDE"/>
    <w:rsid w:val="000B7BC9"/>
    <w:rsid w:val="000D5619"/>
    <w:rsid w:val="000D75F4"/>
    <w:rsid w:val="00106843"/>
    <w:rsid w:val="001115FF"/>
    <w:rsid w:val="0012028D"/>
    <w:rsid w:val="0013605F"/>
    <w:rsid w:val="00144123"/>
    <w:rsid w:val="00161456"/>
    <w:rsid w:val="00163FD5"/>
    <w:rsid w:val="001803EE"/>
    <w:rsid w:val="001947A5"/>
    <w:rsid w:val="0019793B"/>
    <w:rsid w:val="001A3E54"/>
    <w:rsid w:val="001A56C8"/>
    <w:rsid w:val="001B19F0"/>
    <w:rsid w:val="001C06D9"/>
    <w:rsid w:val="001E5825"/>
    <w:rsid w:val="00203091"/>
    <w:rsid w:val="0020687A"/>
    <w:rsid w:val="00211B95"/>
    <w:rsid w:val="00216B51"/>
    <w:rsid w:val="00217A40"/>
    <w:rsid w:val="00223270"/>
    <w:rsid w:val="00233A40"/>
    <w:rsid w:val="00237F9D"/>
    <w:rsid w:val="00241E63"/>
    <w:rsid w:val="00251C27"/>
    <w:rsid w:val="002E1177"/>
    <w:rsid w:val="00323FBD"/>
    <w:rsid w:val="0033533F"/>
    <w:rsid w:val="0038547E"/>
    <w:rsid w:val="003B554B"/>
    <w:rsid w:val="003B6297"/>
    <w:rsid w:val="003C38AA"/>
    <w:rsid w:val="003D224A"/>
    <w:rsid w:val="003E313C"/>
    <w:rsid w:val="0040467C"/>
    <w:rsid w:val="004109CD"/>
    <w:rsid w:val="004235DB"/>
    <w:rsid w:val="00436266"/>
    <w:rsid w:val="004446E7"/>
    <w:rsid w:val="004554C6"/>
    <w:rsid w:val="0047657D"/>
    <w:rsid w:val="004824B1"/>
    <w:rsid w:val="004B3B69"/>
    <w:rsid w:val="004C256B"/>
    <w:rsid w:val="004C4F60"/>
    <w:rsid w:val="004D49B0"/>
    <w:rsid w:val="004D6315"/>
    <w:rsid w:val="004E0BD4"/>
    <w:rsid w:val="004E15FD"/>
    <w:rsid w:val="005039D0"/>
    <w:rsid w:val="00520C4A"/>
    <w:rsid w:val="00521F11"/>
    <w:rsid w:val="0054356B"/>
    <w:rsid w:val="00560C3F"/>
    <w:rsid w:val="00594C54"/>
    <w:rsid w:val="005A6CDF"/>
    <w:rsid w:val="005A791D"/>
    <w:rsid w:val="005B683A"/>
    <w:rsid w:val="005C303B"/>
    <w:rsid w:val="005C485D"/>
    <w:rsid w:val="005D664A"/>
    <w:rsid w:val="005E3B3F"/>
    <w:rsid w:val="00601DE0"/>
    <w:rsid w:val="006044D5"/>
    <w:rsid w:val="00660C0B"/>
    <w:rsid w:val="00661962"/>
    <w:rsid w:val="006760EF"/>
    <w:rsid w:val="006925FC"/>
    <w:rsid w:val="00693340"/>
    <w:rsid w:val="006B2BFA"/>
    <w:rsid w:val="006B6A68"/>
    <w:rsid w:val="006D428A"/>
    <w:rsid w:val="006D45E7"/>
    <w:rsid w:val="006E7E75"/>
    <w:rsid w:val="006F55A8"/>
    <w:rsid w:val="00721DCF"/>
    <w:rsid w:val="00723F1B"/>
    <w:rsid w:val="00725CC7"/>
    <w:rsid w:val="007515D9"/>
    <w:rsid w:val="00752EF2"/>
    <w:rsid w:val="007873F1"/>
    <w:rsid w:val="0079287D"/>
    <w:rsid w:val="007957F0"/>
    <w:rsid w:val="00796B91"/>
    <w:rsid w:val="00797803"/>
    <w:rsid w:val="007C30B5"/>
    <w:rsid w:val="007C6110"/>
    <w:rsid w:val="007E4B1D"/>
    <w:rsid w:val="007F0F10"/>
    <w:rsid w:val="00800CBB"/>
    <w:rsid w:val="00810A2C"/>
    <w:rsid w:val="00810BE5"/>
    <w:rsid w:val="00822B82"/>
    <w:rsid w:val="00830B93"/>
    <w:rsid w:val="00844DAE"/>
    <w:rsid w:val="008530FA"/>
    <w:rsid w:val="008531C7"/>
    <w:rsid w:val="00860716"/>
    <w:rsid w:val="008614C5"/>
    <w:rsid w:val="00862FD1"/>
    <w:rsid w:val="0086731E"/>
    <w:rsid w:val="00867E96"/>
    <w:rsid w:val="00876CE9"/>
    <w:rsid w:val="008925F3"/>
    <w:rsid w:val="008A7157"/>
    <w:rsid w:val="008B087D"/>
    <w:rsid w:val="008B16B8"/>
    <w:rsid w:val="008C0EB6"/>
    <w:rsid w:val="008C4245"/>
    <w:rsid w:val="008D0BCD"/>
    <w:rsid w:val="00930348"/>
    <w:rsid w:val="009317B5"/>
    <w:rsid w:val="0094455E"/>
    <w:rsid w:val="00952D1A"/>
    <w:rsid w:val="00967931"/>
    <w:rsid w:val="00993E6F"/>
    <w:rsid w:val="009A4735"/>
    <w:rsid w:val="009B698C"/>
    <w:rsid w:val="009D5B4F"/>
    <w:rsid w:val="009E5D51"/>
    <w:rsid w:val="009F749E"/>
    <w:rsid w:val="009F78F8"/>
    <w:rsid w:val="00A210F8"/>
    <w:rsid w:val="00A25E2D"/>
    <w:rsid w:val="00A421EB"/>
    <w:rsid w:val="00A505E7"/>
    <w:rsid w:val="00A52232"/>
    <w:rsid w:val="00A53C3B"/>
    <w:rsid w:val="00A55FC9"/>
    <w:rsid w:val="00A93F09"/>
    <w:rsid w:val="00AC3C2F"/>
    <w:rsid w:val="00AD640F"/>
    <w:rsid w:val="00AF49AB"/>
    <w:rsid w:val="00AF7559"/>
    <w:rsid w:val="00B04314"/>
    <w:rsid w:val="00B176FA"/>
    <w:rsid w:val="00B26CA1"/>
    <w:rsid w:val="00B31515"/>
    <w:rsid w:val="00B72DF7"/>
    <w:rsid w:val="00B83438"/>
    <w:rsid w:val="00BB4870"/>
    <w:rsid w:val="00BD00EF"/>
    <w:rsid w:val="00C075F8"/>
    <w:rsid w:val="00C40897"/>
    <w:rsid w:val="00C534E9"/>
    <w:rsid w:val="00C60789"/>
    <w:rsid w:val="00C7204E"/>
    <w:rsid w:val="00C83A22"/>
    <w:rsid w:val="00C86FBF"/>
    <w:rsid w:val="00C96EC9"/>
    <w:rsid w:val="00CB669D"/>
    <w:rsid w:val="00CC0CEB"/>
    <w:rsid w:val="00CC4C35"/>
    <w:rsid w:val="00CD19D8"/>
    <w:rsid w:val="00D10B88"/>
    <w:rsid w:val="00D37C0F"/>
    <w:rsid w:val="00D46EE4"/>
    <w:rsid w:val="00D5168F"/>
    <w:rsid w:val="00D65322"/>
    <w:rsid w:val="00DA3E07"/>
    <w:rsid w:val="00DA6C4A"/>
    <w:rsid w:val="00DC1CA7"/>
    <w:rsid w:val="00DD6E7E"/>
    <w:rsid w:val="00E21D94"/>
    <w:rsid w:val="00E70344"/>
    <w:rsid w:val="00E775FD"/>
    <w:rsid w:val="00E83638"/>
    <w:rsid w:val="00E926F8"/>
    <w:rsid w:val="00EB334B"/>
    <w:rsid w:val="00EB5708"/>
    <w:rsid w:val="00EB5844"/>
    <w:rsid w:val="00EF2600"/>
    <w:rsid w:val="00F00292"/>
    <w:rsid w:val="00F01914"/>
    <w:rsid w:val="00F1763F"/>
    <w:rsid w:val="00F17972"/>
    <w:rsid w:val="00F36864"/>
    <w:rsid w:val="00F45A1D"/>
    <w:rsid w:val="00F5315C"/>
    <w:rsid w:val="00F64AC9"/>
    <w:rsid w:val="00F9631B"/>
    <w:rsid w:val="00FD530A"/>
    <w:rsid w:val="00FE21D5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  <w:style w:type="table" w:styleId="af7">
    <w:name w:val="Table Grid"/>
    <w:basedOn w:val="a1"/>
    <w:uiPriority w:val="39"/>
    <w:rsid w:val="008C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5</Pages>
  <Words>541</Words>
  <Characters>3090</Characters>
  <Application>Microsoft Office Word</Application>
  <DocSecurity>0</DocSecurity>
  <Lines>25</Lines>
  <Paragraphs>7</Paragraphs>
  <ScaleCrop>false</ScaleCrop>
  <Company>QN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172</cp:revision>
  <cp:lastPrinted>2023-10-25T11:35:00Z</cp:lastPrinted>
  <dcterms:created xsi:type="dcterms:W3CDTF">2025-02-24T02:08:00Z</dcterms:created>
  <dcterms:modified xsi:type="dcterms:W3CDTF">2026-05-22T10:24:00Z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