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9DE6D" w14:textId="77777777" w:rsidR="0053152C" w:rsidRDefault="004B520C">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证券代码：603037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证券简称：凯众股份</w:t>
      </w:r>
    </w:p>
    <w:p w14:paraId="13F2990C" w14:textId="77777777" w:rsidR="0053152C" w:rsidRDefault="0053152C">
      <w:pPr>
        <w:spacing w:line="360" w:lineRule="auto"/>
        <w:jc w:val="center"/>
        <w:rPr>
          <w:rFonts w:ascii="宋体" w:eastAsia="宋体" w:hAnsi="宋体" w:cs="宋体"/>
          <w:b/>
          <w:bCs/>
          <w:sz w:val="44"/>
          <w:szCs w:val="44"/>
        </w:rPr>
      </w:pPr>
    </w:p>
    <w:p w14:paraId="35A9A401" w14:textId="77777777" w:rsidR="0053152C" w:rsidRDefault="004B520C">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上海凯众材料科技股份有限公司</w:t>
      </w:r>
    </w:p>
    <w:p w14:paraId="218F0259" w14:textId="78C01E07" w:rsidR="0053152C" w:rsidRDefault="004B520C" w:rsidP="00723E73">
      <w:pPr>
        <w:spacing w:line="360" w:lineRule="auto"/>
        <w:jc w:val="center"/>
        <w:rPr>
          <w:rFonts w:ascii="宋体" w:eastAsia="宋体" w:hAnsi="宋体" w:cs="宋体" w:hint="eastAsia"/>
          <w:sz w:val="20"/>
          <w:szCs w:val="20"/>
        </w:rPr>
      </w:pPr>
      <w:r>
        <w:rPr>
          <w:rFonts w:ascii="宋体" w:eastAsia="宋体" w:hAnsi="宋体" w:cs="宋体" w:hint="eastAsia"/>
          <w:b/>
          <w:bCs/>
          <w:sz w:val="44"/>
          <w:szCs w:val="44"/>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53152C" w14:paraId="7CBFCC3B" w14:textId="77777777" w:rsidTr="00DF33B7">
        <w:trPr>
          <w:trHeight w:val="1844"/>
          <w:jc w:val="center"/>
        </w:trPr>
        <w:tc>
          <w:tcPr>
            <w:tcW w:w="2580" w:type="dxa"/>
          </w:tcPr>
          <w:p w14:paraId="0549656F" w14:textId="77777777" w:rsidR="0053152C" w:rsidRDefault="0053152C">
            <w:pPr>
              <w:pStyle w:val="TableParagraph"/>
              <w:spacing w:before="7"/>
              <w:rPr>
                <w:rFonts w:ascii="宋体" w:eastAsia="宋体" w:hAnsi="宋体" w:cs="宋体"/>
                <w:b/>
                <w:bCs/>
                <w:sz w:val="20"/>
                <w:szCs w:val="20"/>
              </w:rPr>
            </w:pPr>
          </w:p>
          <w:p w14:paraId="272FFB30" w14:textId="77777777" w:rsidR="0053152C" w:rsidRDefault="004B520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1A48D1DD" w14:textId="77777777" w:rsidR="0053152C" w:rsidRDefault="0053152C">
            <w:pPr>
              <w:pStyle w:val="TableParagraph"/>
              <w:spacing w:before="7"/>
              <w:rPr>
                <w:rFonts w:ascii="宋体" w:eastAsia="宋体" w:hAnsi="宋体" w:cs="宋体"/>
                <w:sz w:val="20"/>
                <w:szCs w:val="20"/>
              </w:rPr>
            </w:pPr>
          </w:p>
          <w:p w14:paraId="4933A226" w14:textId="7035DCAB" w:rsidR="0053152C" w:rsidRDefault="00782377" w:rsidP="00DF33B7">
            <w:pPr>
              <w:pStyle w:val="TableParagraph"/>
              <w:tabs>
                <w:tab w:val="left" w:pos="2418"/>
              </w:tabs>
              <w:spacing w:before="1" w:line="400" w:lineRule="exact"/>
              <w:ind w:left="108"/>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特</w:t>
            </w:r>
            <w:r w:rsidR="004B520C">
              <w:rPr>
                <w:rFonts w:ascii="宋体" w:eastAsia="宋体" w:hAnsi="宋体" w:cs="宋体" w:hint="eastAsia"/>
                <w:spacing w:val="-3"/>
                <w:sz w:val="20"/>
                <w:szCs w:val="20"/>
              </w:rPr>
              <w:t>定</w:t>
            </w:r>
            <w:r w:rsidR="004B520C">
              <w:rPr>
                <w:rFonts w:ascii="宋体" w:eastAsia="宋体" w:hAnsi="宋体" w:cs="宋体" w:hint="eastAsia"/>
                <w:sz w:val="20"/>
                <w:szCs w:val="20"/>
              </w:rPr>
              <w:t>对</w:t>
            </w:r>
            <w:r w:rsidR="004B520C">
              <w:rPr>
                <w:rFonts w:ascii="宋体" w:eastAsia="宋体" w:hAnsi="宋体" w:cs="宋体" w:hint="eastAsia"/>
                <w:spacing w:val="-3"/>
                <w:sz w:val="20"/>
                <w:szCs w:val="20"/>
              </w:rPr>
              <w:t>象</w:t>
            </w:r>
            <w:r w:rsidR="004B520C">
              <w:rPr>
                <w:rFonts w:ascii="宋体" w:eastAsia="宋体" w:hAnsi="宋体" w:cs="宋体" w:hint="eastAsia"/>
                <w:sz w:val="20"/>
                <w:szCs w:val="20"/>
              </w:rPr>
              <w:t>调研</w:t>
            </w:r>
            <w:r w:rsidR="004B520C">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分</w:t>
            </w:r>
            <w:r w:rsidR="004B520C">
              <w:rPr>
                <w:rFonts w:ascii="宋体" w:eastAsia="宋体" w:hAnsi="宋体" w:cs="宋体" w:hint="eastAsia"/>
                <w:spacing w:val="-3"/>
                <w:sz w:val="20"/>
                <w:szCs w:val="20"/>
              </w:rPr>
              <w:t>析</w:t>
            </w:r>
            <w:r w:rsidR="004B520C">
              <w:rPr>
                <w:rFonts w:ascii="宋体" w:eastAsia="宋体" w:hAnsi="宋体" w:cs="宋体" w:hint="eastAsia"/>
                <w:sz w:val="20"/>
                <w:szCs w:val="20"/>
              </w:rPr>
              <w:t>师</w:t>
            </w:r>
            <w:r w:rsidR="004B520C">
              <w:rPr>
                <w:rFonts w:ascii="宋体" w:eastAsia="宋体" w:hAnsi="宋体" w:cs="宋体" w:hint="eastAsia"/>
                <w:spacing w:val="-3"/>
                <w:sz w:val="20"/>
                <w:szCs w:val="20"/>
              </w:rPr>
              <w:t>会</w:t>
            </w:r>
            <w:r w:rsidR="004B520C">
              <w:rPr>
                <w:rFonts w:ascii="宋体" w:eastAsia="宋体" w:hAnsi="宋体" w:cs="宋体" w:hint="eastAsia"/>
                <w:sz w:val="20"/>
                <w:szCs w:val="20"/>
              </w:rPr>
              <w:t>议</w:t>
            </w:r>
          </w:p>
          <w:p w14:paraId="0D4953C3" w14:textId="5D5F880D" w:rsidR="0053152C" w:rsidRDefault="00782377" w:rsidP="00DF33B7">
            <w:pPr>
              <w:pStyle w:val="TableParagraph"/>
              <w:tabs>
                <w:tab w:val="left" w:pos="2418"/>
              </w:tabs>
              <w:spacing w:line="400" w:lineRule="exact"/>
              <w:ind w:left="108"/>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媒</w:t>
            </w:r>
            <w:r w:rsidR="004B520C">
              <w:rPr>
                <w:rFonts w:ascii="宋体" w:eastAsia="宋体" w:hAnsi="宋体" w:cs="宋体" w:hint="eastAsia"/>
                <w:spacing w:val="-3"/>
                <w:sz w:val="20"/>
                <w:szCs w:val="20"/>
              </w:rPr>
              <w:t>体</w:t>
            </w:r>
            <w:r w:rsidR="004B520C">
              <w:rPr>
                <w:rFonts w:ascii="宋体" w:eastAsia="宋体" w:hAnsi="宋体" w:cs="宋体" w:hint="eastAsia"/>
                <w:sz w:val="20"/>
                <w:szCs w:val="20"/>
              </w:rPr>
              <w:t>采访</w:t>
            </w:r>
            <w:r w:rsidR="004B520C">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4B520C">
                  <w:rPr>
                    <w:rFonts w:ascii="Wingdings 2" w:eastAsia="MS Gothic" w:hAnsi="Wingdings 2" w:cs="宋体"/>
                    <w:sz w:val="20"/>
                    <w:szCs w:val="20"/>
                  </w:rPr>
                  <w:t></w:t>
                </w:r>
              </w:sdtContent>
            </w:sdt>
            <w:r w:rsidR="004B520C">
              <w:rPr>
                <w:rFonts w:ascii="宋体" w:eastAsia="宋体" w:hAnsi="宋体" w:cs="宋体" w:hint="eastAsia"/>
                <w:sz w:val="20"/>
                <w:szCs w:val="20"/>
              </w:rPr>
              <w:t>业</w:t>
            </w:r>
            <w:r w:rsidR="004B520C">
              <w:rPr>
                <w:rFonts w:ascii="宋体" w:eastAsia="宋体" w:hAnsi="宋体" w:cs="宋体" w:hint="eastAsia"/>
                <w:spacing w:val="-3"/>
                <w:sz w:val="20"/>
                <w:szCs w:val="20"/>
              </w:rPr>
              <w:t>绩</w:t>
            </w:r>
            <w:r w:rsidR="004B520C">
              <w:rPr>
                <w:rFonts w:ascii="宋体" w:eastAsia="宋体" w:hAnsi="宋体" w:cs="宋体" w:hint="eastAsia"/>
                <w:sz w:val="20"/>
                <w:szCs w:val="20"/>
              </w:rPr>
              <w:t>说</w:t>
            </w:r>
            <w:r w:rsidR="004B520C">
              <w:rPr>
                <w:rFonts w:ascii="宋体" w:eastAsia="宋体" w:hAnsi="宋体" w:cs="宋体" w:hint="eastAsia"/>
                <w:spacing w:val="-3"/>
                <w:sz w:val="20"/>
                <w:szCs w:val="20"/>
              </w:rPr>
              <w:t>明</w:t>
            </w:r>
            <w:r w:rsidR="004B520C">
              <w:rPr>
                <w:rFonts w:ascii="宋体" w:eastAsia="宋体" w:hAnsi="宋体" w:cs="宋体" w:hint="eastAsia"/>
                <w:sz w:val="20"/>
                <w:szCs w:val="20"/>
              </w:rPr>
              <w:t>会</w:t>
            </w:r>
          </w:p>
          <w:p w14:paraId="6DD858E9" w14:textId="34F34559" w:rsidR="0053152C" w:rsidRDefault="00782377" w:rsidP="00DF33B7">
            <w:pPr>
              <w:pStyle w:val="TableParagraph"/>
              <w:tabs>
                <w:tab w:val="left" w:pos="2418"/>
              </w:tabs>
              <w:spacing w:line="400" w:lineRule="exact"/>
              <w:ind w:left="108"/>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新</w:t>
            </w:r>
            <w:r w:rsidR="004B520C">
              <w:rPr>
                <w:rFonts w:ascii="宋体" w:eastAsia="宋体" w:hAnsi="宋体" w:cs="宋体" w:hint="eastAsia"/>
                <w:spacing w:val="-3"/>
                <w:sz w:val="20"/>
                <w:szCs w:val="20"/>
              </w:rPr>
              <w:t>闻</w:t>
            </w:r>
            <w:r w:rsidR="004B520C">
              <w:rPr>
                <w:rFonts w:ascii="宋体" w:eastAsia="宋体" w:hAnsi="宋体" w:cs="宋体" w:hint="eastAsia"/>
                <w:sz w:val="20"/>
                <w:szCs w:val="20"/>
              </w:rPr>
              <w:t>发</w:t>
            </w:r>
            <w:r w:rsidR="004B520C">
              <w:rPr>
                <w:rFonts w:ascii="宋体" w:eastAsia="宋体" w:hAnsi="宋体" w:cs="宋体" w:hint="eastAsia"/>
                <w:spacing w:val="-3"/>
                <w:sz w:val="20"/>
                <w:szCs w:val="20"/>
              </w:rPr>
              <w:t>布</w:t>
            </w:r>
            <w:r w:rsidR="004B520C">
              <w:rPr>
                <w:rFonts w:ascii="宋体" w:eastAsia="宋体" w:hAnsi="宋体" w:cs="宋体" w:hint="eastAsia"/>
                <w:sz w:val="20"/>
                <w:szCs w:val="20"/>
              </w:rPr>
              <w:t>会</w:t>
            </w:r>
            <w:r w:rsidR="004B520C">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路</w:t>
            </w:r>
            <w:r w:rsidR="004B520C">
              <w:rPr>
                <w:rFonts w:ascii="宋体" w:eastAsia="宋体" w:hAnsi="宋体" w:cs="宋体" w:hint="eastAsia"/>
                <w:spacing w:val="-3"/>
                <w:sz w:val="20"/>
                <w:szCs w:val="20"/>
              </w:rPr>
              <w:t>演</w:t>
            </w:r>
            <w:r w:rsidR="004B520C">
              <w:rPr>
                <w:rFonts w:ascii="宋体" w:eastAsia="宋体" w:hAnsi="宋体" w:cs="宋体" w:hint="eastAsia"/>
                <w:sz w:val="20"/>
                <w:szCs w:val="20"/>
              </w:rPr>
              <w:t>活动</w:t>
            </w:r>
          </w:p>
          <w:p w14:paraId="47CBC805" w14:textId="73B82D03" w:rsidR="0053152C" w:rsidRDefault="00782377" w:rsidP="00DF33B7">
            <w:pPr>
              <w:pStyle w:val="TableParagraph"/>
              <w:spacing w:line="400" w:lineRule="exact"/>
              <w:ind w:left="108"/>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现场参观</w:t>
            </w:r>
          </w:p>
          <w:p w14:paraId="5FBAFFB6" w14:textId="77777777" w:rsidR="0053152C" w:rsidRDefault="00782377" w:rsidP="00DF33B7">
            <w:pPr>
              <w:pStyle w:val="TableParagraph"/>
              <w:spacing w:line="400" w:lineRule="exact"/>
              <w:ind w:left="108"/>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4B520C">
                  <w:rPr>
                    <w:rFonts w:ascii="MS Gothic" w:eastAsia="MS Gothic" w:hAnsi="MS Gothic" w:cs="宋体" w:hint="eastAsia"/>
                    <w:sz w:val="20"/>
                    <w:szCs w:val="20"/>
                  </w:rPr>
                  <w:t>☐</w:t>
                </w:r>
              </w:sdtContent>
            </w:sdt>
            <w:r w:rsidR="004B520C">
              <w:rPr>
                <w:rFonts w:ascii="宋体" w:eastAsia="宋体" w:hAnsi="宋体" w:cs="宋体" w:hint="eastAsia"/>
                <w:sz w:val="20"/>
                <w:szCs w:val="20"/>
              </w:rPr>
              <w:t>其他（</w:t>
            </w:r>
            <w:r w:rsidR="004B520C">
              <w:rPr>
                <w:rFonts w:ascii="宋体" w:eastAsia="宋体" w:hAnsi="宋体" w:cs="宋体" w:hint="eastAsia"/>
                <w:sz w:val="20"/>
                <w:szCs w:val="20"/>
                <w:u w:val="single"/>
              </w:rPr>
              <w:t>请文字说明其他活动内容）</w:t>
            </w:r>
          </w:p>
        </w:tc>
      </w:tr>
      <w:tr w:rsidR="0053152C" w14:paraId="0720E69C" w14:textId="77777777" w:rsidTr="00DF33B7">
        <w:trPr>
          <w:trHeight w:val="842"/>
          <w:jc w:val="center"/>
        </w:trPr>
        <w:tc>
          <w:tcPr>
            <w:tcW w:w="2580" w:type="dxa"/>
            <w:vAlign w:val="center"/>
          </w:tcPr>
          <w:p w14:paraId="30494C0A" w14:textId="77777777" w:rsidR="0053152C" w:rsidRDefault="004B520C">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D66B5DB" w14:textId="77777777" w:rsidR="0053152C" w:rsidRDefault="004B520C">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线上参与凯众股份（603037）2025年年度暨2026年一季度业绩说明会的全体投资者</w:t>
            </w:r>
          </w:p>
        </w:tc>
      </w:tr>
      <w:tr w:rsidR="0053152C" w14:paraId="086844D1" w14:textId="77777777">
        <w:trPr>
          <w:trHeight w:val="558"/>
          <w:jc w:val="center"/>
        </w:trPr>
        <w:tc>
          <w:tcPr>
            <w:tcW w:w="2580" w:type="dxa"/>
            <w:vAlign w:val="center"/>
          </w:tcPr>
          <w:p w14:paraId="7D900C77" w14:textId="77777777" w:rsidR="0053152C" w:rsidRDefault="004B520C">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47E2F43" w14:textId="77777777" w:rsidR="0053152C" w:rsidRDefault="004B520C">
            <w:pPr>
              <w:spacing w:before="100" w:beforeAutospacing="1" w:line="360" w:lineRule="auto"/>
              <w:rPr>
                <w:sz w:val="20"/>
                <w:szCs w:val="20"/>
              </w:rPr>
            </w:pPr>
            <w:r>
              <w:rPr>
                <w:rFonts w:asciiTheme="minorEastAsia" w:eastAsiaTheme="minorEastAsia" w:hAnsiTheme="minorEastAsia" w:cstheme="minorEastAsia" w:hint="eastAsia"/>
                <w:sz w:val="20"/>
                <w:szCs w:val="20"/>
              </w:rPr>
              <w:t>2026年05月22日 15:00-16:00</w:t>
            </w:r>
          </w:p>
        </w:tc>
      </w:tr>
      <w:tr w:rsidR="0053152C" w14:paraId="1CB963F5" w14:textId="77777777">
        <w:trPr>
          <w:trHeight w:val="561"/>
          <w:jc w:val="center"/>
        </w:trPr>
        <w:tc>
          <w:tcPr>
            <w:tcW w:w="2580" w:type="dxa"/>
            <w:vAlign w:val="center"/>
          </w:tcPr>
          <w:p w14:paraId="2C49C3DF" w14:textId="77777777" w:rsidR="0053152C" w:rsidRDefault="004B520C">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544AD2E0" w14:textId="77777777" w:rsidR="0053152C" w:rsidRDefault="004B520C">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53152C" w14:paraId="6AA10964" w14:textId="77777777">
        <w:trPr>
          <w:trHeight w:val="558"/>
          <w:jc w:val="center"/>
        </w:trPr>
        <w:tc>
          <w:tcPr>
            <w:tcW w:w="2580" w:type="dxa"/>
            <w:vAlign w:val="center"/>
          </w:tcPr>
          <w:p w14:paraId="691AB9B0" w14:textId="77777777" w:rsidR="0053152C" w:rsidRDefault="004B520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2A916E57" w14:textId="77777777" w:rsidR="0053152C" w:rsidRDefault="004B520C">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杨建刚</w:t>
            </w:r>
            <w:r>
              <w:rPr>
                <w:rFonts w:ascii="宋体" w:eastAsia="宋体" w:hAnsi="宋体" w:cs="宋体"/>
                <w:sz w:val="20"/>
                <w:szCs w:val="20"/>
              </w:rPr>
              <w:br/>
              <w:t>财务总监兼董事会秘书 贾洁</w:t>
            </w:r>
            <w:r>
              <w:rPr>
                <w:rFonts w:ascii="宋体" w:eastAsia="宋体" w:hAnsi="宋体" w:cs="宋体"/>
                <w:sz w:val="20"/>
                <w:szCs w:val="20"/>
              </w:rPr>
              <w:br/>
              <w:t>独立董事 周源康</w:t>
            </w:r>
          </w:p>
        </w:tc>
      </w:tr>
      <w:tr w:rsidR="0053152C" w14:paraId="03F7CCB8" w14:textId="77777777" w:rsidTr="00723E73">
        <w:trPr>
          <w:trHeight w:val="557"/>
          <w:jc w:val="center"/>
        </w:trPr>
        <w:tc>
          <w:tcPr>
            <w:tcW w:w="2580" w:type="dxa"/>
          </w:tcPr>
          <w:p w14:paraId="26A302F1" w14:textId="77777777" w:rsidR="0053152C" w:rsidRDefault="0053152C">
            <w:pPr>
              <w:pStyle w:val="TableParagraph"/>
              <w:rPr>
                <w:rFonts w:ascii="宋体" w:eastAsia="宋体" w:hAnsi="宋体" w:cs="宋体"/>
                <w:b/>
                <w:bCs/>
                <w:sz w:val="20"/>
                <w:szCs w:val="20"/>
              </w:rPr>
            </w:pPr>
          </w:p>
          <w:p w14:paraId="67AFAA67" w14:textId="77777777" w:rsidR="0053152C" w:rsidRDefault="0053152C">
            <w:pPr>
              <w:pStyle w:val="TableParagraph"/>
              <w:rPr>
                <w:rFonts w:ascii="宋体" w:eastAsia="宋体" w:hAnsi="宋体" w:cs="宋体"/>
                <w:b/>
                <w:bCs/>
                <w:sz w:val="20"/>
                <w:szCs w:val="20"/>
              </w:rPr>
            </w:pPr>
          </w:p>
          <w:p w14:paraId="1B004E2D" w14:textId="77777777" w:rsidR="0053152C" w:rsidRDefault="0053152C">
            <w:pPr>
              <w:pStyle w:val="TableParagraph"/>
              <w:spacing w:before="5"/>
              <w:rPr>
                <w:rFonts w:ascii="宋体" w:eastAsia="宋体" w:hAnsi="宋体" w:cs="宋体"/>
                <w:b/>
                <w:bCs/>
                <w:sz w:val="20"/>
                <w:szCs w:val="20"/>
              </w:rPr>
            </w:pPr>
          </w:p>
          <w:p w14:paraId="3F4D0D96" w14:textId="77777777" w:rsidR="0053152C" w:rsidRDefault="004B520C">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71B1F2C" w14:textId="529600FF" w:rsidR="0053152C" w:rsidRDefault="004B520C">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1.针对25年净利润降低，26一季报净利润继续承压，管理层有何应对之策</w:t>
            </w:r>
            <w:r>
              <w:rPr>
                <w:rFonts w:ascii="宋体" w:eastAsia="宋体" w:hAnsi="宋体" w:cs="宋体"/>
                <w:b/>
                <w:sz w:val="20"/>
              </w:rPr>
              <w:br/>
            </w:r>
            <w:r>
              <w:rPr>
                <w:rFonts w:ascii="宋体" w:eastAsia="宋体" w:hAnsi="宋体" w:cs="宋体"/>
                <w:sz w:val="20"/>
              </w:rPr>
              <w:t xml:space="preserve">    答:对于2025年及2026一季度利润承压，管理层已高度重视并深刻复盘。短期波动是宏观环境与战略投入阶段性叠加的结果。目前公司已制定一揽子举措：在收入端持续优化结构，向高附加值业务倾斜；在成本端推进精细化运营，合理压降费用。各项措施正有序评估与动态调整中，部分效果预计将在后续报告期内逐步释放。 2026年一季度利润降低的原因主要是今年新增的可转债利息以及由于汇率变化导致汇兑损益发生变动的影响，剔除这部分原因，公司利润相比去年同期是增加的且增长幅度超过收入增长幅度；同时毛利率虽然同比有所降低，但环比以及与去年全年比均有所提高，从去年全年28.5%提升到了31.3%。感谢您的提问。</w:t>
            </w:r>
            <w:r>
              <w:rPr>
                <w:rFonts w:ascii="宋体" w:eastAsia="宋体" w:hAnsi="宋体" w:cs="宋体"/>
                <w:sz w:val="20"/>
              </w:rPr>
              <w:br/>
            </w:r>
            <w:r>
              <w:rPr>
                <w:rFonts w:ascii="宋体" w:eastAsia="宋体" w:hAnsi="宋体" w:cs="宋体"/>
                <w:b/>
                <w:sz w:val="20"/>
              </w:rPr>
              <w:t xml:space="preserve">    2.“公司一季度在营收增长的情况下，经营现金流却大幅净流出，与净利润严重背离。请问管理层： 已经立即采取了哪三项具</w:t>
            </w:r>
            <w:r>
              <w:rPr>
                <w:rFonts w:ascii="宋体" w:eastAsia="宋体" w:hAnsi="宋体" w:cs="宋体"/>
                <w:b/>
                <w:sz w:val="20"/>
              </w:rPr>
              <w:lastRenderedPageBreak/>
              <w:t>体措施来扭转这一局面？（请说明每项措施的具体内容，例如是否已成立应收账款专项清收小组？是否调整了对部分客户的信用政策？） 公司是否有明确的季度或半年度经营现金流回正的目标？打算如何向投资者跟踪汇报这一目标的进展？”</w:t>
            </w:r>
            <w:r>
              <w:rPr>
                <w:rFonts w:ascii="宋体" w:eastAsia="宋体" w:hAnsi="宋体" w:cs="宋体"/>
                <w:b/>
                <w:sz w:val="20"/>
              </w:rPr>
              <w:br/>
            </w:r>
            <w:r>
              <w:rPr>
                <w:rFonts w:ascii="宋体" w:eastAsia="宋体" w:hAnsi="宋体" w:cs="宋体"/>
                <w:sz w:val="20"/>
              </w:rPr>
              <w:t xml:space="preserve">    答:公司一季度经营现金流量下降系因优化票据管理及货款支付增加所致，基于前述主要原因，公司通过贴现、加强经营管理等措施优化经营活动产生的现金流量。公司已制定半年度现金流回正计划，届时请关注公司定期报告。感谢您的提问。</w:t>
            </w:r>
            <w:r>
              <w:rPr>
                <w:rFonts w:ascii="宋体" w:eastAsia="宋体" w:hAnsi="宋体" w:cs="宋体"/>
                <w:sz w:val="20"/>
              </w:rPr>
              <w:br/>
            </w:r>
            <w:r>
              <w:rPr>
                <w:rFonts w:ascii="宋体" w:eastAsia="宋体" w:hAnsi="宋体" w:cs="宋体"/>
                <w:b/>
                <w:sz w:val="20"/>
              </w:rPr>
              <w:t xml:space="preserve">    3.“截至一季度末，公司应收账款占净利润比例超过400%。请问： 公司如何评估这部分巨额应收账款的回收风险？账龄结构如何？ 为保障现金流和资产安全，公司是否制定了明确的年度回款考核指标，并将此与相关业务负责人的绩效强制挂钩？”</w:t>
            </w:r>
            <w:r>
              <w:rPr>
                <w:rFonts w:ascii="宋体" w:eastAsia="宋体" w:hAnsi="宋体" w:cs="宋体"/>
                <w:b/>
                <w:sz w:val="20"/>
              </w:rPr>
              <w:br/>
            </w:r>
            <w:r>
              <w:rPr>
                <w:rFonts w:ascii="宋体" w:eastAsia="宋体" w:hAnsi="宋体" w:cs="宋体"/>
                <w:sz w:val="20"/>
              </w:rPr>
              <w:t xml:space="preserve">    答:目前没有发现重大的、不可控的回收风险。基于现有的账龄结构和客户资信，我们认为风险在可控范围内。感谢您的提问。</w:t>
            </w:r>
            <w:r>
              <w:rPr>
                <w:rFonts w:ascii="宋体" w:eastAsia="宋体" w:hAnsi="宋体" w:cs="宋体"/>
                <w:sz w:val="20"/>
              </w:rPr>
              <w:br/>
            </w:r>
            <w:r>
              <w:rPr>
                <w:rFonts w:ascii="宋体" w:eastAsia="宋体" w:hAnsi="宋体" w:cs="宋体"/>
                <w:b/>
                <w:sz w:val="20"/>
              </w:rPr>
              <w:t xml:space="preserve">    4.“关于收购安徽拓盛60%股权的事项，目前仅走到股东大会通过阶段。请问： 公司计划在何时正式提交上交所审核？目前卡在哪个具体环节？ 本次交易未设置明确的业绩补偿协议，公司如何保障中小股东利益，防范未来可能出现的商誉减值风险？”</w:t>
            </w:r>
            <w:r>
              <w:rPr>
                <w:rFonts w:ascii="宋体" w:eastAsia="宋体" w:hAnsi="宋体" w:cs="宋体"/>
                <w:b/>
                <w:sz w:val="20"/>
              </w:rPr>
              <w:br/>
            </w:r>
            <w:r>
              <w:rPr>
                <w:rFonts w:ascii="宋体" w:eastAsia="宋体" w:hAnsi="宋体" w:cs="宋体"/>
                <w:sz w:val="20"/>
              </w:rPr>
              <w:t xml:space="preserve">    答:公司已和交易对手方签署业绩补偿协议，具体请查阅公司在2026年4月29日披露的《上海凯众材料科技股份有限公司发行股份及支付现金购买资产并募集配套资金暨关联交易报告书（草案）》相关章节。对于并购筹组事宜进展，公司将按照相关规定进行信披披露，感谢您的提问。</w:t>
            </w:r>
            <w:r>
              <w:rPr>
                <w:rFonts w:ascii="宋体" w:eastAsia="宋体" w:hAnsi="宋体" w:cs="宋体"/>
                <w:sz w:val="20"/>
              </w:rPr>
              <w:br/>
            </w:r>
            <w:r>
              <w:rPr>
                <w:rFonts w:ascii="宋体" w:eastAsia="宋体" w:hAnsi="宋体" w:cs="宋体"/>
                <w:b/>
                <w:sz w:val="20"/>
              </w:rPr>
              <w:t xml:space="preserve">    5.2025年墨西哥工厂正式交付，德国子拓展欧洲客户成效如何？</w:t>
            </w:r>
            <w:r>
              <w:rPr>
                <w:rFonts w:ascii="宋体" w:eastAsia="宋体" w:hAnsi="宋体" w:cs="宋体"/>
                <w:b/>
                <w:sz w:val="20"/>
              </w:rPr>
              <w:br/>
            </w:r>
            <w:r>
              <w:rPr>
                <w:rFonts w:ascii="宋体" w:eastAsia="宋体" w:hAnsi="宋体" w:cs="宋体"/>
                <w:sz w:val="20"/>
              </w:rPr>
              <w:t xml:space="preserve">    答:德国子公司作为桥梁能更好地把握欧洲本土市场需求，墨西哥工厂则扮演了制造基地的角色，实现国际客户更快的交付速度和成本控制，关于公司客户拓展情况请参阅公司定期报告，感谢您的提问。</w:t>
            </w:r>
            <w:r>
              <w:rPr>
                <w:rFonts w:ascii="宋体" w:eastAsia="宋体" w:hAnsi="宋体" w:cs="宋体"/>
                <w:sz w:val="20"/>
              </w:rPr>
              <w:br/>
            </w:r>
            <w:r>
              <w:rPr>
                <w:rFonts w:ascii="宋体" w:eastAsia="宋体" w:hAnsi="宋体" w:cs="宋体"/>
                <w:b/>
                <w:sz w:val="20"/>
              </w:rPr>
              <w:t xml:space="preserve">    </w:t>
            </w:r>
            <w:r w:rsidR="00723E73">
              <w:rPr>
                <w:rFonts w:ascii="宋体" w:eastAsia="宋体" w:hAnsi="宋体" w:cs="宋体"/>
                <w:b/>
                <w:sz w:val="20"/>
              </w:rPr>
              <w:t>6</w:t>
            </w:r>
            <w:r>
              <w:rPr>
                <w:rFonts w:ascii="宋体" w:eastAsia="宋体" w:hAnsi="宋体" w:cs="宋体"/>
                <w:b/>
                <w:sz w:val="20"/>
              </w:rPr>
              <w:t>.公司后续市值管理措施有哪些？</w:t>
            </w:r>
            <w:r>
              <w:rPr>
                <w:rFonts w:ascii="宋体" w:eastAsia="宋体" w:hAnsi="宋体" w:cs="宋体"/>
                <w:b/>
                <w:sz w:val="20"/>
              </w:rPr>
              <w:br/>
            </w:r>
            <w:r>
              <w:rPr>
                <w:rFonts w:ascii="宋体" w:eastAsia="宋体" w:hAnsi="宋体" w:cs="宋体"/>
                <w:sz w:val="20"/>
              </w:rPr>
              <w:t xml:space="preserve">    答:公司关注股票二级市场表现，相关举措请以公司公告为准，感谢您的提问。</w:t>
            </w:r>
            <w:r>
              <w:rPr>
                <w:rFonts w:ascii="宋体" w:eastAsia="宋体" w:hAnsi="宋体" w:cs="宋体"/>
                <w:sz w:val="20"/>
              </w:rPr>
              <w:br/>
            </w:r>
            <w:r>
              <w:rPr>
                <w:rFonts w:ascii="宋体" w:eastAsia="宋体" w:hAnsi="宋体" w:cs="宋体"/>
                <w:b/>
                <w:sz w:val="20"/>
              </w:rPr>
              <w:t xml:space="preserve">    </w:t>
            </w:r>
            <w:r w:rsidR="00723E73">
              <w:rPr>
                <w:rFonts w:ascii="宋体" w:eastAsia="宋体" w:hAnsi="宋体" w:cs="宋体"/>
                <w:b/>
                <w:sz w:val="20"/>
              </w:rPr>
              <w:t>7</w:t>
            </w:r>
            <w:r>
              <w:rPr>
                <w:rFonts w:ascii="宋体" w:eastAsia="宋体" w:hAnsi="宋体" w:cs="宋体"/>
                <w:b/>
                <w:sz w:val="20"/>
              </w:rPr>
              <w:t>.2026年是否维持高分红？</w:t>
            </w:r>
            <w:r>
              <w:rPr>
                <w:rFonts w:ascii="宋体" w:eastAsia="宋体" w:hAnsi="宋体" w:cs="宋体"/>
                <w:b/>
                <w:sz w:val="20"/>
              </w:rPr>
              <w:br/>
            </w:r>
            <w:r>
              <w:rPr>
                <w:rFonts w:ascii="宋体" w:eastAsia="宋体" w:hAnsi="宋体" w:cs="宋体"/>
                <w:sz w:val="20"/>
              </w:rPr>
              <w:t xml:space="preserve">    答:公司分红计划请以公司公告为准，感谢您的提问。</w:t>
            </w:r>
          </w:p>
        </w:tc>
      </w:tr>
      <w:tr w:rsidR="0053152C" w14:paraId="0445F724" w14:textId="77777777">
        <w:trPr>
          <w:trHeight w:val="999"/>
          <w:jc w:val="center"/>
        </w:trPr>
        <w:tc>
          <w:tcPr>
            <w:tcW w:w="2580" w:type="dxa"/>
            <w:vAlign w:val="center"/>
          </w:tcPr>
          <w:p w14:paraId="4FA2BF84" w14:textId="77777777" w:rsidR="0053152C" w:rsidRDefault="004B520C">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0B1952F7" w14:textId="77777777" w:rsidR="0053152C" w:rsidRDefault="004B520C">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40E7AA82" w14:textId="77777777" w:rsidR="0053152C" w:rsidRDefault="004B520C">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53152C" w14:paraId="09449903" w14:textId="77777777">
        <w:trPr>
          <w:trHeight w:val="558"/>
          <w:jc w:val="center"/>
        </w:trPr>
        <w:tc>
          <w:tcPr>
            <w:tcW w:w="2580" w:type="dxa"/>
            <w:vAlign w:val="center"/>
          </w:tcPr>
          <w:p w14:paraId="6866B061" w14:textId="77777777" w:rsidR="0053152C" w:rsidRDefault="004B520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01876560" w14:textId="77777777" w:rsidR="0053152C" w:rsidRDefault="0053152C">
            <w:pPr>
              <w:pStyle w:val="TableParagraph"/>
              <w:spacing w:before="100" w:beforeAutospacing="1" w:line="360" w:lineRule="auto"/>
              <w:rPr>
                <w:rFonts w:ascii="宋体" w:eastAsia="宋体" w:hAnsi="宋体" w:cs="宋体"/>
                <w:sz w:val="20"/>
                <w:szCs w:val="20"/>
              </w:rPr>
            </w:pPr>
            <w:bookmarkStart w:id="0" w:name="_GoBack"/>
            <w:bookmarkEnd w:id="0"/>
          </w:p>
        </w:tc>
      </w:tr>
      <w:tr w:rsidR="0053152C" w14:paraId="440DDBAF" w14:textId="77777777">
        <w:trPr>
          <w:trHeight w:val="558"/>
          <w:jc w:val="center"/>
        </w:trPr>
        <w:tc>
          <w:tcPr>
            <w:tcW w:w="2580" w:type="dxa"/>
            <w:vAlign w:val="center"/>
          </w:tcPr>
          <w:p w14:paraId="398C18CA" w14:textId="77777777" w:rsidR="0053152C" w:rsidRDefault="004B520C">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0F9D4863" w14:textId="77777777" w:rsidR="0053152C" w:rsidRDefault="004B520C">
            <w:pPr>
              <w:pStyle w:val="TableParagraph"/>
              <w:spacing w:before="100" w:beforeAutospacing="1"/>
              <w:rPr>
                <w:rFonts w:ascii="宋体" w:eastAsia="宋体" w:hAnsi="宋体" w:cs="宋体"/>
                <w:sz w:val="20"/>
                <w:szCs w:val="20"/>
              </w:rPr>
            </w:pPr>
            <w:r>
              <w:rPr>
                <w:rFonts w:ascii="宋体" w:eastAsia="宋体" w:hAnsi="宋体" w:cs="宋体"/>
                <w:sz w:val="20"/>
                <w:szCs w:val="20"/>
              </w:rPr>
              <w:t>2026年05月22日</w:t>
            </w:r>
          </w:p>
        </w:tc>
      </w:tr>
    </w:tbl>
    <w:p w14:paraId="732F9303" w14:textId="77777777" w:rsidR="0053152C" w:rsidRDefault="0053152C">
      <w:pPr>
        <w:rPr>
          <w:rFonts w:ascii="宋体" w:eastAsia="宋体" w:hAnsi="宋体" w:cs="宋体"/>
          <w:sz w:val="28"/>
          <w:szCs w:val="36"/>
        </w:rPr>
      </w:pPr>
    </w:p>
    <w:sectPr w:rsidR="0053152C">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47C3E" w14:textId="77777777" w:rsidR="00782377" w:rsidRDefault="00782377" w:rsidP="00723E73">
      <w:r>
        <w:separator/>
      </w:r>
    </w:p>
  </w:endnote>
  <w:endnote w:type="continuationSeparator" w:id="0">
    <w:p w14:paraId="3BB76BB2" w14:textId="77777777" w:rsidR="00782377" w:rsidRDefault="00782377" w:rsidP="0072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BBFA" w14:textId="77777777" w:rsidR="00782377" w:rsidRDefault="00782377" w:rsidP="00723E73">
      <w:r>
        <w:separator/>
      </w:r>
    </w:p>
  </w:footnote>
  <w:footnote w:type="continuationSeparator" w:id="0">
    <w:p w14:paraId="43DCA179" w14:textId="77777777" w:rsidR="00782377" w:rsidRDefault="00782377" w:rsidP="00723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B520C"/>
    <w:rsid w:val="004F6FF3"/>
    <w:rsid w:val="0053152C"/>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3E73"/>
    <w:rsid w:val="00724A68"/>
    <w:rsid w:val="007271BF"/>
    <w:rsid w:val="00730DD3"/>
    <w:rsid w:val="00733224"/>
    <w:rsid w:val="00764128"/>
    <w:rsid w:val="00782377"/>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DF33B7"/>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851C40"/>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66D9E"/>
  <w15:docId w15:val="{E4E38F95-C130-4780-8A8D-45026CC0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87CE8-2DC0-4620-ABF1-5CE9BCEF1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喻会</cp:lastModifiedBy>
  <cp:revision>10</cp:revision>
  <dcterms:created xsi:type="dcterms:W3CDTF">2022-04-12T06:10:00Z</dcterms:created>
  <dcterms:modified xsi:type="dcterms:W3CDTF">2026-05-25T07:52:00Z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eyJoZGlkIjoiOGM5NTU1N2RhMWY0YTA0NTk3MGY0YjY5ODdkZWVlM2UiLCJ1c2VySWQiOiIyNDU4NTQzMjEifQ==</vt:lpwstr>
  </property>
</Properties>
</file>