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446A">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88709                                            证券简称：</w:t>
      </w:r>
      <w:r>
        <w:rPr>
          <w:rFonts w:hint="eastAsia"/>
          <w:bCs/>
          <w:iCs/>
          <w:color w:val="000000"/>
        </w:rPr>
        <w:t>成都华微</w:t>
      </w:r>
    </w:p>
    <w:p w14:paraId="2F9C29DF">
      <w:pPr>
        <w:spacing w:before="163" w:before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成都华微电子科技股份有限公司</w:t>
      </w:r>
    </w:p>
    <w:p w14:paraId="74AA28C7">
      <w:pPr>
        <w:spacing w:after="163" w:after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投资者关系活动记录表</w:t>
      </w:r>
    </w:p>
    <w:p w14:paraId="2BAFC062">
      <w:pPr>
        <w:spacing w:line="400" w:lineRule="exact"/>
        <w:ind w:firstLine="480"/>
        <w:rPr>
          <w:rFonts w:ascii="宋体" w:hAnsi="宋体"/>
          <w:bCs/>
          <w:iCs/>
          <w:color w:val="000000"/>
        </w:rPr>
      </w:pPr>
      <w:r>
        <w:rPr>
          <w:rFonts w:hint="eastAsia" w:ascii="宋体" w:hAnsi="宋体"/>
          <w:bCs/>
          <w:iCs/>
          <w:color w:val="000000"/>
        </w:rPr>
        <w:t xml:space="preserve">                                                         编号：2</w:t>
      </w:r>
      <w:r>
        <w:rPr>
          <w:rFonts w:ascii="宋体" w:hAnsi="宋体"/>
          <w:bCs/>
          <w:iCs/>
          <w:color w:val="000000"/>
        </w:rPr>
        <w:t>02</w:t>
      </w:r>
      <w:r>
        <w:rPr>
          <w:rFonts w:hint="eastAsia" w:ascii="宋体" w:hAnsi="宋体"/>
          <w:bCs/>
          <w:iCs/>
          <w:color w:val="000000"/>
        </w:rPr>
        <w:t>6</w:t>
      </w:r>
      <w:r>
        <w:rPr>
          <w:rFonts w:ascii="宋体" w:hAnsi="宋体"/>
          <w:bCs/>
          <w:iCs/>
          <w:color w:val="000000"/>
        </w:rPr>
        <w:t>-00</w:t>
      </w:r>
      <w:r>
        <w:rPr>
          <w:rFonts w:hint="eastAsia" w:ascii="宋体" w:hAnsi="宋体"/>
          <w:bCs/>
          <w:iCs/>
          <w:color w:val="000000"/>
        </w:rPr>
        <w:t>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585"/>
      </w:tblGrid>
      <w:tr w14:paraId="69B8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3290BCF">
            <w:pPr>
              <w:ind w:firstLine="0" w:firstLineChars="0"/>
              <w:rPr>
                <w:rFonts w:ascii="宋体" w:hAnsi="宋体"/>
                <w:bCs/>
                <w:iCs/>
                <w:color w:val="000000"/>
              </w:rPr>
            </w:pPr>
            <w:r>
              <w:rPr>
                <w:rFonts w:hint="eastAsia" w:ascii="宋体" w:hAnsi="宋体"/>
                <w:bCs/>
                <w:iCs/>
                <w:color w:val="000000"/>
              </w:rPr>
              <w:t>投资者关系活动类别</w:t>
            </w:r>
          </w:p>
          <w:p w14:paraId="673B27CB">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561701C1">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特定对象调研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分析师会议</w:t>
            </w:r>
          </w:p>
          <w:p w14:paraId="4C9CAF10">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业绩说明会</w:t>
            </w:r>
          </w:p>
          <w:p w14:paraId="42B78E31">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路演活动</w:t>
            </w:r>
          </w:p>
          <w:p w14:paraId="241C9F7F">
            <w:pPr>
              <w:tabs>
                <w:tab w:val="left" w:pos="3045"/>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现场参观</w:t>
            </w:r>
            <w:r>
              <w:rPr>
                <w:rFonts w:hint="eastAsia" w:ascii="宋体" w:hAnsi="宋体"/>
                <w:bCs/>
                <w:iCs/>
                <w:color w:val="000000"/>
              </w:rPr>
              <w:tab/>
            </w:r>
          </w:p>
          <w:p w14:paraId="48A8D738">
            <w:pPr>
              <w:tabs>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其他 （</w:t>
            </w:r>
            <w:r>
              <w:rPr>
                <w:rFonts w:hint="eastAsia" w:ascii="宋体" w:hAnsi="宋体"/>
                <w:u w:val="single"/>
              </w:rPr>
              <w:t>请文字说明其他活动内容）</w:t>
            </w:r>
          </w:p>
        </w:tc>
      </w:tr>
      <w:tr w14:paraId="7158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ABBA200">
            <w:pPr>
              <w:ind w:firstLine="0" w:firstLineChars="0"/>
              <w:rPr>
                <w:rFonts w:ascii="宋体" w:hAnsi="宋体"/>
                <w:bCs/>
                <w:iCs/>
                <w:color w:val="000000"/>
              </w:rPr>
            </w:pPr>
            <w:r>
              <w:rPr>
                <w:rFonts w:hint="eastAsia" w:ascii="宋体" w:hAnsi="宋体"/>
                <w:bCs/>
                <w:iCs/>
                <w:color w:val="000000"/>
              </w:rPr>
              <w:t>参与单位名称及人员姓名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326D5596">
            <w:pPr>
              <w:spacing w:line="480" w:lineRule="atLeast"/>
              <w:ind w:firstLine="0" w:firstLineChars="0"/>
              <w:rPr>
                <w:rFonts w:ascii="宋体" w:hAnsi="宋体"/>
                <w:bCs/>
                <w:iCs/>
                <w:color w:val="000000"/>
              </w:rPr>
            </w:pPr>
            <w:r>
              <w:rPr>
                <w:rFonts w:ascii="宋体" w:hAnsi="宋体"/>
                <w:bCs/>
                <w:iCs/>
                <w:color w:val="000000"/>
              </w:rPr>
              <w:t>投资者网上提问</w:t>
            </w:r>
          </w:p>
        </w:tc>
      </w:tr>
      <w:tr w14:paraId="47B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82E0C59">
            <w:pPr>
              <w:ind w:firstLine="0" w:firstLineChars="0"/>
              <w:rPr>
                <w:rFonts w:ascii="宋体" w:hAnsi="宋体"/>
                <w:bCs/>
                <w:iCs/>
                <w:color w:val="000000"/>
              </w:rPr>
            </w:pPr>
            <w:r>
              <w:rPr>
                <w:rFonts w:hint="eastAsia" w:ascii="宋体" w:hAnsi="宋体"/>
                <w:bCs/>
                <w:iCs/>
                <w:color w:val="000000"/>
              </w:rPr>
              <w:t>时间</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3FFCED98">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w:t>
            </w:r>
            <w:r>
              <w:rPr>
                <w:rFonts w:hint="eastAsia" w:ascii="宋体" w:hAnsi="宋体"/>
                <w:bCs/>
                <w:iCs/>
                <w:color w:val="000000"/>
              </w:rPr>
              <w:t>6</w:t>
            </w:r>
            <w:r>
              <w:rPr>
                <w:rFonts w:ascii="宋体" w:hAnsi="宋体"/>
                <w:bCs/>
                <w:iCs/>
                <w:color w:val="000000"/>
              </w:rPr>
              <w:t>年</w:t>
            </w:r>
            <w:r>
              <w:rPr>
                <w:rFonts w:hint="eastAsia" w:ascii="宋体" w:hAnsi="宋体"/>
                <w:bCs/>
                <w:iCs/>
                <w:color w:val="000000"/>
              </w:rPr>
              <w:t xml:space="preserve">5月25日 </w:t>
            </w:r>
            <w:r>
              <w:rPr>
                <w:rFonts w:ascii="宋体" w:hAnsi="宋体"/>
                <w:bCs/>
                <w:iCs/>
                <w:color w:val="000000"/>
              </w:rPr>
              <w:t>11:00-12:00</w:t>
            </w:r>
          </w:p>
        </w:tc>
      </w:tr>
      <w:tr w14:paraId="3C24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9CAD074">
            <w:pPr>
              <w:ind w:firstLine="0" w:firstLineChars="0"/>
              <w:rPr>
                <w:rFonts w:ascii="宋体" w:hAnsi="宋体"/>
                <w:bCs/>
                <w:iCs/>
                <w:color w:val="000000"/>
              </w:rPr>
            </w:pPr>
            <w:r>
              <w:rPr>
                <w:rFonts w:hint="eastAsia" w:ascii="宋体" w:hAnsi="宋体"/>
                <w:bCs/>
                <w:iCs/>
                <w:color w:val="000000"/>
              </w:rPr>
              <w:t>地点</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4FF086E0">
            <w:pPr>
              <w:spacing w:line="240" w:lineRule="auto"/>
              <w:ind w:firstLine="0" w:firstLineChars="0"/>
              <w:rPr>
                <w:rFonts w:ascii="宋体" w:hAnsi="宋体"/>
                <w:bCs/>
                <w:iCs/>
                <w:color w:val="000000"/>
              </w:rPr>
            </w:pPr>
            <w:r>
              <w:rPr>
                <w:rFonts w:hint="eastAsia" w:ascii="宋体" w:hAnsi="宋体"/>
                <w:bCs/>
                <w:iCs/>
                <w:color w:val="000000"/>
              </w:rPr>
              <w:t>上海证券交易所上证路演中心</w:t>
            </w:r>
          </w:p>
        </w:tc>
      </w:tr>
      <w:tr w14:paraId="56DE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C4B0570">
            <w:pPr>
              <w:ind w:firstLine="0" w:firstLineChars="0"/>
              <w:rPr>
                <w:rFonts w:ascii="宋体" w:hAnsi="宋体"/>
                <w:bCs/>
                <w:iCs/>
                <w:color w:val="000000"/>
              </w:rPr>
            </w:pPr>
            <w:r>
              <w:rPr>
                <w:rFonts w:hint="eastAsia" w:ascii="宋体" w:hAnsi="宋体"/>
                <w:bCs/>
                <w:iCs/>
                <w:color w:val="000000"/>
              </w:rPr>
              <w:t>上市公司接待人员姓名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648F5C1A">
            <w:pPr>
              <w:spacing w:line="480" w:lineRule="atLeast"/>
              <w:ind w:firstLine="0" w:firstLineChars="0"/>
              <w:rPr>
                <w:rFonts w:ascii="宋体" w:hAnsi="宋体"/>
                <w:bCs/>
                <w:iCs/>
                <w:color w:val="000000"/>
              </w:rPr>
            </w:pPr>
            <w:r>
              <w:rPr>
                <w:rFonts w:hint="eastAsia" w:ascii="宋体" w:hAnsi="宋体"/>
                <w:bCs/>
                <w:iCs/>
                <w:color w:val="000000"/>
              </w:rPr>
              <w:t>董事兼总经理王策先生、独立董事贺正生先生、总会计师刘永生先生、董事会秘书李春妍女士</w:t>
            </w:r>
          </w:p>
        </w:tc>
      </w:tr>
      <w:tr w14:paraId="1EF8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B779445">
            <w:pPr>
              <w:ind w:firstLine="0" w:firstLineChars="0"/>
              <w:rPr>
                <w:rFonts w:ascii="宋体" w:hAnsi="宋体"/>
                <w:bCs/>
                <w:iCs/>
                <w:color w:val="000000"/>
              </w:rPr>
            </w:pPr>
            <w:r>
              <w:rPr>
                <w:rFonts w:hint="eastAsia" w:ascii="宋体" w:hAnsi="宋体"/>
                <w:bCs/>
                <w:iCs/>
                <w:color w:val="000000"/>
              </w:rPr>
              <w:t>投资者关系活动主要内容介绍</w:t>
            </w:r>
          </w:p>
          <w:p w14:paraId="3B41685D">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3156ECDF">
            <w:pPr>
              <w:widowControl/>
              <w:spacing w:line="480" w:lineRule="atLeast"/>
              <w:ind w:firstLine="482"/>
              <w:jc w:val="left"/>
              <w:rPr>
                <w:rFonts w:ascii="宋体" w:hAnsi="宋体"/>
                <w:b/>
                <w:bCs/>
                <w:iCs/>
                <w:color w:val="000000"/>
              </w:rPr>
            </w:pPr>
            <w:r>
              <w:rPr>
                <w:rFonts w:hint="eastAsia" w:ascii="宋体" w:hAnsi="宋体"/>
                <w:b/>
                <w:bCs/>
                <w:iCs/>
                <w:color w:val="000000"/>
              </w:rPr>
              <w:t>1</w:t>
            </w:r>
            <w:r>
              <w:rPr>
                <w:rFonts w:ascii="宋体" w:hAnsi="宋体"/>
                <w:b/>
                <w:bCs/>
                <w:iCs/>
                <w:color w:val="000000"/>
              </w:rPr>
              <w:t>.</w:t>
            </w:r>
            <w:r>
              <w:rPr>
                <w:rFonts w:hint="eastAsia" w:ascii="宋体" w:hAnsi="宋体"/>
                <w:b/>
                <w:bCs/>
                <w:iCs/>
                <w:color w:val="000000"/>
              </w:rPr>
              <w:t>成都华微的芯片产品，可用于光通信系统，现在有意向客户或是在客户那开始进行验证了吗？</w:t>
            </w:r>
          </w:p>
          <w:p w14:paraId="5ECC5CA0">
            <w:pPr>
              <w:widowControl/>
              <w:spacing w:line="480" w:lineRule="atLeast"/>
              <w:ind w:firstLine="480"/>
              <w:jc w:val="left"/>
              <w:rPr>
                <w:rFonts w:ascii="宋体" w:hAnsi="宋体"/>
                <w:iCs/>
                <w:color w:val="000000"/>
              </w:rPr>
            </w:pPr>
            <w:r>
              <w:rPr>
                <w:rFonts w:hint="eastAsia" w:ascii="宋体" w:hAnsi="宋体"/>
                <w:iCs/>
                <w:color w:val="000000"/>
              </w:rPr>
              <w:t>尊敬的投资者，您好！公司近期发布的128GSPS超高速ADC芯片（CSD10B128GA1）可支持Ka波段射频直采，输入带宽达37GHz，其核心特性与光通信系统（OCS）需求高度契合。从技术角度上看，该芯片及公司其他高速ADC产品（如HWD08B64GA1系列）可应用于OCS光学通信系统，可满足800G/1.6T等高速光模块的超宽带信号采集需求，通过简化混频链路提升系统性能。该事项对公司生产经营不具有重大影响，敬请广大投资者注意投资风险。感谢您的关注！</w:t>
            </w:r>
          </w:p>
          <w:p w14:paraId="17D24E11">
            <w:pPr>
              <w:widowControl/>
              <w:spacing w:line="480" w:lineRule="atLeast"/>
              <w:ind w:firstLine="482"/>
              <w:jc w:val="left"/>
              <w:rPr>
                <w:rFonts w:ascii="宋体" w:hAnsi="宋体"/>
                <w:b/>
                <w:bCs/>
                <w:iCs/>
                <w:color w:val="000000"/>
              </w:rPr>
            </w:pPr>
            <w:r>
              <w:rPr>
                <w:rFonts w:hint="eastAsia" w:ascii="宋体" w:hAnsi="宋体"/>
                <w:b/>
                <w:bCs/>
                <w:iCs/>
                <w:color w:val="000000"/>
              </w:rPr>
              <w:t>2</w:t>
            </w:r>
            <w:r>
              <w:rPr>
                <w:rFonts w:ascii="宋体" w:hAnsi="宋体"/>
                <w:b/>
                <w:bCs/>
                <w:iCs/>
                <w:color w:val="000000"/>
              </w:rPr>
              <w:t>.</w:t>
            </w:r>
            <w:r>
              <w:rPr>
                <w:rFonts w:hint="eastAsia" w:ascii="宋体" w:hAnsi="宋体"/>
                <w:b/>
                <w:bCs/>
                <w:iCs/>
                <w:color w:val="000000"/>
              </w:rPr>
              <w:t>最近公司各种展会、推销密集，请问效果如何？</w:t>
            </w:r>
          </w:p>
          <w:p w14:paraId="23A07F15">
            <w:pPr>
              <w:widowControl/>
              <w:spacing w:line="480" w:lineRule="atLeast"/>
              <w:ind w:firstLine="480"/>
              <w:jc w:val="left"/>
              <w:rPr>
                <w:rFonts w:ascii="宋体" w:hAnsi="宋体"/>
                <w:bCs/>
                <w:iCs/>
                <w:color w:val="000000"/>
              </w:rPr>
            </w:pPr>
            <w:r>
              <w:rPr>
                <w:rFonts w:hint="eastAsia" w:ascii="宋体" w:hAnsi="宋体"/>
                <w:bCs/>
                <w:iCs/>
                <w:color w:val="000000"/>
              </w:rPr>
              <w:t>尊敬的投资者，您好！公司始终持续优化经营，通过技术研发和市场拓展提升长期价值。公司将严格遵循信息披露规定，在达到披露标准后及时公告。未来将加强投资者沟通，用扎实业绩回报信任。感谢您的关注!</w:t>
            </w:r>
          </w:p>
          <w:p w14:paraId="5AC0C1EE">
            <w:pPr>
              <w:widowControl/>
              <w:spacing w:line="480" w:lineRule="atLeast"/>
              <w:ind w:firstLine="482"/>
              <w:jc w:val="left"/>
              <w:rPr>
                <w:rFonts w:ascii="宋体" w:hAnsi="宋体"/>
                <w:b/>
                <w:bCs/>
                <w:iCs/>
                <w:color w:val="000000"/>
              </w:rPr>
            </w:pPr>
            <w:r>
              <w:rPr>
                <w:rFonts w:hint="eastAsia" w:ascii="宋体" w:hAnsi="宋体"/>
                <w:b/>
                <w:bCs/>
                <w:iCs/>
                <w:color w:val="000000"/>
              </w:rPr>
              <w:t>3</w:t>
            </w:r>
            <w:r>
              <w:rPr>
                <w:rFonts w:ascii="宋体" w:hAnsi="宋体"/>
                <w:b/>
                <w:bCs/>
                <w:iCs/>
                <w:color w:val="000000"/>
              </w:rPr>
              <w:t>.</w:t>
            </w:r>
            <w:r>
              <w:rPr>
                <w:rFonts w:hint="eastAsia" w:ascii="宋体" w:hAnsi="宋体"/>
                <w:b/>
                <w:bCs/>
                <w:iCs/>
                <w:color w:val="000000"/>
              </w:rPr>
              <w:t>请问王总经理，成都华微为了经营绩效改善，扭亏为盈，做了和准备做哪些工作？取得了什么效果？</w:t>
            </w:r>
          </w:p>
          <w:p w14:paraId="005C540D">
            <w:pPr>
              <w:widowControl/>
              <w:spacing w:line="480" w:lineRule="atLeast"/>
              <w:ind w:firstLine="480"/>
              <w:jc w:val="left"/>
              <w:rPr>
                <w:rFonts w:ascii="宋体" w:hAnsi="宋体"/>
                <w:iCs/>
                <w:color w:val="000000"/>
              </w:rPr>
            </w:pPr>
            <w:r>
              <w:rPr>
                <w:rFonts w:hint="eastAsia" w:ascii="宋体" w:hAnsi="宋体"/>
                <w:iCs/>
                <w:color w:val="000000"/>
              </w:rPr>
              <w:t>尊敬的投资者，您好！公司始终坚守主业，扎实做好经营管理、降本增效与市场拓展工作，全力以赴提升经营业绩，以持续稳健的发展夯实公司价值，切实维护全体股东长远利益。公司主要采取的经营举措包括如下方面：</w:t>
            </w:r>
          </w:p>
          <w:p w14:paraId="2FA9CE4C">
            <w:pPr>
              <w:widowControl/>
              <w:spacing w:line="480" w:lineRule="atLeast"/>
              <w:ind w:firstLine="480"/>
              <w:jc w:val="left"/>
              <w:rPr>
                <w:rFonts w:ascii="宋体" w:hAnsi="宋体"/>
                <w:iCs/>
                <w:color w:val="000000"/>
              </w:rPr>
            </w:pPr>
            <w:r>
              <w:rPr>
                <w:rFonts w:hint="eastAsia" w:ascii="宋体" w:hAnsi="宋体"/>
                <w:iCs/>
                <w:color w:val="000000"/>
              </w:rPr>
              <w:t>1.重视研发投入，持续推进产品技术的研发与储备</w:t>
            </w:r>
          </w:p>
          <w:p w14:paraId="310273DF">
            <w:pPr>
              <w:widowControl/>
              <w:spacing w:line="480" w:lineRule="atLeast"/>
              <w:ind w:firstLine="480"/>
              <w:jc w:val="left"/>
              <w:rPr>
                <w:rFonts w:ascii="宋体" w:hAnsi="宋体"/>
                <w:iCs/>
                <w:color w:val="000000"/>
              </w:rPr>
            </w:pPr>
            <w:r>
              <w:rPr>
                <w:rFonts w:hint="eastAsia" w:ascii="宋体" w:hAnsi="宋体"/>
                <w:iCs/>
                <w:color w:val="000000"/>
              </w:rPr>
              <w:t>公司深耕特种集成电路领域，建立了完善的研发体系，高度重视对产品及技术的研发投入，形成了一系列具有自主知识产权的核心技术成果，拥有多项发明专利、集成电路布图设计权、软件著作权等，整体技术储备位于特种集成电路设计行业第一梯队，核心产品CPLD/FPGA、高速高精度ADC以及高精度ADC处于国内领先地位。成立TSN研发中心并推出TSN网络交换板卡产品。目前公司已形成逻辑芯片、模拟芯片、存储芯片、微控制器、时间敏感网络等多系列集成电路产品，具备为客户提供集成电路综合解决方案的能力。</w:t>
            </w:r>
          </w:p>
          <w:p w14:paraId="42948D0B">
            <w:pPr>
              <w:widowControl/>
              <w:spacing w:line="480" w:lineRule="atLeast"/>
              <w:ind w:firstLine="480"/>
              <w:jc w:val="left"/>
              <w:rPr>
                <w:rFonts w:ascii="宋体" w:hAnsi="宋体"/>
                <w:iCs/>
                <w:color w:val="000000"/>
              </w:rPr>
            </w:pPr>
            <w:r>
              <w:rPr>
                <w:rFonts w:hint="eastAsia" w:ascii="宋体" w:hAnsi="宋体"/>
                <w:iCs/>
                <w:color w:val="000000"/>
              </w:rPr>
              <w:t>2.全面深耕行业，深入开拓市场与客户资源</w:t>
            </w:r>
          </w:p>
          <w:p w14:paraId="72B13CB1">
            <w:pPr>
              <w:widowControl/>
              <w:spacing w:line="480" w:lineRule="atLeast"/>
              <w:ind w:firstLine="480"/>
              <w:jc w:val="left"/>
              <w:rPr>
                <w:rFonts w:ascii="宋体" w:hAnsi="宋体"/>
                <w:iCs/>
                <w:color w:val="000000"/>
              </w:rPr>
            </w:pPr>
            <w:r>
              <w:rPr>
                <w:rFonts w:hint="eastAsia" w:ascii="宋体" w:hAnsi="宋体"/>
                <w:iCs/>
                <w:color w:val="000000"/>
              </w:rPr>
              <w:t>公司大力加强营销网络的建设，建立了具备丰富专业背景的技术支持团队，可以协助客户进行产品的技术验证及应用支持，并与研发部门协同合作深入了解客户需求，进而推动公司新产品及技术研发。同时，公司不断优化市场战略布局，推进业务多领域融合发展，市场版图得到有效拓展。</w:t>
            </w:r>
          </w:p>
          <w:p w14:paraId="5E0C306D">
            <w:pPr>
              <w:widowControl/>
              <w:spacing w:line="480" w:lineRule="atLeast"/>
              <w:ind w:firstLine="480"/>
              <w:jc w:val="left"/>
              <w:rPr>
                <w:rFonts w:ascii="宋体" w:hAnsi="宋体"/>
                <w:iCs/>
                <w:color w:val="000000"/>
              </w:rPr>
            </w:pPr>
            <w:r>
              <w:rPr>
                <w:rFonts w:hint="eastAsia" w:ascii="宋体" w:hAnsi="宋体"/>
                <w:iCs/>
                <w:color w:val="000000"/>
              </w:rPr>
              <w:t>3.积极引入人才，打造核心竞争力</w:t>
            </w:r>
          </w:p>
          <w:p w14:paraId="79B09388">
            <w:pPr>
              <w:widowControl/>
              <w:spacing w:line="480" w:lineRule="atLeast"/>
              <w:ind w:firstLine="480"/>
              <w:jc w:val="left"/>
              <w:rPr>
                <w:rFonts w:ascii="宋体" w:hAnsi="宋体"/>
                <w:iCs/>
                <w:color w:val="000000"/>
              </w:rPr>
            </w:pPr>
            <w:r>
              <w:rPr>
                <w:rFonts w:hint="eastAsia" w:ascii="宋体" w:hAnsi="宋体"/>
                <w:iCs/>
                <w:color w:val="000000"/>
              </w:rPr>
              <w:t>公司深刻意识到研发人员是公司持续创新的第一生产力，不断优化人才福利待遇，结合自身所处阶段和行业特点，制定了具有竞争力的薪酬体系，辅以完善的内部人才选拔及晋升机制，充分调动员工的积极性和创造性。同时，公司不断加大对后备人才的培养和投入，与电子科技大学、西安电子科技大学、兰州大学等高等院校建立了良好的合作与交流，以进一步增强企业的后备技术力量。</w:t>
            </w:r>
          </w:p>
          <w:p w14:paraId="2C532C35">
            <w:pPr>
              <w:widowControl/>
              <w:spacing w:line="480" w:lineRule="atLeast"/>
              <w:ind w:firstLine="480"/>
              <w:jc w:val="left"/>
              <w:rPr>
                <w:rFonts w:ascii="宋体" w:hAnsi="宋体"/>
                <w:iCs/>
                <w:color w:val="000000"/>
              </w:rPr>
            </w:pPr>
            <w:r>
              <w:rPr>
                <w:rFonts w:hint="eastAsia" w:ascii="宋体" w:hAnsi="宋体"/>
                <w:iCs/>
                <w:color w:val="000000"/>
              </w:rPr>
              <w:t>4.强化公司治理，提高经营抗风险能力</w:t>
            </w:r>
          </w:p>
          <w:p w14:paraId="4CC9097A">
            <w:pPr>
              <w:widowControl/>
              <w:spacing w:line="480" w:lineRule="atLeast"/>
              <w:ind w:firstLine="480"/>
              <w:jc w:val="left"/>
              <w:rPr>
                <w:rFonts w:ascii="宋体" w:hAnsi="宋体"/>
                <w:iCs/>
                <w:color w:val="000000"/>
              </w:rPr>
            </w:pPr>
            <w:r>
              <w:rPr>
                <w:rFonts w:hint="eastAsia" w:ascii="宋体" w:hAnsi="宋体"/>
                <w:iCs/>
                <w:color w:val="000000"/>
              </w:rPr>
              <w:t>公司以业务活动为抓手，对采购、销售、工程项目等事项进行全面梳理，按照相互制约、相互监督，同时兼顾运营效率的原则，全面优化业务流程和审批权限，建立健全规章制度，建立了较为完善的内控合规制度及风险管理制度，提升了公司防范经营风险的能力，为公司持续健康发展提供坚实基础。</w:t>
            </w:r>
          </w:p>
          <w:p w14:paraId="6E8A5F94">
            <w:pPr>
              <w:widowControl/>
              <w:spacing w:line="480" w:lineRule="atLeast"/>
              <w:ind w:firstLine="480"/>
              <w:jc w:val="left"/>
              <w:rPr>
                <w:rFonts w:ascii="宋体" w:hAnsi="宋体"/>
                <w:iCs/>
                <w:color w:val="000000"/>
              </w:rPr>
            </w:pPr>
            <w:r>
              <w:rPr>
                <w:rFonts w:hint="eastAsia" w:ascii="宋体" w:hAnsi="宋体"/>
                <w:iCs/>
                <w:color w:val="000000"/>
              </w:rPr>
              <w:t>感谢您的信任与支持！</w:t>
            </w:r>
          </w:p>
          <w:p w14:paraId="19D9AE23">
            <w:pPr>
              <w:widowControl/>
              <w:spacing w:line="480" w:lineRule="atLeast"/>
              <w:ind w:firstLine="482"/>
              <w:jc w:val="left"/>
              <w:rPr>
                <w:rFonts w:ascii="宋体" w:hAnsi="宋体"/>
                <w:b/>
                <w:bCs/>
                <w:iCs/>
                <w:color w:val="000000"/>
              </w:rPr>
            </w:pPr>
            <w:r>
              <w:rPr>
                <w:rFonts w:hint="eastAsia" w:ascii="宋体" w:hAnsi="宋体"/>
                <w:b/>
                <w:bCs/>
                <w:iCs/>
                <w:color w:val="000000"/>
              </w:rPr>
              <w:t>4</w:t>
            </w:r>
            <w:r>
              <w:rPr>
                <w:rFonts w:ascii="宋体" w:hAnsi="宋体"/>
                <w:b/>
                <w:bCs/>
                <w:iCs/>
                <w:color w:val="000000"/>
              </w:rPr>
              <w:t>.</w:t>
            </w:r>
            <w:r>
              <w:rPr>
                <w:rFonts w:hint="eastAsia" w:ascii="宋体" w:hAnsi="宋体"/>
                <w:b/>
                <w:bCs/>
                <w:iCs/>
                <w:color w:val="000000"/>
              </w:rPr>
              <w:t>请展望下二季度及今年和明年的营收及利润趋势？</w:t>
            </w:r>
          </w:p>
          <w:p w14:paraId="3E1FA1DE">
            <w:pPr>
              <w:widowControl/>
              <w:spacing w:line="480" w:lineRule="atLeast"/>
              <w:ind w:firstLine="480"/>
              <w:jc w:val="left"/>
              <w:rPr>
                <w:rFonts w:ascii="宋体" w:hAnsi="宋体"/>
                <w:iCs/>
                <w:color w:val="000000"/>
              </w:rPr>
            </w:pPr>
            <w:r>
              <w:rPr>
                <w:rFonts w:hint="eastAsia" w:ascii="宋体" w:hAnsi="宋体"/>
                <w:iCs/>
                <w:color w:val="000000"/>
              </w:rPr>
              <w:t>尊敬的投资者，您好！公司始终坚守主业，扎实做好经营管理、降本增效与市场拓展工作，全力以赴提升经营业绩，以持续稳健的发展夯实公司价值，切实维护全体股东长远利益。二季度及往后定期报告业绩情况请届时查阅公司相关定期报告。感谢您的关注！</w:t>
            </w:r>
          </w:p>
          <w:p w14:paraId="2270BCBA">
            <w:pPr>
              <w:widowControl/>
              <w:spacing w:line="480" w:lineRule="atLeast"/>
              <w:ind w:firstLine="482"/>
              <w:jc w:val="left"/>
              <w:rPr>
                <w:rFonts w:ascii="宋体" w:hAnsi="宋体"/>
                <w:b/>
                <w:bCs/>
                <w:iCs/>
                <w:color w:val="000000"/>
              </w:rPr>
            </w:pPr>
            <w:r>
              <w:rPr>
                <w:rFonts w:hint="eastAsia" w:ascii="宋体" w:hAnsi="宋体"/>
                <w:b/>
                <w:bCs/>
                <w:iCs/>
                <w:color w:val="000000"/>
              </w:rPr>
              <w:t>5</w:t>
            </w:r>
            <w:r>
              <w:rPr>
                <w:rFonts w:ascii="宋体" w:hAnsi="宋体"/>
                <w:b/>
                <w:bCs/>
                <w:iCs/>
                <w:color w:val="000000"/>
              </w:rPr>
              <w:t>.</w:t>
            </w:r>
            <w:r>
              <w:rPr>
                <w:rFonts w:hint="eastAsia" w:ascii="宋体" w:hAnsi="宋体"/>
                <w:b/>
                <w:bCs/>
                <w:iCs/>
                <w:color w:val="000000"/>
              </w:rPr>
              <w:t>随着800G，1.6T光模块的大规模应用，高速光模块测试设备销量大幅增长，与测试设备对应的高速ADC市场需求旺盛。作为高速ADC国际先进企业，公司是否已进入高速光模块测试设备领域？</w:t>
            </w:r>
          </w:p>
          <w:p w14:paraId="1497C986">
            <w:pPr>
              <w:widowControl/>
              <w:spacing w:line="480" w:lineRule="atLeast"/>
              <w:ind w:firstLine="480"/>
              <w:jc w:val="left"/>
              <w:rPr>
                <w:rFonts w:ascii="宋体" w:hAnsi="宋体"/>
                <w:iCs/>
                <w:color w:val="000000"/>
              </w:rPr>
            </w:pPr>
            <w:r>
              <w:rPr>
                <w:rFonts w:hint="eastAsia" w:ascii="宋体" w:hAnsi="宋体"/>
                <w:iCs/>
                <w:color w:val="000000"/>
              </w:rPr>
              <w:t>尊敬的投资者，您好！公司在高速高精度ADC等领域公司承接了多项国家重点研发计划和科技重大专项并持续深耕，相关ADC产品已达到国际领先技术水平，其产品可广泛用于雷达、商业卫星、电子对抗、无线通信、高端仪器/仪表、无人机等多个领域。公司高速高精度ADC产品指标可满足于高速示波器、半导体制造等高端仪器设备。该事项对公司生产经营不具有重大影响，敬请广大投资者注意投资风险。感谢您的关注！</w:t>
            </w:r>
          </w:p>
          <w:p w14:paraId="1188F733">
            <w:pPr>
              <w:widowControl/>
              <w:spacing w:line="480" w:lineRule="atLeast"/>
              <w:ind w:firstLine="482"/>
              <w:jc w:val="left"/>
              <w:rPr>
                <w:rFonts w:ascii="宋体" w:hAnsi="宋体"/>
                <w:b/>
                <w:bCs/>
                <w:iCs/>
                <w:color w:val="000000"/>
              </w:rPr>
            </w:pPr>
            <w:r>
              <w:rPr>
                <w:rFonts w:hint="eastAsia" w:ascii="宋体" w:hAnsi="宋体"/>
                <w:b/>
                <w:bCs/>
                <w:iCs/>
                <w:color w:val="000000"/>
              </w:rPr>
              <w:t>6</w:t>
            </w:r>
            <w:r>
              <w:rPr>
                <w:rFonts w:ascii="宋体" w:hAnsi="宋体"/>
                <w:b/>
                <w:bCs/>
                <w:iCs/>
                <w:color w:val="000000"/>
              </w:rPr>
              <w:t>.</w:t>
            </w:r>
            <w:r>
              <w:rPr>
                <w:rFonts w:hint="eastAsia" w:ascii="宋体" w:hAnsi="宋体"/>
                <w:b/>
                <w:bCs/>
                <w:iCs/>
                <w:color w:val="000000"/>
              </w:rPr>
              <w:t>在高速高精度ADC领域，公司有哪些打破国外垄断或填补国内空白的产品？</w:t>
            </w:r>
          </w:p>
          <w:p w14:paraId="7EAC4043">
            <w:pPr>
              <w:widowControl/>
              <w:spacing w:line="480" w:lineRule="atLeast"/>
              <w:ind w:firstLine="480"/>
              <w:jc w:val="left"/>
              <w:rPr>
                <w:rFonts w:ascii="宋体" w:hAnsi="宋体"/>
                <w:b/>
                <w:bCs/>
                <w:iCs/>
                <w:color w:val="000000"/>
              </w:rPr>
            </w:pPr>
            <w:r>
              <w:rPr>
                <w:rFonts w:hint="eastAsia" w:ascii="宋体" w:hAnsi="宋体"/>
                <w:iCs/>
                <w:color w:val="000000"/>
              </w:rPr>
              <w:t>尊敬的投资者，您好！公司部分高速高精ADC产品技术指标达到国内领先水平，具体产品情况可查阅公司已披露的定期报告及相关自愿性披露公告。未来公司将持续优化经营，通过技术研发和市场拓展提升长期价值。感谢您的关注！</w:t>
            </w:r>
          </w:p>
          <w:p w14:paraId="30B1CFEA">
            <w:pPr>
              <w:widowControl/>
              <w:spacing w:line="480" w:lineRule="atLeast"/>
              <w:ind w:firstLine="482"/>
              <w:jc w:val="left"/>
              <w:rPr>
                <w:rFonts w:ascii="宋体" w:hAnsi="宋体"/>
                <w:b/>
                <w:bCs/>
                <w:iCs/>
                <w:color w:val="000000"/>
              </w:rPr>
            </w:pPr>
            <w:r>
              <w:rPr>
                <w:rFonts w:hint="eastAsia" w:ascii="宋体" w:hAnsi="宋体"/>
                <w:b/>
                <w:bCs/>
                <w:iCs/>
                <w:color w:val="000000"/>
              </w:rPr>
              <w:t>7</w:t>
            </w:r>
            <w:r>
              <w:rPr>
                <w:rFonts w:ascii="宋体" w:hAnsi="宋体"/>
                <w:b/>
                <w:bCs/>
                <w:iCs/>
                <w:color w:val="000000"/>
              </w:rPr>
              <w:t>.</w:t>
            </w:r>
            <w:r>
              <w:rPr>
                <w:rFonts w:hint="eastAsia" w:ascii="宋体" w:hAnsi="宋体"/>
                <w:b/>
                <w:bCs/>
                <w:iCs/>
                <w:color w:val="000000"/>
              </w:rPr>
              <w:t>公司在人工智能（AI）芯片和智能异构系统（SoC）方面有什么布局和成果？</w:t>
            </w:r>
          </w:p>
          <w:p w14:paraId="009ACAFE">
            <w:pPr>
              <w:widowControl/>
              <w:spacing w:line="480" w:lineRule="atLeast"/>
              <w:ind w:firstLine="480"/>
              <w:jc w:val="left"/>
              <w:rPr>
                <w:rFonts w:ascii="宋体" w:hAnsi="宋体"/>
                <w:bCs/>
                <w:iCs/>
                <w:color w:val="000000"/>
              </w:rPr>
            </w:pPr>
            <w:r>
              <w:rPr>
                <w:rFonts w:hint="eastAsia" w:ascii="宋体" w:hAnsi="宋体"/>
                <w:bCs/>
                <w:iCs/>
                <w:color w:val="000000"/>
              </w:rPr>
              <w:t>尊敬的投资者，您好！公司在2020年启动了人工智能芯片布局，依托国家重点研发计划支撑。目前公司针对CPU+FPGA+NPU架构的智能异构SoC已有扎实技术积累，其中AI算力达16Tops的边缘计算芯片已在特种行业客户中实现小批量试用，更高算力芯片（支持8K视频编解码）尚处于研发过程中；同时，公司多款ADC/DAC、FPGA芯片已可支撑AI数据处理、信号解析等底层硬件需求，为AI应用落地提供核心算力支撑。此外，在AI业务合作方面，（1）公司已与燧原科技签署战略合作协议，携手在大模型、高算力GPU领域展开深度合作，基于公司市场开拓需求，该算力能力可以广泛应用于模型训练、太空算力、端测推理等领域；（2）公司已与具身科技签署战略合作协议，在芯片层面展开深度合作。双方将围绕“大脑”协同与“小脑”攻坚两大方向展开深度技术合作。双方将结合成都华微在高性能SoC、AI加速器、传感器融合等技术优势，与具身科技在运动控制、环境交互方面的算法积累，共同推进智能机器人系统与国产化硬件平台的研发创新，相关业务进展公司将严格遵循信息披露规定。未来公司将结合行业需求与技术优势，稳步拓展AI相关应用场景，兼顾主业深耕与前沿布局的平衡。公司股价受资本市场影响正常波动，敬请投资者理性投资，注意投资风险。感谢您的关注！</w:t>
            </w:r>
          </w:p>
          <w:p w14:paraId="53E3B61A">
            <w:pPr>
              <w:widowControl/>
              <w:spacing w:line="480" w:lineRule="atLeast"/>
              <w:ind w:firstLine="482"/>
              <w:jc w:val="left"/>
              <w:rPr>
                <w:rFonts w:ascii="宋体" w:hAnsi="宋体"/>
                <w:b/>
                <w:bCs/>
                <w:iCs/>
                <w:color w:val="000000"/>
              </w:rPr>
            </w:pPr>
            <w:r>
              <w:rPr>
                <w:rFonts w:hint="eastAsia" w:ascii="宋体" w:hAnsi="宋体"/>
                <w:b/>
                <w:bCs/>
                <w:iCs/>
                <w:color w:val="000000"/>
                <w:lang w:bidi="ar"/>
              </w:rPr>
              <w:t>8.公司高速ADC芯片有往光模块OCS方向发展的吗？公司高速ADC芯片和可编程逻辑芯片在2026年商业航天中能比2025年大幅增长吗？毕竟卫星发射量大幅增长了。</w:t>
            </w:r>
          </w:p>
          <w:p w14:paraId="5372E39E">
            <w:pPr>
              <w:widowControl/>
              <w:spacing w:line="480" w:lineRule="atLeast"/>
              <w:ind w:firstLine="480"/>
              <w:jc w:val="left"/>
              <w:rPr>
                <w:rFonts w:ascii="宋体" w:hAnsi="宋体"/>
                <w:bCs/>
                <w:iCs/>
                <w:color w:val="000000"/>
                <w:lang w:bidi="ar"/>
              </w:rPr>
            </w:pPr>
            <w:r>
              <w:rPr>
                <w:rFonts w:hint="eastAsia" w:ascii="宋体" w:hAnsi="宋体"/>
                <w:bCs/>
                <w:iCs/>
                <w:color w:val="000000"/>
                <w:lang w:bidi="ar"/>
              </w:rPr>
              <w:t>尊敬的投资者，您好！公司近期发布的128GSPS超高速ADC芯片（CSD10B128GA1）可支持Ka波段射频直采，输入带宽达37GHz，其核心特性与光通信系统（OCS）需求高度契合。从技术角度上看，该芯片及公司其他高速ADC产品（如HWD08B64GA1系列）可应用于OCS光学通信系统，可满足800G/1.6T等高速光模块的超宽带信号采集需求，通过简化混频链路提升系统性能。经过多年的市场验证，公司的产品已得到国内特种集成电路行业下游主流厂商的认可，主要客户包括航天科技集团、航天科工集团等，具体经营数据可查阅公司已披露的定期报告。公司高速ADC芯片和可编程逻辑芯片具体经营情况详见公司定期报告，公司将严格按照监管要求履行信息披露义务，相关业务进展请以公司在上海证券交易所官网、指定媒体披露的公告为准。该事项对公司生产经营不具有重大影响，公司股价受资本市场影响正常波动，敬请投资者理性投资，注意投资风险。感谢您的关注！</w:t>
            </w:r>
          </w:p>
          <w:p w14:paraId="34D2AFD6">
            <w:pPr>
              <w:widowControl/>
              <w:spacing w:line="480" w:lineRule="atLeast"/>
              <w:ind w:firstLine="482"/>
              <w:jc w:val="left"/>
              <w:rPr>
                <w:rFonts w:ascii="宋体" w:hAnsi="宋体"/>
                <w:b/>
                <w:bCs/>
                <w:iCs/>
                <w:color w:val="000000"/>
                <w:lang w:bidi="ar"/>
              </w:rPr>
            </w:pPr>
            <w:r>
              <w:rPr>
                <w:rFonts w:hint="eastAsia" w:ascii="宋体" w:hAnsi="宋体"/>
                <w:b/>
                <w:bCs/>
                <w:iCs/>
                <w:color w:val="000000"/>
                <w:lang w:bidi="ar"/>
              </w:rPr>
              <w:t>9.公司可编程逻辑芯片有往民用方向发展，比方说超超算中心，工业自动化有往这个方向发展的意愿吗？或者是说有往这个方向发展的动作吗？</w:t>
            </w:r>
          </w:p>
          <w:p w14:paraId="4B8C2066">
            <w:pPr>
              <w:widowControl/>
              <w:spacing w:line="480" w:lineRule="atLeast"/>
              <w:ind w:firstLine="480"/>
              <w:jc w:val="left"/>
              <w:rPr>
                <w:rFonts w:ascii="宋体" w:hAnsi="宋体"/>
                <w:bCs/>
                <w:iCs/>
                <w:color w:val="000000"/>
                <w:lang w:bidi="ar"/>
              </w:rPr>
            </w:pPr>
            <w:r>
              <w:rPr>
                <w:rFonts w:hint="eastAsia" w:ascii="宋体" w:hAnsi="宋体"/>
                <w:bCs/>
                <w:iCs/>
                <w:color w:val="000000"/>
                <w:lang w:bidi="ar"/>
              </w:rPr>
              <w:t>尊敬的投资者，您好！公司作为国家“909”工程集成电路设计公司和国家首批认证的集成电路设计企业，始终专注于集成电路的研发，以提供信号处理与控制系统的整体解决方案为产业发展方向，主要产品涵盖数字及模拟集成电路两大领域。公司将密切关注前沿技术发展趋势，跟进市场及客户需求，制定前瞻性布局和规划。公司始终严格遵守信息披露规范，具体业务进展将根据法规要求及时履行披露义务，相关业务进展请以公司在上海证券交易所官网、指定媒体披露的公告为准。公司股价受资本市场影响正常波动，敬请投资者理性投资，注意投资风险。感谢您的关注！</w:t>
            </w:r>
          </w:p>
          <w:p w14:paraId="2EC85208">
            <w:pPr>
              <w:widowControl/>
              <w:spacing w:line="480" w:lineRule="atLeast"/>
              <w:ind w:firstLine="482"/>
              <w:jc w:val="left"/>
              <w:rPr>
                <w:rFonts w:ascii="宋体" w:hAnsi="宋体"/>
                <w:b/>
                <w:iCs/>
                <w:color w:val="000000"/>
                <w:lang w:bidi="ar"/>
              </w:rPr>
            </w:pPr>
            <w:r>
              <w:rPr>
                <w:rFonts w:hint="eastAsia" w:ascii="宋体" w:hAnsi="宋体"/>
                <w:b/>
                <w:iCs/>
                <w:color w:val="000000"/>
                <w:lang w:bidi="ar"/>
              </w:rPr>
              <w:t>10.贵公司称2025年报调减9292万营收系“个别客户交易流程重新协商”审慎递延，该调整是因审计口径收紧而非会计政策变更。请问：2026年Q1营收确认是否同样受此口径影响？该口径是否对Q1新增营收构成系统性压制？这9292万到底还在不在？能否在今年确认营收及利润？</w:t>
            </w:r>
          </w:p>
          <w:p w14:paraId="407D85BC">
            <w:pPr>
              <w:widowControl/>
              <w:spacing w:line="480" w:lineRule="atLeast"/>
              <w:ind w:firstLine="480"/>
              <w:jc w:val="left"/>
              <w:rPr>
                <w:rFonts w:ascii="宋体" w:hAnsi="宋体"/>
                <w:b/>
                <w:iCs/>
                <w:color w:val="000000"/>
                <w:lang w:bidi="ar"/>
              </w:rPr>
            </w:pPr>
            <w:r>
              <w:rPr>
                <w:rFonts w:hint="eastAsia" w:ascii="宋体" w:hAnsi="宋体"/>
                <w:bCs/>
                <w:iCs/>
                <w:color w:val="000000"/>
                <w:lang w:bidi="ar"/>
              </w:rPr>
              <w:t>尊敬的投资者，您好！感谢您对公司的关注。公司2025年业绩预告及更正严格遵循信息披露法规。前期预告基于当时可获取信息编制，后经审计推进，基于审慎性原则对个别客户交易流程重新协商导致的收入确认事项进行调整，并发布更正公告致歉。股价波动受市场环境、行业周期等多重因素影响，公司将持续优化经营，通过技术研发和市场拓展提升长期价值。公司始终严格遵守信息披露规范，具体业务进展将根据法规要求及时履行披露义务，相关进展请以公司在上海证券交易所官网、指定媒体披露的公告为准。未来将持续加强与投资者沟通，用扎实业绩回报信任。感谢您的关注!</w:t>
            </w:r>
          </w:p>
        </w:tc>
      </w:tr>
      <w:tr w14:paraId="3D37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AFEE04E">
            <w:pPr>
              <w:ind w:firstLine="0" w:firstLineChars="0"/>
              <w:rPr>
                <w:rFonts w:ascii="宋体" w:hAnsi="宋体"/>
                <w:bCs/>
                <w:iCs/>
                <w:color w:val="000000"/>
              </w:rPr>
            </w:pPr>
            <w:r>
              <w:rPr>
                <w:rFonts w:hint="eastAsia" w:ascii="宋体" w:hAnsi="宋体"/>
                <w:bCs/>
                <w:iCs/>
                <w:color w:val="000000"/>
              </w:rPr>
              <w:t>关于本次活动是否涉及应当披露重大信息的说明</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1D61BD75">
            <w:pPr>
              <w:spacing w:line="480" w:lineRule="atLeast"/>
              <w:ind w:firstLine="0" w:firstLineChars="0"/>
              <w:rPr>
                <w:rFonts w:ascii="宋体" w:hAnsi="宋体"/>
                <w:bCs/>
                <w:iCs/>
                <w:color w:val="000000"/>
              </w:rPr>
            </w:pPr>
            <w:r>
              <w:rPr>
                <w:rFonts w:hint="eastAsia" w:ascii="宋体" w:hAnsi="宋体"/>
                <w:bCs/>
                <w:iCs/>
                <w:color w:val="000000"/>
              </w:rPr>
              <w:t>否</w:t>
            </w:r>
          </w:p>
        </w:tc>
      </w:tr>
      <w:tr w14:paraId="082E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45E2AC6">
            <w:pPr>
              <w:ind w:firstLine="0" w:firstLineChars="0"/>
              <w:rPr>
                <w:rFonts w:ascii="宋体" w:hAnsi="宋体"/>
                <w:bCs/>
                <w:iCs/>
                <w:color w:val="000000"/>
              </w:rPr>
            </w:pPr>
            <w:r>
              <w:rPr>
                <w:rFonts w:hint="eastAsia" w:ascii="宋体" w:hAnsi="宋体"/>
                <w:bCs/>
                <w:iCs/>
                <w:color w:val="000000"/>
              </w:rPr>
              <w:t>附件清单（如有）</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6F621ACC">
            <w:pPr>
              <w:spacing w:line="240" w:lineRule="auto"/>
              <w:ind w:firstLine="0" w:firstLineChars="0"/>
              <w:rPr>
                <w:rFonts w:ascii="宋体" w:hAnsi="宋体"/>
                <w:bCs/>
                <w:iCs/>
                <w:color w:val="000000"/>
              </w:rPr>
            </w:pPr>
            <w:r>
              <w:rPr>
                <w:rFonts w:ascii="宋体" w:hAnsi="宋体"/>
                <w:bCs/>
                <w:iCs/>
                <w:color w:val="000000"/>
              </w:rPr>
              <w:t>无</w:t>
            </w:r>
          </w:p>
        </w:tc>
      </w:tr>
      <w:tr w14:paraId="1C4B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EBF3F30">
            <w:pPr>
              <w:ind w:firstLine="0" w:firstLineChars="0"/>
              <w:rPr>
                <w:rFonts w:ascii="宋体" w:hAnsi="宋体"/>
                <w:bCs/>
                <w:iCs/>
                <w:color w:val="000000"/>
              </w:rPr>
            </w:pPr>
            <w:r>
              <w:rPr>
                <w:rFonts w:hint="eastAsia" w:ascii="宋体" w:hAnsi="宋体"/>
                <w:bCs/>
                <w:iCs/>
                <w:color w:val="000000"/>
              </w:rPr>
              <w:t>日期</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6E5E14B6">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w:t>
            </w:r>
            <w:r>
              <w:rPr>
                <w:rFonts w:hint="eastAsia" w:ascii="宋体" w:hAnsi="宋体"/>
                <w:bCs/>
                <w:iCs/>
                <w:color w:val="000000"/>
              </w:rPr>
              <w:t>6</w:t>
            </w:r>
            <w:r>
              <w:rPr>
                <w:rFonts w:ascii="宋体" w:hAnsi="宋体"/>
                <w:bCs/>
                <w:iCs/>
                <w:color w:val="000000"/>
              </w:rPr>
              <w:t>年</w:t>
            </w:r>
            <w:r>
              <w:rPr>
                <w:rFonts w:hint="eastAsia" w:ascii="宋体" w:hAnsi="宋体"/>
                <w:bCs/>
                <w:iCs/>
                <w:color w:val="000000"/>
              </w:rPr>
              <w:t>5月2</w:t>
            </w:r>
            <w:r>
              <w:rPr>
                <w:rFonts w:hint="eastAsia" w:ascii="宋体" w:hAnsi="宋体"/>
                <w:bCs/>
                <w:iCs/>
                <w:color w:val="000000"/>
                <w:lang w:val="en-US" w:eastAsia="zh-CN"/>
              </w:rPr>
              <w:t>6</w:t>
            </w:r>
            <w:bookmarkStart w:id="0" w:name="_GoBack"/>
            <w:bookmarkEnd w:id="0"/>
            <w:r>
              <w:rPr>
                <w:rFonts w:hint="eastAsia" w:ascii="宋体" w:hAnsi="宋体"/>
                <w:bCs/>
                <w:iCs/>
                <w:color w:val="000000"/>
              </w:rPr>
              <w:t>日</w:t>
            </w:r>
          </w:p>
        </w:tc>
      </w:tr>
    </w:tbl>
    <w:p w14:paraId="28BC5FDC">
      <w:pPr>
        <w:ind w:firstLine="0" w:firstLineChars="0"/>
      </w:pPr>
    </w:p>
    <w:p w14:paraId="162178D3">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37"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A1D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5C4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7E50">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2803">
    <w:pPr>
      <w:pStyle w:val="3"/>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C41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5E01">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85"/>
    <w:rsid w:val="000556CB"/>
    <w:rsid w:val="00056581"/>
    <w:rsid w:val="000976B9"/>
    <w:rsid w:val="000A1104"/>
    <w:rsid w:val="000A6467"/>
    <w:rsid w:val="000E6085"/>
    <w:rsid w:val="001170C8"/>
    <w:rsid w:val="002244E6"/>
    <w:rsid w:val="00232598"/>
    <w:rsid w:val="0025203B"/>
    <w:rsid w:val="002722F7"/>
    <w:rsid w:val="002B03B6"/>
    <w:rsid w:val="002E47EA"/>
    <w:rsid w:val="002E710B"/>
    <w:rsid w:val="0030054C"/>
    <w:rsid w:val="003A1AA7"/>
    <w:rsid w:val="003A3201"/>
    <w:rsid w:val="003C22FB"/>
    <w:rsid w:val="003C6BD5"/>
    <w:rsid w:val="00407727"/>
    <w:rsid w:val="00424494"/>
    <w:rsid w:val="0048707F"/>
    <w:rsid w:val="0049001D"/>
    <w:rsid w:val="004C6371"/>
    <w:rsid w:val="004D270C"/>
    <w:rsid w:val="004D6C13"/>
    <w:rsid w:val="004F0D06"/>
    <w:rsid w:val="00573C72"/>
    <w:rsid w:val="005906BD"/>
    <w:rsid w:val="0059386C"/>
    <w:rsid w:val="005C1BC8"/>
    <w:rsid w:val="005E007C"/>
    <w:rsid w:val="00607E55"/>
    <w:rsid w:val="00681C28"/>
    <w:rsid w:val="006A4BE6"/>
    <w:rsid w:val="007135D8"/>
    <w:rsid w:val="0071455E"/>
    <w:rsid w:val="00717B64"/>
    <w:rsid w:val="00750ABC"/>
    <w:rsid w:val="0077423E"/>
    <w:rsid w:val="007C23C5"/>
    <w:rsid w:val="007E705A"/>
    <w:rsid w:val="008032EE"/>
    <w:rsid w:val="00852B80"/>
    <w:rsid w:val="00862461"/>
    <w:rsid w:val="00863674"/>
    <w:rsid w:val="008C4815"/>
    <w:rsid w:val="008D5AC3"/>
    <w:rsid w:val="009056AA"/>
    <w:rsid w:val="00913A87"/>
    <w:rsid w:val="00936416"/>
    <w:rsid w:val="00976D60"/>
    <w:rsid w:val="009D31F3"/>
    <w:rsid w:val="009D69F1"/>
    <w:rsid w:val="009F4EAE"/>
    <w:rsid w:val="00A2210A"/>
    <w:rsid w:val="00A2466B"/>
    <w:rsid w:val="00A34261"/>
    <w:rsid w:val="00A9636F"/>
    <w:rsid w:val="00AC38B8"/>
    <w:rsid w:val="00AE6151"/>
    <w:rsid w:val="00B33DD1"/>
    <w:rsid w:val="00B345DD"/>
    <w:rsid w:val="00BB7366"/>
    <w:rsid w:val="00BC270F"/>
    <w:rsid w:val="00BE7BDA"/>
    <w:rsid w:val="00C16F23"/>
    <w:rsid w:val="00C3377D"/>
    <w:rsid w:val="00C35507"/>
    <w:rsid w:val="00C57F38"/>
    <w:rsid w:val="00C819D3"/>
    <w:rsid w:val="00CA1B46"/>
    <w:rsid w:val="00D172CA"/>
    <w:rsid w:val="00D64FCE"/>
    <w:rsid w:val="00D93993"/>
    <w:rsid w:val="00D95A0F"/>
    <w:rsid w:val="00DA0DD4"/>
    <w:rsid w:val="00DA5F87"/>
    <w:rsid w:val="00DB69E9"/>
    <w:rsid w:val="00DC7F3A"/>
    <w:rsid w:val="00DF4A67"/>
    <w:rsid w:val="00E032EE"/>
    <w:rsid w:val="00E052E5"/>
    <w:rsid w:val="00E12EB3"/>
    <w:rsid w:val="00E54BAB"/>
    <w:rsid w:val="00E90A2E"/>
    <w:rsid w:val="00EB2E10"/>
    <w:rsid w:val="00EE0060"/>
    <w:rsid w:val="00EF6B6A"/>
    <w:rsid w:val="00F32FAD"/>
    <w:rsid w:val="00F47DEC"/>
    <w:rsid w:val="00F67CF1"/>
    <w:rsid w:val="00FC2D20"/>
    <w:rsid w:val="32E637CA"/>
    <w:rsid w:val="39652C43"/>
    <w:rsid w:val="5B0D45EF"/>
    <w:rsid w:val="690D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spacing w:beforeAutospacing="1" w:afterAutospacing="1"/>
      <w:jc w:val="left"/>
    </w:pPr>
    <w:rPr>
      <w:kern w:val="0"/>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basedOn w:val="7"/>
    <w:link w:val="2"/>
    <w:qFormat/>
    <w:uiPriority w:val="0"/>
    <w:rPr>
      <w:rFonts w:ascii="Times New Roman" w:hAnsi="Times New Roman" w:eastAsia="宋体" w:cs="Times New Roman"/>
      <w:sz w:val="18"/>
      <w:szCs w:val="24"/>
    </w:rPr>
  </w:style>
  <w:style w:type="character" w:customStyle="1" w:styleId="9">
    <w:name w:val="页眉 Char"/>
    <w:basedOn w:val="7"/>
    <w:link w:val="3"/>
    <w:qFormat/>
    <w:uiPriority w:val="0"/>
    <w:rPr>
      <w:rFonts w:ascii="Times New Roman" w:hAnsi="Times New Roman" w:eastAsia="宋体" w:cs="Times New Roman"/>
      <w:sz w:val="18"/>
      <w:szCs w:val="24"/>
    </w:rPr>
  </w:style>
  <w:style w:type="paragraph" w:styleId="10">
    <w:name w:val="List Paragraph"/>
    <w:basedOn w:val="1"/>
    <w:qFormat/>
    <w:uiPriority w:val="34"/>
    <w:pPr>
      <w:ind w:firstLine="420"/>
    </w:pPr>
  </w:style>
  <w:style w:type="paragraph" w:customStyle="1" w:styleId="11">
    <w:name w:val="修订1"/>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3666</Words>
  <Characters>3920</Characters>
  <Lines>289</Lines>
  <Paragraphs>258</Paragraphs>
  <TotalTime>1</TotalTime>
  <ScaleCrop>false</ScaleCrop>
  <LinksUpToDate>false</LinksUpToDate>
  <CharactersWithSpaces>4072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2026-05-25T14:33:00Z</dcterms:created>
  <dc:creator>user</dc:creator>
  <cp:lastModifiedBy>蔡进</cp:lastModifiedBy>
  <dcterms:modified xsi:type="dcterms:W3CDTF">2026-05-26T06:04:25Z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eyJoZGlkIjoiMGVmN2U4NDM5MmVmMmVkOWVhZDQ2YzZmMzVlMjc2MTgiLCJ1c2VySWQiOiIyMDEyMTU1OTEifQ==</vt:lpwstr>
  </property>
  <property fmtid="{D5CDD505-2E9C-101B-9397-08002B2CF9AE}" pid="3" name="KSOProductBuildVer">
    <vt:lpwstr>2052-12.1.0.25865</vt:lpwstr>
  </property>
  <property fmtid="{D5CDD505-2E9C-101B-9397-08002B2CF9AE}" pid="4" name="ICV">
    <vt:lpwstr>4FBA073DF79243738009E5AFEAEAA3D3_13</vt:lpwstr>
  </property>
</Properties>
</file>