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32CAB">
      <w:pPr>
        <w:jc w:val="center"/>
        <w:rPr>
          <w:rFonts w:hint="eastAsia" w:ascii="宋体" w:hAnsi="宋体"/>
          <w:sz w:val="24"/>
          <w:szCs w:val="24"/>
        </w:rPr>
      </w:pPr>
      <w:r>
        <w:rPr>
          <w:rFonts w:hint="eastAsia" w:ascii="宋体" w:hAnsi="宋体"/>
          <w:sz w:val="24"/>
          <w:szCs w:val="24"/>
        </w:rPr>
        <w:t>证券代码：</w:t>
      </w:r>
      <w:r>
        <w:rPr>
          <w:rFonts w:ascii="宋体" w:hAnsi="宋体"/>
          <w:sz w:val="24"/>
          <w:szCs w:val="24"/>
        </w:rPr>
        <w:t>601717</w:t>
      </w:r>
      <w:r>
        <w:rPr>
          <w:rFonts w:hint="eastAsia" w:ascii="宋体" w:hAnsi="宋体"/>
          <w:sz w:val="24"/>
          <w:szCs w:val="24"/>
        </w:rPr>
        <w:t xml:space="preserve">                                公司简称：</w:t>
      </w:r>
      <w:r>
        <w:rPr>
          <w:rFonts w:ascii="宋体" w:hAnsi="宋体"/>
          <w:sz w:val="24"/>
          <w:szCs w:val="24"/>
        </w:rPr>
        <w:t>中创智领</w:t>
      </w:r>
    </w:p>
    <w:p w14:paraId="4CC0C973">
      <w:pPr>
        <w:jc w:val="center"/>
        <w:rPr>
          <w:rFonts w:hint="eastAsia" w:ascii="宋体" w:hAnsi="宋体"/>
          <w:sz w:val="24"/>
          <w:szCs w:val="24"/>
        </w:rPr>
      </w:pPr>
    </w:p>
    <w:p w14:paraId="09EBB72F">
      <w:pPr>
        <w:jc w:val="center"/>
        <w:rPr>
          <w:rFonts w:hint="eastAsia" w:ascii="黑体" w:hAnsi="黑体" w:eastAsia="黑体"/>
          <w:sz w:val="36"/>
          <w:szCs w:val="36"/>
        </w:rPr>
      </w:pPr>
      <w:r>
        <w:rPr>
          <w:rFonts w:hint="eastAsia" w:ascii="黑体" w:hAnsi="黑体" w:eastAsia="黑体"/>
          <w:sz w:val="36"/>
          <w:szCs w:val="36"/>
        </w:rPr>
        <w:t>中创智领(郑州)工业技术集团股份有限公司</w:t>
      </w:r>
    </w:p>
    <w:p w14:paraId="06A4D5C3">
      <w:pPr>
        <w:jc w:val="center"/>
        <w:rPr>
          <w:rFonts w:hint="eastAsia" w:ascii="黑体" w:hAnsi="黑体" w:eastAsia="黑体"/>
          <w:sz w:val="36"/>
          <w:szCs w:val="36"/>
        </w:rPr>
      </w:pPr>
      <w:r>
        <w:rPr>
          <w:rFonts w:hint="eastAsia" w:ascii="黑体" w:hAnsi="黑体" w:eastAsia="黑体"/>
          <w:sz w:val="36"/>
          <w:szCs w:val="36"/>
        </w:rPr>
        <w:t>投资者关系活动记录表</w:t>
      </w:r>
    </w:p>
    <w:p w14:paraId="3278B480">
      <w:pPr>
        <w:jc w:val="center"/>
        <w:rPr>
          <w:rFonts w:hint="eastAsia" w:ascii="黑体" w:hAnsi="黑体" w:eastAsia="黑体"/>
          <w:sz w:val="24"/>
          <w:szCs w:val="24"/>
        </w:rPr>
      </w:pPr>
    </w:p>
    <w:tbl>
      <w:tblPr>
        <w:tblStyle w:val="7"/>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7"/>
        <w:gridCol w:w="6950"/>
      </w:tblGrid>
      <w:tr w14:paraId="38ADB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67" w:type="dxa"/>
            <w:vAlign w:val="center"/>
          </w:tcPr>
          <w:p w14:paraId="6B14015B">
            <w:pPr>
              <w:rPr>
                <w:rFonts w:hint="eastAsia" w:ascii="宋体" w:hAnsi="宋体" w:cs="宋体"/>
                <w:bCs/>
                <w:iCs/>
                <w:color w:val="000000"/>
                <w:sz w:val="24"/>
                <w:lang w:val="en-GB"/>
              </w:rPr>
            </w:pPr>
            <w:r>
              <w:rPr>
                <w:rFonts w:hint="eastAsia" w:ascii="宋体" w:hAnsi="宋体" w:cs="宋体"/>
                <w:bCs/>
                <w:iCs/>
                <w:color w:val="000000"/>
                <w:sz w:val="24"/>
                <w:lang w:val="en-GB"/>
              </w:rPr>
              <w:t>投资者关系活动类别</w:t>
            </w:r>
          </w:p>
        </w:tc>
        <w:tc>
          <w:tcPr>
            <w:tcW w:w="6950" w:type="dxa"/>
            <w:vAlign w:val="center"/>
          </w:tcPr>
          <w:p w14:paraId="41579113">
            <w:pPr>
              <w:rPr>
                <w:rFonts w:hint="eastAsia" w:ascii="宋体" w:hAnsi="宋体"/>
                <w:bCs/>
                <w:iCs/>
                <w:color w:val="00000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 xml:space="preserve">特定对象调研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分析师会议</w:t>
            </w:r>
          </w:p>
          <w:p w14:paraId="57655A58">
            <w:pPr>
              <w:rPr>
                <w:rFonts w:hint="eastAsia" w:ascii="宋体" w:hAnsi="宋体"/>
                <w:bCs/>
                <w:iCs/>
                <w:color w:val="000000"/>
                <w:kern w:val="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 xml:space="preserve">媒体采访            </w:t>
            </w: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业绩说明会</w:t>
            </w:r>
          </w:p>
          <w:p w14:paraId="6647D701">
            <w:pPr>
              <w:rPr>
                <w:rFonts w:hint="eastAsia" w:ascii="宋体" w:hAnsi="宋体"/>
                <w:bCs/>
                <w:iCs/>
                <w:color w:val="000000"/>
                <w:kern w:val="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 xml:space="preserve">新闻发布会          </w:t>
            </w: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路演活动</w:t>
            </w:r>
          </w:p>
          <w:p w14:paraId="6D1036EC">
            <w:pPr>
              <w:tabs>
                <w:tab w:val="left" w:pos="3045"/>
                <w:tab w:val="center" w:pos="3199"/>
              </w:tabs>
              <w:rPr>
                <w:rFonts w:hint="eastAsia" w:ascii="宋体" w:hAnsi="宋体"/>
                <w:bCs/>
                <w:iCs/>
                <w:color w:val="000000"/>
                <w:kern w:val="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现场参观</w:t>
            </w:r>
          </w:p>
          <w:p w14:paraId="7832B44F">
            <w:pPr>
              <w:rPr>
                <w:rFonts w:hint="eastAsia" w:ascii="宋体" w:hAnsi="宋体" w:cs="宋体"/>
                <w:bCs/>
                <w:iCs/>
                <w:color w:val="000000"/>
                <w:sz w:val="24"/>
                <w:lang w:val="en-GB"/>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其他</w:t>
            </w:r>
          </w:p>
        </w:tc>
      </w:tr>
      <w:tr w14:paraId="14D4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67" w:type="dxa"/>
            <w:vAlign w:val="center"/>
          </w:tcPr>
          <w:p w14:paraId="086EE2E5">
            <w:pPr>
              <w:rPr>
                <w:rFonts w:hint="eastAsia" w:ascii="宋体" w:hAnsi="宋体" w:cs="宋体"/>
                <w:bCs/>
                <w:iCs/>
                <w:color w:val="000000"/>
                <w:sz w:val="24"/>
              </w:rPr>
            </w:pPr>
            <w:r>
              <w:rPr>
                <w:rFonts w:hint="eastAsia" w:ascii="宋体" w:hAnsi="宋体" w:cs="宋体"/>
                <w:bCs/>
                <w:iCs/>
                <w:color w:val="000000"/>
                <w:sz w:val="24"/>
              </w:rPr>
              <w:t>参与单位名称</w:t>
            </w:r>
          </w:p>
        </w:tc>
        <w:tc>
          <w:tcPr>
            <w:tcW w:w="6950" w:type="dxa"/>
            <w:vAlign w:val="center"/>
          </w:tcPr>
          <w:p w14:paraId="3A33D2DB">
            <w:pPr>
              <w:rPr>
                <w:rFonts w:hint="eastAsia" w:ascii="宋体" w:hAnsi="宋体" w:cs="宋体"/>
                <w:szCs w:val="21"/>
              </w:rPr>
            </w:pPr>
            <w:r>
              <w:rPr>
                <w:rFonts w:hint="eastAsia" w:ascii="宋体" w:hAnsi="宋体" w:cs="宋体"/>
                <w:szCs w:val="21"/>
              </w:rPr>
              <w:t>九一私募基金、国泰海通证券、金晨碧云投资管理、上海日耀谷资本、中原证券、中信建投、东方财富证券、成都每经传媒有限公司、东方证券、华泰自营、广发证券、上海睿信投资管理有限公司、上海惠璞投资、华能贵诚信托、上海速富资产管理有限公司等投资者，以及拟出席公司2025年年度股东会的个人投资者</w:t>
            </w:r>
          </w:p>
        </w:tc>
      </w:tr>
      <w:tr w14:paraId="3E50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67" w:type="dxa"/>
            <w:vAlign w:val="center"/>
          </w:tcPr>
          <w:p w14:paraId="2AA9F1E9">
            <w:pPr>
              <w:rPr>
                <w:rFonts w:hint="eastAsia" w:ascii="宋体" w:hAnsi="宋体" w:cs="宋体"/>
                <w:bCs/>
                <w:iCs/>
                <w:color w:val="000000"/>
                <w:sz w:val="24"/>
                <w:lang w:val="en-GB"/>
              </w:rPr>
            </w:pPr>
            <w:r>
              <w:rPr>
                <w:rFonts w:hint="eastAsia" w:ascii="宋体" w:hAnsi="宋体" w:cs="宋体"/>
                <w:bCs/>
                <w:iCs/>
                <w:color w:val="000000"/>
                <w:sz w:val="24"/>
                <w:lang w:val="en-GB"/>
              </w:rPr>
              <w:t>时间</w:t>
            </w:r>
          </w:p>
        </w:tc>
        <w:tc>
          <w:tcPr>
            <w:tcW w:w="6950" w:type="dxa"/>
            <w:vAlign w:val="center"/>
          </w:tcPr>
          <w:p w14:paraId="4B462B4A">
            <w:pPr>
              <w:rPr>
                <w:rFonts w:hint="eastAsia" w:ascii="宋体" w:hAnsi="宋体" w:cs="宋体"/>
                <w:szCs w:val="21"/>
              </w:rPr>
            </w:pPr>
            <w:r>
              <w:rPr>
                <w:rFonts w:hint="eastAsia" w:ascii="宋体" w:hAnsi="宋体" w:cs="宋体"/>
                <w:szCs w:val="21"/>
                <w:lang w:val="en-GB"/>
              </w:rPr>
              <w:t>2026</w:t>
            </w:r>
            <w:r>
              <w:rPr>
                <w:rFonts w:hint="eastAsia" w:ascii="宋体" w:hAnsi="宋体" w:cs="宋体"/>
                <w:szCs w:val="21"/>
              </w:rPr>
              <w:t>年5月26日</w:t>
            </w:r>
          </w:p>
        </w:tc>
      </w:tr>
      <w:tr w14:paraId="35D1F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67" w:type="dxa"/>
            <w:vAlign w:val="center"/>
          </w:tcPr>
          <w:p w14:paraId="261C0E62">
            <w:pPr>
              <w:rPr>
                <w:rFonts w:hint="eastAsia" w:ascii="宋体" w:hAnsi="宋体" w:cs="宋体"/>
                <w:bCs/>
                <w:iCs/>
                <w:color w:val="000000"/>
                <w:sz w:val="24"/>
                <w:lang w:val="en-GB"/>
              </w:rPr>
            </w:pPr>
            <w:r>
              <w:rPr>
                <w:rFonts w:hint="eastAsia" w:ascii="宋体" w:hAnsi="宋体" w:cs="宋体"/>
                <w:bCs/>
                <w:iCs/>
                <w:color w:val="000000"/>
                <w:sz w:val="24"/>
                <w:lang w:val="en-GB"/>
              </w:rPr>
              <w:t>地点/方式</w:t>
            </w:r>
          </w:p>
        </w:tc>
        <w:tc>
          <w:tcPr>
            <w:tcW w:w="6950" w:type="dxa"/>
            <w:vAlign w:val="center"/>
          </w:tcPr>
          <w:p w14:paraId="332CC1AD">
            <w:pPr>
              <w:rPr>
                <w:rFonts w:hint="eastAsia" w:ascii="宋体" w:hAnsi="宋体" w:cs="宋体"/>
                <w:szCs w:val="21"/>
              </w:rPr>
            </w:pPr>
            <w:r>
              <w:rPr>
                <w:rFonts w:hint="eastAsia" w:ascii="宋体" w:hAnsi="宋体" w:cs="宋体"/>
                <w:szCs w:val="21"/>
                <w:lang w:val="en-GB"/>
              </w:rPr>
              <w:t>河南自贸试验区郑州片区（经开）第九大街167号公司总部</w:t>
            </w:r>
          </w:p>
        </w:tc>
      </w:tr>
      <w:tr w14:paraId="0AD4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767" w:type="dxa"/>
            <w:vAlign w:val="center"/>
          </w:tcPr>
          <w:p w14:paraId="7E3F060E">
            <w:pPr>
              <w:rPr>
                <w:rFonts w:hint="eastAsia" w:ascii="宋体" w:hAnsi="宋体" w:cs="宋体"/>
                <w:bCs/>
                <w:iCs/>
                <w:color w:val="000000"/>
                <w:sz w:val="24"/>
                <w:lang w:val="en-GB"/>
              </w:rPr>
            </w:pPr>
            <w:r>
              <w:rPr>
                <w:rFonts w:hint="eastAsia" w:ascii="宋体" w:hAnsi="宋体" w:cs="宋体"/>
                <w:bCs/>
                <w:iCs/>
                <w:color w:val="000000"/>
                <w:sz w:val="24"/>
                <w:lang w:val="en-GB"/>
              </w:rPr>
              <w:t>参会人员</w:t>
            </w:r>
          </w:p>
        </w:tc>
        <w:tc>
          <w:tcPr>
            <w:tcW w:w="6950" w:type="dxa"/>
            <w:vAlign w:val="center"/>
          </w:tcPr>
          <w:p w14:paraId="18CFEA1F">
            <w:pPr>
              <w:rPr>
                <w:rFonts w:hint="eastAsia" w:ascii="宋体" w:hAnsi="宋体" w:cs="宋体"/>
                <w:bCs/>
                <w:iCs/>
                <w:color w:val="000000"/>
                <w:sz w:val="24"/>
              </w:rPr>
            </w:pPr>
            <w:r>
              <w:rPr>
                <w:rFonts w:hint="eastAsia" w:ascii="宋体" w:hAnsi="宋体" w:cs="宋体"/>
                <w:szCs w:val="21"/>
              </w:rPr>
              <w:t>中创智领董事长焦承尧、副董事长、总经理贾浩、副总经理王永强、董事会秘书张易辰、财务总监邱泉、子公司恒达智控董事长罗开成</w:t>
            </w:r>
          </w:p>
        </w:tc>
      </w:tr>
      <w:tr w14:paraId="35D2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767" w:type="dxa"/>
            <w:vAlign w:val="center"/>
          </w:tcPr>
          <w:p w14:paraId="29A5F6A9">
            <w:pPr>
              <w:rPr>
                <w:sz w:val="24"/>
                <w:szCs w:val="24"/>
              </w:rPr>
            </w:pPr>
            <w:r>
              <w:rPr>
                <w:rFonts w:hint="eastAsia"/>
                <w:sz w:val="24"/>
                <w:szCs w:val="24"/>
              </w:rPr>
              <w:t>投资者关系活动主要内容介绍</w:t>
            </w:r>
          </w:p>
        </w:tc>
        <w:tc>
          <w:tcPr>
            <w:tcW w:w="6950" w:type="dxa"/>
          </w:tcPr>
          <w:p w14:paraId="45087174">
            <w:pPr>
              <w:ind w:firstLine="420" w:firstLineChars="200"/>
              <w:rPr>
                <w:rFonts w:ascii="宋体"/>
                <w:szCs w:val="21"/>
              </w:rPr>
            </w:pPr>
            <w:r>
              <w:rPr>
                <w:rFonts w:hint="eastAsia" w:ascii="宋体" w:hAnsi="宋体" w:cs="宋体"/>
                <w:szCs w:val="21"/>
                <w:lang w:val="en-GB"/>
              </w:rPr>
              <w:t>根据公司《关于召开2025年年度股东会的通知》，公司于本次年度股东会召开当日2026</w:t>
            </w:r>
            <w:r>
              <w:rPr>
                <w:rFonts w:hint="eastAsia" w:ascii="宋体" w:hAnsi="宋体" w:cs="宋体"/>
                <w:szCs w:val="21"/>
              </w:rPr>
              <w:t>年5月26日</w:t>
            </w:r>
            <w:r>
              <w:rPr>
                <w:rFonts w:hint="eastAsia" w:ascii="宋体" w:hAnsi="宋体" w:cs="宋体"/>
                <w:szCs w:val="21"/>
                <w:lang w:val="en-GB"/>
              </w:rPr>
              <w:t>上午，安排公司现场参观调研，举办“投资者走进中创智领”活动。现将本次活动中投资者关注的主要问题及公司的回复发布如下：</w:t>
            </w:r>
          </w:p>
          <w:p w14:paraId="533948C2">
            <w:pPr>
              <w:ind w:firstLine="420" w:firstLineChars="200"/>
              <w:rPr>
                <w:rFonts w:ascii="宋体"/>
                <w:szCs w:val="21"/>
              </w:rPr>
            </w:pPr>
            <w:r>
              <w:rPr>
                <w:rFonts w:hint="eastAsia" w:ascii="宋体"/>
                <w:szCs w:val="21"/>
              </w:rPr>
              <w:t>1、2012年以后上一轮煤机行业周期持续了几年，这两年煤机行业可能又在一轮下行周期，请问对未来两年行业周期走势如何判断？</w:t>
            </w:r>
          </w:p>
          <w:p w14:paraId="3165B009">
            <w:pPr>
              <w:rPr>
                <w:rFonts w:hint="eastAsia" w:ascii="宋体"/>
                <w:szCs w:val="21"/>
              </w:rPr>
            </w:pPr>
            <w:r>
              <w:rPr>
                <w:rFonts w:hint="eastAsia" w:ascii="宋体"/>
                <w:szCs w:val="21"/>
              </w:rPr>
              <w:t>答：煤机行业周期的具体时长难以精确预判。从历史情况看，不同时期的周期长度存在差异，更早的周期相对较长，而上一轮周期则相对较短。当前周期的持续时间仍存在不确定性，不宜简单沿用过去的时长进行线性外推。但是，近年来国家发改委等政府部门推动电煤长协价机制，加强市场价格调控监管，多措并举确保煤炭价格在合理区间运行，煤炭市场价格机制改革稳步推进。这一措施的实施，支持了煤炭行业的平稳运行。同时，煤炭行业集中度也在逐步提升，对装备要求更高。 这些因素共同作用下，有望支持煤机需求的稳定性。</w:t>
            </w:r>
          </w:p>
          <w:p w14:paraId="6FC48BCD">
            <w:pPr>
              <w:rPr>
                <w:rFonts w:hint="eastAsia" w:ascii="宋体"/>
                <w:szCs w:val="21"/>
              </w:rPr>
            </w:pPr>
          </w:p>
          <w:p w14:paraId="42D198CD">
            <w:pPr>
              <w:numPr>
                <w:ilvl w:val="0"/>
                <w:numId w:val="0"/>
              </w:numPr>
              <w:ind w:firstLine="420" w:firstLineChars="200"/>
              <w:rPr>
                <w:rFonts w:hint="eastAsia" w:ascii="宋体" w:eastAsia="宋体"/>
                <w:szCs w:val="21"/>
                <w:lang w:eastAsia="zh-CN"/>
              </w:rPr>
            </w:pPr>
            <w:r>
              <w:rPr>
                <w:rFonts w:hint="eastAsia" w:ascii="宋体" w:hAnsi="Calibri" w:eastAsia="宋体" w:cs="Times New Roman"/>
                <w:kern w:val="2"/>
                <w:sz w:val="21"/>
                <w:szCs w:val="21"/>
                <w:lang w:val="en-US" w:eastAsia="zh-CN" w:bidi="ar-SA"/>
              </w:rPr>
              <w:t>2、</w:t>
            </w:r>
            <w:r>
              <w:rPr>
                <w:rFonts w:hint="eastAsia" w:ascii="宋体"/>
                <w:szCs w:val="21"/>
              </w:rPr>
              <w:t>一季度汽车零部件业务中个别企业增速面临压力，今年上半年汽车市场竞争激烈，订单和收入增速压力是短期波动还是行业内卷的持续</w:t>
            </w:r>
            <w:r>
              <w:rPr>
                <w:rFonts w:hint="eastAsia" w:ascii="宋体"/>
                <w:szCs w:val="21"/>
                <w:lang w:eastAsia="zh-CN"/>
              </w:rPr>
              <w:t>？</w:t>
            </w:r>
          </w:p>
          <w:p w14:paraId="3C3921F1">
            <w:pPr>
              <w:numPr>
                <w:ilvl w:val="0"/>
                <w:numId w:val="0"/>
              </w:numPr>
              <w:ind w:firstLine="420" w:firstLineChars="200"/>
              <w:rPr>
                <w:rFonts w:ascii="宋体"/>
                <w:szCs w:val="21"/>
              </w:rPr>
            </w:pPr>
            <w:r>
              <w:rPr>
                <w:rFonts w:hint="eastAsia" w:ascii="宋体"/>
                <w:szCs w:val="21"/>
              </w:rPr>
              <w:t>答：公司汽车零部件板块坚持从零件到部件、从部件到系统的转型升级策略，并同步推进从国内市场向海外市场的拓展。依托公司在海外布局的工厂资源，亚新科的国际化进程与SEG的本土化发展形成了协同效应。此外，在部分客户领域的合作业务也呈现高速增长态势。整体来看，公司汽车零部件业务预计将保持增长。</w:t>
            </w:r>
          </w:p>
          <w:p w14:paraId="0228F72E">
            <w:pPr>
              <w:rPr>
                <w:rFonts w:ascii="宋体"/>
                <w:szCs w:val="21"/>
              </w:rPr>
            </w:pPr>
          </w:p>
          <w:p w14:paraId="15AD050F">
            <w:pPr>
              <w:ind w:firstLine="420" w:firstLineChars="200"/>
              <w:rPr>
                <w:rFonts w:ascii="宋体"/>
                <w:szCs w:val="21"/>
              </w:rPr>
            </w:pPr>
            <w:r>
              <w:rPr>
                <w:rFonts w:hint="eastAsia" w:ascii="宋体"/>
                <w:szCs w:val="21"/>
              </w:rPr>
              <w:t>3</w:t>
            </w:r>
            <w:r>
              <w:rPr>
                <w:rFonts w:ascii="宋体"/>
                <w:szCs w:val="21"/>
              </w:rPr>
              <w:t>、公司煤机板块在2026年第一季度的订单获取及产品价格方面表现如何？</w:t>
            </w:r>
          </w:p>
          <w:p w14:paraId="406511DB">
            <w:pPr>
              <w:ind w:firstLine="420" w:firstLineChars="200"/>
              <w:rPr>
                <w:rFonts w:ascii="宋体"/>
                <w:szCs w:val="21"/>
              </w:rPr>
            </w:pPr>
            <w:r>
              <w:rPr>
                <w:rFonts w:hint="eastAsia" w:ascii="宋体"/>
                <w:szCs w:val="21"/>
              </w:rPr>
              <w:t>答：2026年第一季度，煤机板块整体订货额同比略有下降，但国内市场的订货额及订货单价均较上年同期有所提升。在国际市场方面，公司持续加大多个海外市场的布局力度，预计未来有望实现新的突破。</w:t>
            </w:r>
          </w:p>
          <w:p w14:paraId="4A9D36D7">
            <w:pPr>
              <w:rPr>
                <w:rFonts w:ascii="宋体"/>
                <w:szCs w:val="21"/>
              </w:rPr>
            </w:pPr>
          </w:p>
          <w:p w14:paraId="23E78A34">
            <w:pPr>
              <w:numPr>
                <w:ilvl w:val="0"/>
                <w:numId w:val="0"/>
              </w:numPr>
              <w:ind w:firstLine="420" w:firstLineChars="200"/>
              <w:rPr>
                <w:rFonts w:hint="eastAsia" w:ascii="宋体"/>
                <w:szCs w:val="21"/>
              </w:rPr>
            </w:pPr>
            <w:r>
              <w:rPr>
                <w:rFonts w:hint="eastAsia" w:ascii="宋体" w:hAnsi="Calibri" w:eastAsia="宋体" w:cs="Times New Roman"/>
                <w:kern w:val="2"/>
                <w:sz w:val="21"/>
                <w:szCs w:val="21"/>
                <w:lang w:val="en-US" w:eastAsia="zh-CN" w:bidi="ar-SA"/>
              </w:rPr>
              <w:t>4、</w:t>
            </w:r>
            <w:r>
              <w:rPr>
                <w:rFonts w:hint="eastAsia" w:ascii="宋体"/>
                <w:szCs w:val="21"/>
              </w:rPr>
              <w:t>工业智能板块在非煤矿场景的拓展情况及订单规模如何？未来增长趋势怎样判断？</w:t>
            </w:r>
          </w:p>
          <w:p w14:paraId="70BA0D02">
            <w:pPr>
              <w:numPr>
                <w:ilvl w:val="0"/>
                <w:numId w:val="0"/>
              </w:numPr>
              <w:ind w:firstLine="420" w:firstLineChars="200"/>
              <w:rPr>
                <w:rFonts w:ascii="宋体"/>
                <w:szCs w:val="21"/>
              </w:rPr>
            </w:pPr>
            <w:r>
              <w:rPr>
                <w:rFonts w:hint="eastAsia" w:ascii="宋体"/>
                <w:szCs w:val="21"/>
              </w:rPr>
              <w:t>答：目前恒达业务的增长速度有待进一步提升。目前工业智能板块正在非煤工业企业领域全力研发推出更具竞争力的标准化、模块化产品及面向具体行业应用场景的垂类模型，其增速有望实现更大幅度的提升空间。与此同时，公司面向造船、钢铁、冶金线缆、重工、汽车零部件等非煤矿行业企业的数字化工厂解决方案，已获取的订单及潜在项目已形成较大规模，今年有望实现订单的显著突破。</w:t>
            </w:r>
          </w:p>
          <w:p w14:paraId="573D674A">
            <w:pPr>
              <w:rPr>
                <w:rFonts w:ascii="宋体"/>
                <w:szCs w:val="21"/>
              </w:rPr>
            </w:pPr>
          </w:p>
          <w:p w14:paraId="78A26745">
            <w:pPr>
              <w:ind w:firstLine="420" w:firstLineChars="200"/>
              <w:rPr>
                <w:rFonts w:ascii="宋体"/>
                <w:szCs w:val="21"/>
              </w:rPr>
            </w:pPr>
            <w:r>
              <w:rPr>
                <w:rFonts w:hint="eastAsia" w:ascii="宋体"/>
                <w:szCs w:val="21"/>
              </w:rPr>
              <w:t>5、公司2025年度分红比例进一步提升，未来分红会继续保持吗？</w:t>
            </w:r>
          </w:p>
          <w:p w14:paraId="77153EF3">
            <w:pPr>
              <w:ind w:firstLine="420" w:firstLineChars="200"/>
              <w:rPr>
                <w:rFonts w:ascii="宋体"/>
                <w:szCs w:val="21"/>
              </w:rPr>
            </w:pPr>
            <w:r>
              <w:rPr>
                <w:rFonts w:hint="eastAsia" w:ascii="宋体"/>
                <w:szCs w:val="21"/>
              </w:rPr>
              <w:t>答：公司已制定并实施“提质增效重回报”行动方案。2025年，在已完成6亿元股份回购的基础上，公司确定了以2025年度归母净利润的51.98%进行高比例现金分红的方案，通过持续稳定的现金分红践行回报股东理念，增强投资者获得感。短期业绩波动预计不会对公司长期经营基本面产生实质性影响。未来，公司将继续强化回报股东意识，严格遵守法律法规及证券监管政策关于上市公司分红的相关规定，在综合考虑行业发展趋势、公司发展战略、盈利能力、现金流状况等多方面因素的基础上，积极提升投资者回报能力和水平，增强分红的稳定性、及时性和可预期性，努力为股东提供持续、稳定、合理的投资回报，与股东共同分享公司经营发展成果。</w:t>
            </w:r>
          </w:p>
          <w:p w14:paraId="1E4D0305">
            <w:pPr>
              <w:ind w:firstLine="420" w:firstLineChars="200"/>
              <w:rPr>
                <w:rFonts w:ascii="宋体"/>
                <w:szCs w:val="21"/>
              </w:rPr>
            </w:pPr>
          </w:p>
          <w:p w14:paraId="003E5231">
            <w:pPr>
              <w:numPr>
                <w:ilvl w:val="0"/>
                <w:numId w:val="0"/>
              </w:numPr>
              <w:ind w:firstLine="420" w:firstLineChars="200"/>
              <w:rPr>
                <w:rFonts w:hint="eastAsia" w:ascii="宋体"/>
                <w:szCs w:val="21"/>
              </w:rPr>
            </w:pPr>
            <w:r>
              <w:rPr>
                <w:rFonts w:hint="eastAsia" w:ascii="宋体" w:hAnsi="Calibri" w:eastAsia="宋体" w:cs="Times New Roman"/>
                <w:kern w:val="2"/>
                <w:sz w:val="21"/>
                <w:szCs w:val="21"/>
                <w:lang w:val="en-US" w:eastAsia="zh-CN" w:bidi="ar-SA"/>
              </w:rPr>
              <w:t>6、</w:t>
            </w:r>
            <w:r>
              <w:rPr>
                <w:rFonts w:hint="eastAsia" w:ascii="宋体"/>
                <w:szCs w:val="21"/>
              </w:rPr>
              <w:t>公司收购SEG多年，近几年开始实现盈利，SEG主营48伏电机等产品，未来经营趋势如何？公司在汽车零部件领域的国际化布局有何展望</w:t>
            </w:r>
          </w:p>
          <w:p w14:paraId="3507C228">
            <w:pPr>
              <w:numPr>
                <w:ilvl w:val="0"/>
                <w:numId w:val="0"/>
              </w:numPr>
              <w:ind w:firstLine="420" w:firstLineChars="200"/>
              <w:rPr>
                <w:rFonts w:ascii="宋体"/>
                <w:szCs w:val="21"/>
              </w:rPr>
            </w:pPr>
            <w:r>
              <w:rPr>
                <w:rFonts w:hint="eastAsia" w:ascii="宋体"/>
                <w:szCs w:val="21"/>
              </w:rPr>
              <w:t>答：SEG经历前期的并购整合和业务重组后，近年来已实现盈利。当前欧美电动化进程相对缓慢，SEG在手订单较为稳定，盈利水平呈持续改善态势，未来有望保持增长。随着海外汽车电动化的推进，也面临业务转型，目前SEG在欧洲、美国、印度等地积极推进电动化业务获取</w:t>
            </w:r>
            <w:r>
              <w:rPr>
                <w:rFonts w:hint="eastAsia" w:ascii="宋体"/>
                <w:szCs w:val="21"/>
                <w:lang w:eastAsia="zh-CN"/>
              </w:rPr>
              <w:t>。</w:t>
            </w:r>
            <w:r>
              <w:rPr>
                <w:rFonts w:hint="eastAsia" w:ascii="宋体"/>
                <w:szCs w:val="21"/>
              </w:rPr>
              <w:t>关于公司汽车零部件的国际布局，在国内高压新能源电机领域，公司将有关技术推广到国际领域，推动国际高压驱动业务的开发。亚新科的国际化进程与SEG的本土化发展协同推进，依托海外工厂及渠道资源，公司有望在中国整车企业国际化进程中，更早实现海外配套，把握零部件国际化的战略机遇。</w:t>
            </w:r>
          </w:p>
          <w:p w14:paraId="79EF56D2">
            <w:pPr>
              <w:ind w:firstLine="420" w:firstLineChars="200"/>
              <w:rPr>
                <w:rFonts w:ascii="宋体"/>
                <w:szCs w:val="21"/>
              </w:rPr>
            </w:pPr>
          </w:p>
          <w:p w14:paraId="563DA095">
            <w:pPr>
              <w:ind w:firstLine="420" w:firstLineChars="200"/>
              <w:rPr>
                <w:rFonts w:ascii="宋体"/>
                <w:szCs w:val="21"/>
              </w:rPr>
            </w:pPr>
            <w:r>
              <w:rPr>
                <w:rFonts w:hint="eastAsia" w:ascii="宋体"/>
                <w:szCs w:val="21"/>
              </w:rPr>
              <w:t>7、目前煤机智能化领域的竞争格局如何？公司在该领域的布局及未来发展方向是怎样的？</w:t>
            </w:r>
          </w:p>
          <w:p w14:paraId="5685673F">
            <w:pPr>
              <w:ind w:firstLine="420" w:firstLineChars="200"/>
              <w:rPr>
                <w:rFonts w:hint="eastAsia" w:ascii="宋体"/>
                <w:szCs w:val="21"/>
              </w:rPr>
            </w:pPr>
            <w:r>
              <w:rPr>
                <w:rFonts w:hint="eastAsia" w:ascii="宋体"/>
                <w:szCs w:val="21"/>
              </w:rPr>
              <w:t>答：目前煤矿智能化领域的多数企业仍停留在较低等级的智能化改造领域，技术门槛不高，高等级智能化核心技术尚未形成普遍突破。公司聚焦于高等级智能开采技术的研发与工程化应用，加快研发与推广。面向未来，煤矿智能化需要实现井下装备的自主感知、决策与执行，并配套地面远程“一键操作”的智能控制系统及相关执行机构。这将带动单矿工作面改造价值的提升，但实际落地规模取决于技术在实际场景中的转化成效。公司正持续推动智能装备向更高级别应用演进，同时已设立智慧矿山数据运营公司，探索以数据运营为核心的新型商业模式。</w:t>
            </w:r>
          </w:p>
          <w:p w14:paraId="6B5C2B14">
            <w:pPr>
              <w:ind w:firstLine="420" w:firstLineChars="200"/>
              <w:rPr>
                <w:rFonts w:hint="eastAsia" w:ascii="宋体"/>
                <w:szCs w:val="21"/>
              </w:rPr>
            </w:pPr>
          </w:p>
          <w:p w14:paraId="56A535D6">
            <w:pPr>
              <w:ind w:firstLine="420" w:firstLineChars="200"/>
              <w:rPr>
                <w:rFonts w:hint="eastAsia" w:ascii="宋体"/>
                <w:szCs w:val="21"/>
                <w:lang w:val="en-US" w:eastAsia="zh-CN"/>
              </w:rPr>
            </w:pPr>
            <w:bookmarkStart w:id="0" w:name="_GoBack"/>
            <w:r>
              <w:rPr>
                <w:rFonts w:hint="eastAsia" w:ascii="宋体"/>
                <w:szCs w:val="21"/>
                <w:lang w:val="en-US" w:eastAsia="zh-CN"/>
              </w:rPr>
              <w:t>8、针对公司股价近期出现一定波动的情况，请问公司采取了哪些稳定股价或提升公司价值的措施？</w:t>
            </w:r>
          </w:p>
          <w:p w14:paraId="4DBF3E87">
            <w:pPr>
              <w:ind w:firstLine="420" w:firstLineChars="200"/>
              <w:rPr>
                <w:rFonts w:hint="default" w:ascii="宋体"/>
                <w:szCs w:val="21"/>
                <w:lang w:val="en-US" w:eastAsia="zh-CN"/>
              </w:rPr>
            </w:pPr>
            <w:r>
              <w:rPr>
                <w:rFonts w:hint="eastAsia" w:ascii="宋体"/>
                <w:szCs w:val="21"/>
                <w:lang w:val="en-US" w:eastAsia="zh-CN"/>
              </w:rPr>
              <w:t>答：</w:t>
            </w:r>
            <w:r>
              <w:rPr>
                <w:rFonts w:hint="default" w:ascii="宋体"/>
                <w:szCs w:val="21"/>
                <w:lang w:val="en-US" w:eastAsia="zh-CN"/>
              </w:rPr>
              <w:t>公司股价表现受宏观经济环境、行业周期变化、市场情绪、资金偏好及公司经营情况等多重因素综合影响。目前公司正通过聚焦多种方式积极改善盈利状况，同时积极推动向智能化、电动化、国际化方向转型升级，聚焦战略性新兴产业和未来产业，持续提升公司内在价值，积极与资本市场沟通，传递公司中长期投资价值，切实维护广大投资者的权益。</w:t>
            </w:r>
            <w:bookmarkEnd w:id="0"/>
          </w:p>
        </w:tc>
      </w:tr>
    </w:tbl>
    <w:p w14:paraId="22F13875"/>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ED7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105A1"/>
    <w:rsid w:val="000C1E19"/>
    <w:rsid w:val="0014059F"/>
    <w:rsid w:val="001A20BE"/>
    <w:rsid w:val="001B40DA"/>
    <w:rsid w:val="0028120A"/>
    <w:rsid w:val="00393A09"/>
    <w:rsid w:val="00422E87"/>
    <w:rsid w:val="00467AF3"/>
    <w:rsid w:val="004F2C47"/>
    <w:rsid w:val="00504574"/>
    <w:rsid w:val="005742C9"/>
    <w:rsid w:val="00634EE1"/>
    <w:rsid w:val="00694853"/>
    <w:rsid w:val="007135E6"/>
    <w:rsid w:val="00717E09"/>
    <w:rsid w:val="00730980"/>
    <w:rsid w:val="007B5F58"/>
    <w:rsid w:val="007F3140"/>
    <w:rsid w:val="0082770E"/>
    <w:rsid w:val="008B4555"/>
    <w:rsid w:val="008D387F"/>
    <w:rsid w:val="009C7DA8"/>
    <w:rsid w:val="00A90D76"/>
    <w:rsid w:val="00AC5C91"/>
    <w:rsid w:val="00AD2641"/>
    <w:rsid w:val="00B105A1"/>
    <w:rsid w:val="00B66CBF"/>
    <w:rsid w:val="00B925F2"/>
    <w:rsid w:val="00BA13E0"/>
    <w:rsid w:val="00BA1617"/>
    <w:rsid w:val="00C3528F"/>
    <w:rsid w:val="00C81EA0"/>
    <w:rsid w:val="00E454DB"/>
    <w:rsid w:val="00E70D94"/>
    <w:rsid w:val="00E74C2C"/>
    <w:rsid w:val="00F32AD2"/>
    <w:rsid w:val="00FD50A9"/>
    <w:rsid w:val="086B52F4"/>
    <w:rsid w:val="1CB2496B"/>
    <w:rsid w:val="1DDC2C90"/>
    <w:rsid w:val="37D94580"/>
    <w:rsid w:val="3C8C40DF"/>
    <w:rsid w:val="40EF6587"/>
    <w:rsid w:val="5100602C"/>
    <w:rsid w:val="58CB7A10"/>
    <w:rsid w:val="59210E20"/>
    <w:rsid w:val="61B42C51"/>
    <w:rsid w:val="624F2212"/>
    <w:rsid w:val="634F2822"/>
    <w:rsid w:val="64B467C7"/>
    <w:rsid w:val="670E1BEF"/>
    <w:rsid w:val="70C64CF5"/>
    <w:rsid w:val="780103C1"/>
    <w:rsid w:val="7D3E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nhideWhenUsed/>
    <w:qFormat/>
    <w:uiPriority w:val="99"/>
    <w:rPr>
      <w:color w:val="0563C1"/>
      <w:u w:val="single"/>
    </w:rPr>
  </w:style>
  <w:style w:type="paragraph" w:customStyle="1" w:styleId="10">
    <w:name w:val="_Style 6"/>
    <w:basedOn w:val="1"/>
    <w:qFormat/>
    <w:uiPriority w:val="34"/>
    <w:pPr>
      <w:ind w:firstLine="420" w:firstLineChars="200"/>
    </w:p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2372</Words>
  <Characters>2431</Characters>
  <Lines>16</Lines>
  <Paragraphs>4</Paragraphs>
  <TotalTime>205</TotalTime>
  <ScaleCrop>false</ScaleCrop>
  <LinksUpToDate>false</LinksUpToDate>
  <CharactersWithSpaces>2502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2026-04-10T09:02:00Z</dcterms:created>
  <dc:creator>Administrator</dc:creator>
  <cp:lastModifiedBy>安雨萌</cp:lastModifiedBy>
  <dcterms:modified xsi:type="dcterms:W3CDTF">2026-05-27T09:46:15Z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AB4E8449DB2F49A5BFFB4CD25CDB2AE7_13</vt:lpwstr>
  </property>
  <property fmtid="{D5CDD505-2E9C-101B-9397-08002B2CF9AE}" pid="4" name="KSOTemplateDocerSaveRecord">
    <vt:lpwstr>eyJoZGlkIjoiYjMyNTQ1YTVlNDJkY2Q3NTI5ZjdiYWIwZjVmYTNhMTUiLCJ1c2VySWQiOiIzMTcyMTMzMjgifQ==</vt:lpwstr>
  </property>
</Properties>
</file>