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60D45B">
      <w:pPr>
        <w:jc w:val="left"/>
        <w:rPr>
          <w:rFonts w:hint="eastAsia" w:ascii="宋体" w:hAnsi="宋体"/>
          <w:sz w:val="24"/>
          <w:szCs w:val="24"/>
        </w:rPr>
      </w:pPr>
      <w:r>
        <w:rPr>
          <w:rFonts w:hint="eastAsia" w:ascii="宋体" w:hAnsi="宋体"/>
          <w:sz w:val="24"/>
          <w:szCs w:val="24"/>
        </w:rPr>
        <w:t>证券代码：</w:t>
      </w:r>
      <w:r>
        <w:rPr>
          <w:rFonts w:ascii="宋体" w:hAnsi="宋体"/>
          <w:sz w:val="24"/>
          <w:szCs w:val="24"/>
        </w:rPr>
        <w:t>600755</w:t>
      </w:r>
      <w:r>
        <w:rPr>
          <w:rFonts w:hint="eastAsia" w:ascii="宋体" w:hAnsi="宋体"/>
          <w:sz w:val="24"/>
          <w:szCs w:val="24"/>
        </w:rPr>
        <w:t xml:space="preserve">                      </w:t>
      </w:r>
      <w:r>
        <w:rPr>
          <w:rFonts w:ascii="宋体" w:hAnsi="宋体"/>
          <w:sz w:val="24"/>
          <w:szCs w:val="24"/>
        </w:rPr>
        <w:t xml:space="preserve">     </w:t>
      </w:r>
      <w:r>
        <w:rPr>
          <w:rFonts w:hint="eastAsia" w:ascii="宋体" w:hAnsi="宋体"/>
          <w:sz w:val="24"/>
          <w:szCs w:val="24"/>
        </w:rPr>
        <w:t>公司简称：</w:t>
      </w:r>
      <w:r>
        <w:rPr>
          <w:rFonts w:ascii="宋体" w:hAnsi="宋体"/>
          <w:sz w:val="24"/>
          <w:szCs w:val="24"/>
        </w:rPr>
        <w:t>厦门国贸</w:t>
      </w:r>
    </w:p>
    <w:p w14:paraId="777AA60B">
      <w:pPr>
        <w:jc w:val="center"/>
        <w:rPr>
          <w:rFonts w:hint="eastAsia" w:ascii="黑体" w:hAnsi="黑体" w:eastAsia="黑体"/>
          <w:sz w:val="36"/>
          <w:szCs w:val="36"/>
        </w:rPr>
      </w:pPr>
      <w:r>
        <w:rPr>
          <w:rFonts w:hint="eastAsia" w:ascii="黑体" w:hAnsi="黑体" w:eastAsia="黑体"/>
          <w:sz w:val="36"/>
          <w:szCs w:val="36"/>
        </w:rPr>
        <w:t>厦门国贸集团股份有限公司</w:t>
      </w:r>
    </w:p>
    <w:p w14:paraId="6D7FD621">
      <w:pPr>
        <w:jc w:val="center"/>
        <w:rPr>
          <w:rFonts w:hint="eastAsia" w:ascii="黑体" w:hAnsi="黑体" w:eastAsia="黑体"/>
          <w:sz w:val="36"/>
          <w:szCs w:val="36"/>
        </w:rPr>
      </w:pPr>
      <w:r>
        <w:rPr>
          <w:rFonts w:hint="eastAsia" w:ascii="黑体" w:hAnsi="黑体" w:eastAsia="黑体"/>
          <w:sz w:val="36"/>
          <w:szCs w:val="36"/>
        </w:rPr>
        <w:t>2025年度暨2026年第一季度业绩说明会</w:t>
      </w:r>
    </w:p>
    <w:p w14:paraId="070F13C7">
      <w:pPr>
        <w:jc w:val="center"/>
        <w:rPr>
          <w:rFonts w:hint="eastAsia" w:ascii="黑体" w:hAnsi="黑体" w:eastAsia="黑体"/>
          <w:sz w:val="36"/>
          <w:szCs w:val="36"/>
        </w:rPr>
      </w:pPr>
      <w:r>
        <w:rPr>
          <w:rFonts w:hint="eastAsia" w:ascii="黑体" w:hAnsi="黑体" w:eastAsia="黑体"/>
          <w:sz w:val="36"/>
          <w:szCs w:val="36"/>
        </w:rPr>
        <w:t>投资者关系活动记录表</w:t>
      </w:r>
    </w:p>
    <w:p w14:paraId="241D5D62">
      <w:pPr>
        <w:ind w:right="720"/>
        <w:jc w:val="right"/>
        <w:rPr>
          <w:rFonts w:hint="eastAsia" w:ascii="黑体" w:hAnsi="黑体" w:eastAsia="黑体"/>
          <w:sz w:val="24"/>
          <w:szCs w:val="24"/>
        </w:rPr>
      </w:pPr>
    </w:p>
    <w:tbl>
      <w:tblPr>
        <w:tblStyle w:val="10"/>
        <w:tblW w:w="871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6"/>
        <w:gridCol w:w="7191"/>
      </w:tblGrid>
      <w:tr w14:paraId="62148BE3">
        <w:tblPrEx>
          <w:tblLayout w:type="fixed"/>
        </w:tblPrEx>
        <w:trPr>
          <w:trHeight w:val="838" w:hRule="atLeast"/>
        </w:trPr>
        <w:tc>
          <w:tcPr>
            <w:tcW w:w="1526" w:type="dxa"/>
            <w:vAlign w:val="center"/>
          </w:tcPr>
          <w:p w14:paraId="15944C13">
            <w:pPr>
              <w:rPr>
                <w:sz w:val="24"/>
                <w:szCs w:val="24"/>
              </w:rPr>
            </w:pPr>
            <w:r>
              <w:rPr>
                <w:rFonts w:hint="eastAsia"/>
                <w:sz w:val="24"/>
                <w:szCs w:val="24"/>
              </w:rPr>
              <w:t>投资者关系活动类别</w:t>
            </w:r>
          </w:p>
        </w:tc>
        <w:tc>
          <w:tcPr>
            <w:tcW w:w="7191" w:type="dxa"/>
            <w:vAlign w:val="center"/>
          </w:tcPr>
          <w:p w14:paraId="753735B6">
            <w:pPr>
              <w:spacing w:line="360" w:lineRule="auto"/>
              <w:rPr>
                <w:sz w:val="24"/>
                <w:szCs w:val="24"/>
              </w:rPr>
            </w:pPr>
            <w:r>
              <w:rPr>
                <w:rFonts w:hint="eastAsia" w:ascii="宋体" w:hAnsi="宋体" w:cs="宋体"/>
                <w:sz w:val="24"/>
                <w:szCs w:val="24"/>
              </w:rPr>
              <w:t>业绩说明会</w:t>
            </w:r>
          </w:p>
        </w:tc>
      </w:tr>
      <w:tr w14:paraId="74110C91">
        <w:tblPrEx>
          <w:tblLayout w:type="fixed"/>
        </w:tblPrEx>
        <w:trPr>
          <w:trHeight w:val="838" w:hRule="atLeast"/>
        </w:trPr>
        <w:tc>
          <w:tcPr>
            <w:tcW w:w="1526" w:type="dxa"/>
            <w:vAlign w:val="center"/>
          </w:tcPr>
          <w:p w14:paraId="49477E92">
            <w:pPr>
              <w:rPr>
                <w:sz w:val="24"/>
                <w:szCs w:val="24"/>
              </w:rPr>
            </w:pPr>
            <w:r>
              <w:rPr>
                <w:rFonts w:hint="eastAsia"/>
                <w:sz w:val="24"/>
                <w:szCs w:val="24"/>
              </w:rPr>
              <w:t>活动主题</w:t>
            </w:r>
          </w:p>
        </w:tc>
        <w:tc>
          <w:tcPr>
            <w:tcW w:w="7191" w:type="dxa"/>
            <w:vAlign w:val="center"/>
          </w:tcPr>
          <w:p w14:paraId="56CF9196">
            <w:pPr>
              <w:rPr>
                <w:sz w:val="24"/>
                <w:szCs w:val="24"/>
              </w:rPr>
            </w:pPr>
            <w:r>
              <w:rPr>
                <w:rFonts w:hint="eastAsia" w:ascii="宋体" w:hAnsi="宋体" w:cs="宋体"/>
                <w:bCs/>
                <w:iCs/>
                <w:color w:val="000000"/>
                <w:sz w:val="24"/>
                <w:lang w:val="en-GB"/>
              </w:rPr>
              <w:t>厦门国贸2025年度暨2026年第一季度业绩说明会</w:t>
            </w:r>
          </w:p>
        </w:tc>
      </w:tr>
      <w:tr w14:paraId="6752A8AC">
        <w:tblPrEx>
          <w:tblLayout w:type="fixed"/>
        </w:tblPrEx>
        <w:trPr>
          <w:trHeight w:val="799" w:hRule="atLeast"/>
        </w:trPr>
        <w:tc>
          <w:tcPr>
            <w:tcW w:w="1526" w:type="dxa"/>
            <w:vAlign w:val="center"/>
          </w:tcPr>
          <w:p w14:paraId="4D1C1827">
            <w:pPr>
              <w:rPr>
                <w:sz w:val="24"/>
                <w:szCs w:val="24"/>
              </w:rPr>
            </w:pPr>
            <w:r>
              <w:rPr>
                <w:rFonts w:hint="eastAsia"/>
                <w:sz w:val="24"/>
                <w:szCs w:val="24"/>
              </w:rPr>
              <w:t>时间</w:t>
            </w:r>
          </w:p>
        </w:tc>
        <w:tc>
          <w:tcPr>
            <w:tcW w:w="7191" w:type="dxa"/>
            <w:vAlign w:val="center"/>
          </w:tcPr>
          <w:p w14:paraId="49D76536">
            <w:pPr>
              <w:rPr>
                <w:sz w:val="24"/>
                <w:szCs w:val="24"/>
              </w:rPr>
            </w:pPr>
            <w:r>
              <w:rPr>
                <w:rFonts w:hint="eastAsia" w:ascii="宋体" w:hAnsi="宋体" w:cs="宋体"/>
                <w:bCs/>
                <w:iCs/>
                <w:color w:val="000000"/>
                <w:sz w:val="24"/>
              </w:rPr>
              <w:t>2026</w:t>
            </w:r>
            <w:r>
              <w:rPr>
                <w:rFonts w:hint="eastAsia" w:ascii="宋体" w:hAnsi="宋体" w:cs="宋体"/>
                <w:bCs/>
                <w:iCs/>
                <w:color w:val="000000"/>
                <w:sz w:val="24"/>
              </w:rPr>
              <w:t>年5月22日（周五）上午</w:t>
            </w:r>
            <w:r>
              <w:rPr>
                <w:rFonts w:hint="eastAsia" w:ascii="宋体" w:hAnsi="宋体" w:cs="宋体"/>
                <w:bCs/>
                <w:iCs/>
                <w:color w:val="000000"/>
                <w:sz w:val="24"/>
              </w:rPr>
              <w:t>10:00-11:30</w:t>
            </w:r>
          </w:p>
        </w:tc>
      </w:tr>
      <w:tr w14:paraId="616DD6D8">
        <w:tblPrEx>
          <w:tblLayout w:type="fixed"/>
        </w:tblPrEx>
        <w:trPr>
          <w:trHeight w:val="838" w:hRule="atLeast"/>
        </w:trPr>
        <w:tc>
          <w:tcPr>
            <w:tcW w:w="1526" w:type="dxa"/>
            <w:vAlign w:val="center"/>
          </w:tcPr>
          <w:p w14:paraId="691DC971">
            <w:pPr>
              <w:rPr>
                <w:sz w:val="24"/>
                <w:szCs w:val="24"/>
              </w:rPr>
            </w:pPr>
            <w:r>
              <w:rPr>
                <w:rFonts w:hint="eastAsia"/>
                <w:sz w:val="24"/>
                <w:szCs w:val="24"/>
              </w:rPr>
              <w:t>地点</w:t>
            </w:r>
            <w:r>
              <w:rPr>
                <w:rFonts w:hint="eastAsia" w:ascii="宋体" w:hAnsi="宋体"/>
                <w:sz w:val="24"/>
                <w:szCs w:val="24"/>
              </w:rPr>
              <w:t>/</w:t>
            </w:r>
            <w:r>
              <w:rPr>
                <w:rFonts w:hint="eastAsia"/>
                <w:sz w:val="24"/>
                <w:szCs w:val="24"/>
              </w:rPr>
              <w:t>方式</w:t>
            </w:r>
          </w:p>
        </w:tc>
        <w:tc>
          <w:tcPr>
            <w:tcW w:w="7191" w:type="dxa"/>
            <w:vAlign w:val="center"/>
          </w:tcPr>
          <w:p w14:paraId="36C5D0AA">
            <w:pPr>
              <w:rPr>
                <w:rFonts w:hint="eastAsia" w:ascii="宋体" w:hAnsi="宋体"/>
                <w:bCs/>
                <w:sz w:val="24"/>
              </w:rPr>
            </w:pPr>
            <w:r>
              <w:rPr>
                <w:rFonts w:hint="eastAsia" w:ascii="宋体" w:hAnsi="宋体"/>
                <w:bCs/>
                <w:sz w:val="24"/>
              </w:rPr>
              <w:t xml:space="preserve">上证路演中心 </w:t>
            </w:r>
            <w:r>
              <w:fldChar w:fldCharType="begin"/>
            </w:r>
            <w:r>
              <w:instrText xml:space="preserve"> HYPERLINK "https://roadshow.sseinfo.com" </w:instrText>
            </w:r>
            <w:r>
              <w:fldChar w:fldCharType="separate"/>
            </w:r>
            <w:r>
              <w:rPr>
                <w:rStyle w:val="7"/>
                <w:rFonts w:hint="eastAsia" w:ascii="宋体" w:hAnsi="宋体"/>
                <w:bCs/>
                <w:sz w:val="24"/>
              </w:rPr>
              <w:t>https://roadshow.sseinfo.com</w:t>
            </w:r>
            <w:r>
              <w:rPr>
                <w:rStyle w:val="7"/>
                <w:rFonts w:hint="eastAsia" w:ascii="宋体" w:hAnsi="宋体"/>
                <w:bCs/>
                <w:sz w:val="24"/>
              </w:rPr>
              <w:fldChar w:fldCharType="end"/>
            </w:r>
          </w:p>
          <w:p w14:paraId="5DE2D0B7">
            <w:pPr>
              <w:rPr>
                <w:sz w:val="24"/>
                <w:szCs w:val="24"/>
              </w:rPr>
            </w:pPr>
            <w:r>
              <w:rPr>
                <w:rFonts w:hint="eastAsia" w:ascii="宋体" w:hAnsi="宋体"/>
                <w:bCs/>
                <w:sz w:val="24"/>
              </w:rPr>
              <w:t>视频录播+网络文字互动</w:t>
            </w:r>
          </w:p>
        </w:tc>
      </w:tr>
      <w:tr w14:paraId="216EACA0">
        <w:tblPrEx>
          <w:tblLayout w:type="fixed"/>
        </w:tblPrEx>
        <w:trPr>
          <w:trHeight w:val="838" w:hRule="atLeast"/>
        </w:trPr>
        <w:tc>
          <w:tcPr>
            <w:tcW w:w="1526" w:type="dxa"/>
            <w:vAlign w:val="center"/>
          </w:tcPr>
          <w:p w14:paraId="4DD7F88E">
            <w:pPr>
              <w:rPr>
                <w:sz w:val="24"/>
                <w:szCs w:val="24"/>
              </w:rPr>
            </w:pPr>
            <w:r>
              <w:rPr>
                <w:rFonts w:hint="eastAsia"/>
                <w:sz w:val="24"/>
                <w:szCs w:val="24"/>
              </w:rPr>
              <w:t>参会人员</w:t>
            </w:r>
          </w:p>
        </w:tc>
        <w:tc>
          <w:tcPr>
            <w:tcW w:w="7191" w:type="dxa"/>
            <w:vAlign w:val="center"/>
          </w:tcPr>
          <w:p w14:paraId="02E25FB2">
            <w:pPr>
              <w:spacing w:line="360" w:lineRule="auto"/>
              <w:rPr>
                <w:rFonts w:hint="eastAsia" w:ascii="宋体" w:hAnsi="宋体" w:cs="宋体"/>
                <w:sz w:val="24"/>
                <w:szCs w:val="24"/>
              </w:rPr>
            </w:pPr>
            <w:r>
              <w:rPr>
                <w:rFonts w:hint="eastAsia" w:ascii="宋体" w:hAnsi="宋体" w:cs="宋体"/>
                <w:sz w:val="24"/>
                <w:szCs w:val="24"/>
              </w:rPr>
              <w:t>董事长、总裁：蔡莹彬</w:t>
            </w:r>
          </w:p>
          <w:p w14:paraId="2B70254F">
            <w:pPr>
              <w:spacing w:line="360" w:lineRule="auto"/>
              <w:rPr>
                <w:rFonts w:hint="eastAsia" w:ascii="宋体" w:hAnsi="宋体" w:cs="宋体"/>
                <w:sz w:val="24"/>
                <w:szCs w:val="24"/>
              </w:rPr>
            </w:pPr>
            <w:r>
              <w:rPr>
                <w:rFonts w:hint="eastAsia" w:ascii="宋体" w:hAnsi="宋体" w:cs="宋体"/>
                <w:sz w:val="24"/>
                <w:szCs w:val="24"/>
              </w:rPr>
              <w:t>独立董事：彭水军</w:t>
            </w:r>
          </w:p>
          <w:p w14:paraId="6C6A1942">
            <w:pPr>
              <w:spacing w:line="360" w:lineRule="auto"/>
              <w:rPr>
                <w:rFonts w:hint="eastAsia" w:ascii="宋体" w:hAnsi="宋体" w:cs="宋体"/>
                <w:sz w:val="24"/>
                <w:szCs w:val="24"/>
              </w:rPr>
            </w:pPr>
            <w:r>
              <w:rPr>
                <w:rFonts w:hint="eastAsia" w:ascii="宋体" w:hAnsi="宋体" w:cs="宋体"/>
                <w:sz w:val="24"/>
                <w:szCs w:val="24"/>
              </w:rPr>
              <w:t>副总裁、董事会秘书：范丹</w:t>
            </w:r>
          </w:p>
          <w:p w14:paraId="7167427D">
            <w:pPr>
              <w:spacing w:line="360" w:lineRule="auto"/>
              <w:rPr>
                <w:sz w:val="24"/>
                <w:szCs w:val="24"/>
              </w:rPr>
            </w:pPr>
            <w:r>
              <w:rPr>
                <w:rFonts w:hint="eastAsia" w:ascii="宋体" w:hAnsi="宋体" w:cs="宋体"/>
                <w:sz w:val="24"/>
                <w:szCs w:val="24"/>
              </w:rPr>
              <w:t>副总裁、财务总监：周朝华</w:t>
            </w:r>
          </w:p>
        </w:tc>
      </w:tr>
      <w:tr w14:paraId="63981FC9">
        <w:tblPrEx>
          <w:tblLayout w:type="fixed"/>
        </w:tblPrEx>
        <w:trPr>
          <w:trHeight w:val="557" w:hRule="atLeast"/>
        </w:trPr>
        <w:tc>
          <w:tcPr>
            <w:tcW w:w="1526" w:type="dxa"/>
            <w:vAlign w:val="center"/>
          </w:tcPr>
          <w:p w14:paraId="2DE1294D">
            <w:pPr>
              <w:rPr>
                <w:sz w:val="24"/>
                <w:szCs w:val="24"/>
              </w:rPr>
            </w:pPr>
            <w:r>
              <w:rPr>
                <w:rFonts w:hint="eastAsia"/>
                <w:sz w:val="24"/>
                <w:szCs w:val="24"/>
              </w:rPr>
              <w:t>投资者关系活动主要内容介绍</w:t>
            </w:r>
          </w:p>
        </w:tc>
        <w:tc>
          <w:tcPr>
            <w:tcW w:w="7191" w:type="dxa"/>
          </w:tcPr>
          <w:p w14:paraId="0E77A967">
            <w:pPr>
              <w:spacing w:before="156" w:beforeLines="50" w:line="360" w:lineRule="auto"/>
              <w:rPr>
                <w:rFonts w:hint="eastAsia" w:ascii="宋体" w:hAnsi="宋体"/>
                <w:b/>
                <w:sz w:val="24"/>
              </w:rPr>
            </w:pPr>
            <w:r>
              <w:rPr>
                <w:rFonts w:hint="eastAsia" w:ascii="宋体" w:hAnsi="宋体"/>
                <w:b/>
                <w:sz w:val="24"/>
              </w:rPr>
              <w:t>一、公司管理层就公司2025年及2026年第一季度经营情况、2026年经营规划及展望、估值提升计划执行情况等进行汇报。其中，公司估值提升计划执行情况的专项说明如下：</w:t>
            </w:r>
          </w:p>
          <w:p w14:paraId="678248DD">
            <w:pPr>
              <w:spacing w:line="360" w:lineRule="auto"/>
              <w:ind w:firstLine="480" w:firstLineChars="200"/>
              <w:rPr>
                <w:rFonts w:ascii="宋体"/>
                <w:sz w:val="24"/>
              </w:rPr>
            </w:pPr>
            <w:r>
              <w:rPr>
                <w:rFonts w:hint="eastAsia" w:ascii="宋体"/>
                <w:sz w:val="24"/>
              </w:rPr>
              <w:t>（一）聚焦主营业务，提升经营质量</w:t>
            </w:r>
          </w:p>
          <w:p w14:paraId="0C32223A">
            <w:pPr>
              <w:spacing w:line="360" w:lineRule="auto"/>
              <w:ind w:firstLine="480" w:firstLineChars="200"/>
              <w:rPr>
                <w:rFonts w:ascii="宋体"/>
                <w:sz w:val="24"/>
              </w:rPr>
            </w:pPr>
            <w:r>
              <w:rPr>
                <w:rFonts w:hint="eastAsia" w:ascii="宋体"/>
                <w:sz w:val="24"/>
              </w:rPr>
              <w:t>2025年，公司大宗商品整体经营货量保持稳健，同比增长约7%。公司制定了新一轮五年发展战略规划，聚焦做强做优做精供应链管理核心主业，夯实经营底盘；紧跟能源转型、绿色转型及新质生产力驱动的产业升级趋势与要求，持续扩展供应链核心主业的应用场景与业务边界，通过产业化布局和国际化拓展，为公司发展注入新的增长动力。</w:t>
            </w:r>
          </w:p>
          <w:p w14:paraId="7A57B9AC">
            <w:pPr>
              <w:spacing w:line="360" w:lineRule="auto"/>
              <w:ind w:firstLine="480" w:firstLineChars="200"/>
              <w:rPr>
                <w:rFonts w:ascii="宋体"/>
                <w:sz w:val="24"/>
              </w:rPr>
            </w:pPr>
            <w:r>
              <w:rPr>
                <w:rFonts w:hint="eastAsia" w:ascii="宋体"/>
                <w:sz w:val="24"/>
              </w:rPr>
              <w:t>（二）把握发展机遇，加快培育新质生产力</w:t>
            </w:r>
          </w:p>
          <w:p w14:paraId="127AFAF1">
            <w:pPr>
              <w:spacing w:line="360" w:lineRule="auto"/>
              <w:ind w:firstLine="480" w:firstLineChars="200"/>
              <w:rPr>
                <w:rFonts w:ascii="宋体"/>
                <w:sz w:val="24"/>
              </w:rPr>
            </w:pPr>
            <w:r>
              <w:rPr>
                <w:rFonts w:hint="eastAsia" w:ascii="宋体"/>
                <w:sz w:val="24"/>
              </w:rPr>
              <w:t>公司积极布局新能源、新质生产力等新兴赛道，战略投资入股新能源、新材料的行业龙头企业，并与其新增签署长期协议及深度业务合作，加速布局绿色低碳产业链上游。同时，公司全面实施数智化战略，加速“人工智能+”在供应链管理各环节的深度应用，赋能产业链提质增效。</w:t>
            </w:r>
          </w:p>
          <w:p w14:paraId="12F9A1FB">
            <w:pPr>
              <w:spacing w:line="360" w:lineRule="auto"/>
              <w:ind w:firstLine="480" w:firstLineChars="200"/>
              <w:rPr>
                <w:rFonts w:ascii="宋体"/>
                <w:sz w:val="24"/>
              </w:rPr>
            </w:pPr>
            <w:r>
              <w:rPr>
                <w:rFonts w:hint="eastAsia" w:ascii="宋体"/>
                <w:sz w:val="24"/>
              </w:rPr>
              <w:t>（三）积极开展并购重组，赋能主业并助力第二增长曲线发展</w:t>
            </w:r>
          </w:p>
          <w:p w14:paraId="0DC7D707">
            <w:pPr>
              <w:spacing w:line="360" w:lineRule="auto"/>
              <w:ind w:firstLine="480" w:firstLineChars="200"/>
              <w:rPr>
                <w:rFonts w:ascii="宋体"/>
                <w:sz w:val="24"/>
              </w:rPr>
            </w:pPr>
            <w:r>
              <w:rPr>
                <w:rFonts w:hint="eastAsia" w:ascii="宋体"/>
                <w:sz w:val="24"/>
              </w:rPr>
              <w:t>公司围绕核心品类和新兴品类，持续深耕产业链上下游，坚持以产业投资赋能供应链管理业务发展，不断健全投研体系与风控机制，强化投后运营管理和产业协同，推动研究与投资成果高效转化，有效打通产业关键环节，持续提升核心资源控制能力。</w:t>
            </w:r>
          </w:p>
          <w:p w14:paraId="4690EDE7">
            <w:pPr>
              <w:spacing w:line="360" w:lineRule="auto"/>
              <w:ind w:firstLine="480" w:firstLineChars="200"/>
              <w:rPr>
                <w:rFonts w:ascii="宋体"/>
                <w:sz w:val="24"/>
              </w:rPr>
            </w:pPr>
            <w:r>
              <w:rPr>
                <w:rFonts w:hint="eastAsia" w:ascii="宋体"/>
                <w:sz w:val="24"/>
              </w:rPr>
              <w:t>（四）持续稳定分红，增加投资者回报</w:t>
            </w:r>
          </w:p>
          <w:p w14:paraId="41037FE6">
            <w:pPr>
              <w:spacing w:line="360" w:lineRule="auto"/>
              <w:ind w:firstLine="480" w:firstLineChars="200"/>
              <w:rPr>
                <w:rFonts w:ascii="宋体"/>
                <w:sz w:val="24"/>
              </w:rPr>
            </w:pPr>
            <w:r>
              <w:rPr>
                <w:rFonts w:hint="eastAsia" w:ascii="宋体"/>
                <w:sz w:val="24"/>
              </w:rPr>
              <w:t>公司始终重视回报股东，长期坚持以现金分红回馈投资者。2025年度中期分红已派发每股现金红利0.10元</w:t>
            </w:r>
            <w:r>
              <w:rPr>
                <w:rFonts w:hint="eastAsia" w:ascii="宋体"/>
                <w:sz w:val="24"/>
                <w:lang w:eastAsia="zh-CN"/>
              </w:rPr>
              <w:t>；2025年年度利润分配方案已通过股东会审议，</w:t>
            </w:r>
            <w:r>
              <w:rPr>
                <w:rFonts w:hint="eastAsia" w:ascii="宋体"/>
                <w:sz w:val="24"/>
              </w:rPr>
              <w:t>公司</w:t>
            </w:r>
            <w:r>
              <w:rPr>
                <w:rFonts w:hint="eastAsia" w:ascii="宋体"/>
                <w:sz w:val="24"/>
                <w:lang w:eastAsia="zh-CN"/>
              </w:rPr>
              <w:t>将</w:t>
            </w:r>
            <w:r>
              <w:rPr>
                <w:rFonts w:hint="eastAsia" w:ascii="宋体"/>
                <w:sz w:val="24"/>
              </w:rPr>
              <w:t>继续向全体股东每股派发</w:t>
            </w:r>
            <w:bookmarkStart w:id="3" w:name="_GoBack"/>
            <w:bookmarkEnd w:id="3"/>
            <w:r>
              <w:rPr>
                <w:rFonts w:hint="eastAsia" w:ascii="宋体"/>
                <w:sz w:val="24"/>
              </w:rPr>
              <w:t>现金红利0.12元，2025年度累计派发现金红利达到4.70亿元。含本次分红在内，公司近5年累计现金分红超48亿元。此外，公司拟在持续盈利且满足经营资金需求的情况下，继续进行2026年度中期现金分红。</w:t>
            </w:r>
          </w:p>
          <w:p w14:paraId="3E4E713F">
            <w:pPr>
              <w:spacing w:line="360" w:lineRule="auto"/>
              <w:ind w:firstLine="480" w:firstLineChars="200"/>
              <w:rPr>
                <w:rFonts w:ascii="宋体"/>
                <w:sz w:val="24"/>
              </w:rPr>
            </w:pPr>
            <w:r>
              <w:rPr>
                <w:rFonts w:hint="eastAsia" w:ascii="宋体"/>
                <w:sz w:val="24"/>
              </w:rPr>
              <w:t>（五）适时开展多元化激励形式，落实健全长效激励机制</w:t>
            </w:r>
          </w:p>
          <w:p w14:paraId="625B5DCB">
            <w:pPr>
              <w:spacing w:line="360" w:lineRule="auto"/>
              <w:ind w:firstLine="480" w:firstLineChars="200"/>
              <w:rPr>
                <w:rFonts w:ascii="宋体"/>
                <w:sz w:val="24"/>
              </w:rPr>
            </w:pPr>
            <w:r>
              <w:rPr>
                <w:rFonts w:hint="eastAsia" w:ascii="宋体"/>
                <w:sz w:val="24"/>
              </w:rPr>
              <w:t>公司不断健全激励约束机制，建立与发展战略相适应的薪酬政策，并持续优化薪酬体系，确保公司薪酬水平的市场竞争力；以绩效为指引，实施行业差异化、岗位差异化薪酬标准，保障公司薪酬水平的内部公平。公司对高级管理人员实行与经营目标相挂钩，基本收入、绩效收入与中长期激励收入相结合的年薪制，加强了对高管人员的长效激励和有效约束。</w:t>
            </w:r>
          </w:p>
          <w:p w14:paraId="662A21C4">
            <w:pPr>
              <w:spacing w:line="360" w:lineRule="auto"/>
              <w:ind w:firstLine="480" w:firstLineChars="200"/>
              <w:rPr>
                <w:rFonts w:ascii="宋体"/>
                <w:sz w:val="24"/>
              </w:rPr>
            </w:pPr>
            <w:r>
              <w:rPr>
                <w:rFonts w:hint="eastAsia" w:ascii="宋体"/>
                <w:sz w:val="24"/>
              </w:rPr>
              <w:t>（六）加强投资者关系管理，传递公司投资价值</w:t>
            </w:r>
          </w:p>
          <w:p w14:paraId="795E410E">
            <w:pPr>
              <w:spacing w:line="360" w:lineRule="auto"/>
              <w:ind w:firstLine="480" w:firstLineChars="200"/>
              <w:rPr>
                <w:rFonts w:ascii="宋体"/>
                <w:sz w:val="24"/>
              </w:rPr>
            </w:pPr>
            <w:r>
              <w:rPr>
                <w:rFonts w:hint="eastAsia" w:ascii="宋体"/>
                <w:sz w:val="24"/>
              </w:rPr>
              <w:t>公司持续加强投资者沟通，设置专岗接听投资者热线，在定期报告披露后，公司均召开了业绩说明会，保持与股东有效的沟通，并以路演、反路演、参加策略会等多种形式向资本市场传递公司价值。</w:t>
            </w:r>
          </w:p>
          <w:p w14:paraId="2FF2A2A9">
            <w:pPr>
              <w:spacing w:line="360" w:lineRule="auto"/>
              <w:ind w:firstLine="480" w:firstLineChars="200"/>
              <w:rPr>
                <w:rFonts w:ascii="宋体"/>
                <w:sz w:val="24"/>
              </w:rPr>
            </w:pPr>
            <w:r>
              <w:rPr>
                <w:rFonts w:hint="eastAsia" w:ascii="宋体"/>
                <w:sz w:val="24"/>
              </w:rPr>
              <w:t>（七）坚持规范运作，持续优化公司治理及信息披露</w:t>
            </w:r>
          </w:p>
          <w:p w14:paraId="0A56E884">
            <w:pPr>
              <w:spacing w:line="360" w:lineRule="auto"/>
              <w:ind w:firstLine="480" w:firstLineChars="200"/>
              <w:rPr>
                <w:rFonts w:ascii="宋体"/>
                <w:sz w:val="24"/>
              </w:rPr>
            </w:pPr>
            <w:r>
              <w:rPr>
                <w:rFonts w:hint="eastAsia" w:ascii="宋体"/>
                <w:sz w:val="24"/>
              </w:rPr>
              <w:t>公司按照法律、法规、部门规章、交易所规范性文件和《公司章程》的规定披露公司重大信息，披露信息均真实、准确、完整，使公司股东能够平等地获取公司重大信息。公司持续加强内幕信息知情人管理，并有序组织内幕信息知情人登记工作，有效防范内幕交易发生。</w:t>
            </w:r>
          </w:p>
          <w:p w14:paraId="4322CF7E">
            <w:pPr>
              <w:spacing w:line="360" w:lineRule="auto"/>
              <w:ind w:firstLine="480" w:firstLineChars="200"/>
              <w:rPr>
                <w:rFonts w:ascii="宋体"/>
                <w:sz w:val="24"/>
              </w:rPr>
            </w:pPr>
            <w:r>
              <w:rPr>
                <w:rFonts w:hint="eastAsia" w:ascii="宋体"/>
                <w:sz w:val="24"/>
              </w:rPr>
              <w:t>（八）聚焦“关键少数”，强化责任担当</w:t>
            </w:r>
          </w:p>
          <w:p w14:paraId="297EEFD0">
            <w:pPr>
              <w:spacing w:line="360" w:lineRule="auto"/>
              <w:ind w:firstLine="480" w:firstLineChars="200"/>
              <w:rPr>
                <w:rFonts w:ascii="宋体"/>
                <w:sz w:val="24"/>
              </w:rPr>
            </w:pPr>
            <w:r>
              <w:rPr>
                <w:rFonts w:hint="eastAsia" w:ascii="宋体"/>
                <w:sz w:val="24"/>
              </w:rPr>
              <w:t>公司持续加强对控股股东、董事及高级管理人员等“关键少数”的履职能力建设和合规意识培育，通过组织参加监管部门、上海证券交易所等举办的相关培训、及时传达监管政策和监管动态等方式，不断提升相关人员的自律和合规意识。</w:t>
            </w:r>
          </w:p>
          <w:p w14:paraId="05C2CCA4">
            <w:pPr>
              <w:spacing w:line="360" w:lineRule="auto"/>
              <w:ind w:firstLine="480" w:firstLineChars="200"/>
              <w:rPr>
                <w:rFonts w:ascii="宋体"/>
                <w:sz w:val="24"/>
              </w:rPr>
            </w:pPr>
            <w:r>
              <w:rPr>
                <w:rFonts w:hint="eastAsia" w:ascii="宋体"/>
                <w:sz w:val="24"/>
              </w:rPr>
              <w:t>（九）践行ESG建设，提升可持续发展能力</w:t>
            </w:r>
          </w:p>
          <w:p w14:paraId="1D316D65">
            <w:pPr>
              <w:spacing w:line="360" w:lineRule="auto"/>
              <w:ind w:firstLine="480" w:firstLineChars="200"/>
              <w:rPr>
                <w:rFonts w:ascii="宋体"/>
                <w:sz w:val="24"/>
              </w:rPr>
            </w:pPr>
            <w:r>
              <w:rPr>
                <w:rFonts w:hint="eastAsia" w:ascii="宋体"/>
                <w:sz w:val="24"/>
              </w:rPr>
              <w:t>公司坚持将ESG战略纳入整体发展规划，持续强化治理体系和合规管理。公司完善可持续发展治理机制，确保业务运营符合国内外法律法规及国际ESG标准；公司持续优化数据采集、监控与报告流程，提高可持续信息透明度与可比性，保障利益相关方获取高质量信息。通过制度化管理、规范化流程与</w:t>
            </w:r>
            <w:r>
              <w:rPr>
                <w:rFonts w:ascii="宋体"/>
                <w:sz w:val="24"/>
              </w:rPr>
              <w:t>促进价值合理体现</w:t>
            </w:r>
            <w:r>
              <w:rPr>
                <w:rFonts w:hint="eastAsia" w:ascii="宋体"/>
                <w:sz w:val="24"/>
              </w:rPr>
              <w:t>导向的综合落实，公司在供应链安全、气候行动、员工发展及社会责任等关键领域稳步推进，为企业长期可持续发展奠定坚实基础。</w:t>
            </w:r>
          </w:p>
          <w:p w14:paraId="0C3E8FEA">
            <w:pPr>
              <w:spacing w:line="360" w:lineRule="auto"/>
              <w:ind w:firstLine="480" w:firstLineChars="200"/>
              <w:rPr>
                <w:rFonts w:ascii="宋体"/>
                <w:sz w:val="24"/>
              </w:rPr>
            </w:pPr>
            <w:r>
              <w:rPr>
                <w:rFonts w:hint="eastAsia" w:ascii="宋体"/>
                <w:sz w:val="24"/>
              </w:rPr>
              <w:t>（十）持续研究市值管理工具运用</w:t>
            </w:r>
          </w:p>
          <w:p w14:paraId="5723BDC7">
            <w:pPr>
              <w:spacing w:line="360" w:lineRule="auto"/>
              <w:ind w:firstLine="480" w:firstLineChars="200"/>
              <w:rPr>
                <w:rFonts w:ascii="宋体"/>
                <w:sz w:val="24"/>
              </w:rPr>
            </w:pPr>
            <w:r>
              <w:rPr>
                <w:rFonts w:hint="eastAsia" w:ascii="宋体"/>
                <w:sz w:val="24"/>
              </w:rPr>
              <w:t>公司积极开展市值管理工具</w:t>
            </w:r>
            <w:bookmarkStart w:id="0" w:name="OLE_LINK1"/>
            <w:r>
              <w:rPr>
                <w:rFonts w:hint="eastAsia" w:ascii="宋体"/>
                <w:sz w:val="24"/>
              </w:rPr>
              <w:t>的研究</w:t>
            </w:r>
            <w:bookmarkEnd w:id="0"/>
            <w:r>
              <w:rPr>
                <w:rFonts w:hint="eastAsia" w:ascii="宋体"/>
                <w:sz w:val="24"/>
              </w:rPr>
              <w:t>，控股股东持续增持公司股份。公司控股股东自2024年10月31日至2025年4月30日期间，增持公司股份4,323.81万股，占公司已发行股份的1.995%，累计增持金额2.78亿元。</w:t>
            </w:r>
          </w:p>
          <w:p w14:paraId="31FA4B23">
            <w:pPr>
              <w:spacing w:before="156" w:beforeLines="50" w:line="360" w:lineRule="auto"/>
              <w:rPr>
                <w:rFonts w:hint="eastAsia" w:ascii="宋体" w:hAnsi="宋体"/>
                <w:b/>
                <w:sz w:val="24"/>
              </w:rPr>
            </w:pPr>
            <w:r>
              <w:rPr>
                <w:rFonts w:hint="eastAsia" w:ascii="宋体" w:hAnsi="宋体"/>
                <w:b/>
                <w:sz w:val="24"/>
              </w:rPr>
              <w:t>二、业绩说明会互动交流情况</w:t>
            </w:r>
          </w:p>
          <w:p w14:paraId="074BAB52">
            <w:pPr>
              <w:spacing w:line="360" w:lineRule="auto"/>
              <w:rPr>
                <w:b/>
                <w:bCs/>
              </w:rPr>
            </w:pPr>
            <w:r>
              <w:rPr>
                <w:rFonts w:hint="eastAsia" w:ascii="宋体"/>
                <w:b/>
                <w:bCs/>
                <w:sz w:val="24"/>
              </w:rPr>
              <w:t>1、</w:t>
            </w:r>
            <w:r>
              <w:rPr>
                <w:rFonts w:ascii="宋体"/>
                <w:b/>
                <w:bCs/>
                <w:sz w:val="24"/>
              </w:rPr>
              <w:t>公司2025年经营货量增长，什么品类表现较好？</w:t>
            </w:r>
          </w:p>
          <w:p w14:paraId="7CF828D9">
            <w:pPr>
              <w:spacing w:line="360" w:lineRule="auto"/>
              <w:ind w:firstLine="480" w:firstLineChars="200"/>
              <w:rPr>
                <w:rFonts w:ascii="宋体"/>
                <w:sz w:val="24"/>
              </w:rPr>
            </w:pPr>
            <w:r>
              <w:rPr>
                <w:rFonts w:hint="eastAsia" w:ascii="宋体"/>
                <w:sz w:val="24"/>
              </w:rPr>
              <w:t>2025年，</w:t>
            </w:r>
            <w:r>
              <w:rPr>
                <w:rFonts w:ascii="宋体"/>
                <w:sz w:val="24"/>
              </w:rPr>
              <w:t>公司大宗商品整体经营货量保持稳健，铁矿石、钢材、纸浆/纸张、煤炭、PTA等优势产品经营货量稳居行业第一梯队。</w:t>
            </w:r>
          </w:p>
          <w:p w14:paraId="574418A6">
            <w:pPr>
              <w:spacing w:line="360" w:lineRule="auto"/>
              <w:ind w:firstLine="480" w:firstLineChars="200"/>
              <w:rPr>
                <w:rFonts w:ascii="宋体"/>
                <w:b/>
                <w:bCs/>
                <w:sz w:val="24"/>
              </w:rPr>
            </w:pPr>
            <w:r>
              <w:rPr>
                <w:rFonts w:ascii="宋体"/>
                <w:sz w:val="24"/>
              </w:rPr>
              <w:t>公司持续推动业务结构升级，钢材业务中板材及工业材占比提升至近85%，耐候钢、家电板、汽车板等高附加值品种保持良好增长态势；木片经营货量同比增长超130%；铝及制品经营货量同比增长超70%，新兴品类拓展成效显著。</w:t>
            </w:r>
          </w:p>
          <w:p w14:paraId="3BF5A299">
            <w:pPr>
              <w:spacing w:line="360" w:lineRule="auto"/>
              <w:rPr>
                <w:b/>
                <w:bCs/>
              </w:rPr>
            </w:pPr>
            <w:r>
              <w:rPr>
                <w:rFonts w:hint="eastAsia" w:ascii="宋体"/>
                <w:b/>
                <w:bCs/>
                <w:sz w:val="24"/>
              </w:rPr>
              <w:t>2、</w:t>
            </w:r>
            <w:r>
              <w:rPr>
                <w:rFonts w:ascii="宋体"/>
                <w:b/>
                <w:bCs/>
                <w:sz w:val="24"/>
              </w:rPr>
              <w:t>当前数智化、AI发展是主流趋势，公司在哪些方面融入这些能力？有什么进展？</w:t>
            </w:r>
          </w:p>
          <w:p w14:paraId="596B8B8A">
            <w:pPr>
              <w:spacing w:line="360" w:lineRule="auto"/>
              <w:ind w:firstLine="480" w:firstLineChars="200"/>
              <w:rPr>
                <w:rFonts w:ascii="宋体"/>
                <w:sz w:val="24"/>
              </w:rPr>
            </w:pPr>
            <w:r>
              <w:rPr>
                <w:rFonts w:ascii="宋体"/>
                <w:sz w:val="24"/>
              </w:rPr>
              <w:t>公司持续推进数智升级，助推运营提效。例如，公司智慧供应链综合服务平台</w:t>
            </w:r>
            <w:r>
              <w:rPr>
                <w:rFonts w:hint="eastAsia" w:ascii="宋体"/>
                <w:sz w:val="24"/>
              </w:rPr>
              <w:t>“</w:t>
            </w:r>
            <w:r>
              <w:rPr>
                <w:rFonts w:ascii="宋体"/>
                <w:sz w:val="24"/>
              </w:rPr>
              <w:t>国贸云链</w:t>
            </w:r>
            <w:r>
              <w:rPr>
                <w:rFonts w:hint="eastAsia" w:ascii="宋体"/>
                <w:sz w:val="24"/>
              </w:rPr>
              <w:t>”</w:t>
            </w:r>
            <w:r>
              <w:rPr>
                <w:rFonts w:ascii="宋体"/>
                <w:sz w:val="24"/>
              </w:rPr>
              <w:t>集成电子签章、智慧物流、供应链金融等多项功能，融合AI大模型能力，为供应商、工厂、客户等提供全方位赋能与服务，打通产业链上各方的信息孤岛。物流业务中台</w:t>
            </w:r>
            <w:r>
              <w:rPr>
                <w:rFonts w:hint="eastAsia" w:ascii="宋体"/>
                <w:sz w:val="24"/>
              </w:rPr>
              <w:t>“</w:t>
            </w:r>
            <w:r>
              <w:rPr>
                <w:rFonts w:ascii="宋体"/>
                <w:sz w:val="24"/>
              </w:rPr>
              <w:t>国贸云链·慧通+</w:t>
            </w:r>
            <w:r>
              <w:rPr>
                <w:rFonts w:hint="eastAsia" w:ascii="宋体"/>
                <w:sz w:val="24"/>
              </w:rPr>
              <w:t>”</w:t>
            </w:r>
            <w:r>
              <w:rPr>
                <w:rFonts w:ascii="宋体"/>
                <w:sz w:val="24"/>
              </w:rPr>
              <w:t>，融合云计算、大数据、AI、区块链等前沿技术，依托仓储管理系统、运输管理系统以及智慧道闸地磅、视频监控平台等智能化模块，实现物流运营全流程线上化、无人化与可视化，显著提升作业效率、有效降低运营成本。公司打造大宗商品贸易期现管理系统、智慧档案管理系统、财务共享中心、外事管理系统、AI知识图谱系统等，持续强化中后台能力，并借助AI大模型与智能体，推动供应链运营从</w:t>
            </w:r>
            <w:r>
              <w:rPr>
                <w:rFonts w:hint="eastAsia" w:ascii="宋体"/>
                <w:sz w:val="24"/>
              </w:rPr>
              <w:t>“</w:t>
            </w:r>
            <w:r>
              <w:rPr>
                <w:rFonts w:ascii="宋体"/>
                <w:sz w:val="24"/>
              </w:rPr>
              <w:t>线上化</w:t>
            </w:r>
            <w:r>
              <w:rPr>
                <w:rFonts w:hint="eastAsia" w:ascii="宋体"/>
                <w:sz w:val="24"/>
              </w:rPr>
              <w:t>”</w:t>
            </w:r>
            <w:r>
              <w:rPr>
                <w:rFonts w:ascii="宋体"/>
                <w:sz w:val="24"/>
              </w:rPr>
              <w:t>向</w:t>
            </w:r>
            <w:r>
              <w:rPr>
                <w:rFonts w:hint="eastAsia" w:ascii="宋体"/>
                <w:sz w:val="24"/>
              </w:rPr>
              <w:t>“</w:t>
            </w:r>
            <w:r>
              <w:rPr>
                <w:rFonts w:ascii="宋体"/>
                <w:sz w:val="24"/>
              </w:rPr>
              <w:t>智能化</w:t>
            </w:r>
            <w:r>
              <w:rPr>
                <w:rFonts w:hint="eastAsia" w:ascii="宋体"/>
                <w:sz w:val="24"/>
              </w:rPr>
              <w:t>”</w:t>
            </w:r>
            <w:r>
              <w:rPr>
                <w:rFonts w:ascii="宋体"/>
                <w:sz w:val="24"/>
              </w:rPr>
              <w:t>跃迁，提升运营管理效能。</w:t>
            </w:r>
          </w:p>
          <w:p w14:paraId="0DD523AC">
            <w:pPr>
              <w:spacing w:line="360" w:lineRule="auto"/>
              <w:ind w:firstLine="480" w:firstLineChars="200"/>
              <w:rPr>
                <w:rFonts w:ascii="宋体"/>
                <w:sz w:val="24"/>
              </w:rPr>
            </w:pPr>
            <w:r>
              <w:rPr>
                <w:rFonts w:ascii="宋体"/>
                <w:sz w:val="24"/>
              </w:rPr>
              <w:t>2025年，公司持续深化</w:t>
            </w:r>
            <w:r>
              <w:rPr>
                <w:rFonts w:hint="eastAsia" w:ascii="宋体"/>
                <w:sz w:val="24"/>
              </w:rPr>
              <w:t>“</w:t>
            </w:r>
            <w:r>
              <w:rPr>
                <w:rFonts w:ascii="宋体"/>
                <w:sz w:val="24"/>
              </w:rPr>
              <w:t>国贸云链</w:t>
            </w:r>
            <w:r>
              <w:rPr>
                <w:rFonts w:hint="eastAsia" w:ascii="宋体"/>
                <w:sz w:val="24"/>
              </w:rPr>
              <w:t>”</w:t>
            </w:r>
            <w:r>
              <w:rPr>
                <w:rFonts w:ascii="宋体"/>
                <w:sz w:val="24"/>
              </w:rPr>
              <w:t>在业务单位的应用，全年通过</w:t>
            </w:r>
            <w:r>
              <w:rPr>
                <w:rFonts w:hint="eastAsia" w:ascii="宋体"/>
                <w:sz w:val="24"/>
              </w:rPr>
              <w:t>“</w:t>
            </w:r>
            <w:r>
              <w:rPr>
                <w:rFonts w:ascii="宋体"/>
                <w:sz w:val="24"/>
              </w:rPr>
              <w:t>国贸云链</w:t>
            </w:r>
            <w:r>
              <w:rPr>
                <w:rFonts w:hint="eastAsia" w:ascii="宋体"/>
                <w:sz w:val="24"/>
              </w:rPr>
              <w:t>”</w:t>
            </w:r>
            <w:r>
              <w:rPr>
                <w:rFonts w:ascii="宋体"/>
                <w:sz w:val="24"/>
              </w:rPr>
              <w:t>完成订单超12万笔，交易金额突破650亿元；公司探索AI技术在供应链管理的应用，开展铁矿石智慧决策链建设，构建价格预测等多个人工智能模型，借助AI能力提升决策效率、降低运营风险；</w:t>
            </w:r>
            <w:r>
              <w:rPr>
                <w:rFonts w:hint="eastAsia" w:ascii="宋体"/>
                <w:sz w:val="24"/>
              </w:rPr>
              <w:t>“</w:t>
            </w:r>
            <w:r>
              <w:rPr>
                <w:rFonts w:ascii="宋体"/>
                <w:sz w:val="24"/>
              </w:rPr>
              <w:t>国贸云链</w:t>
            </w:r>
            <w:r>
              <w:rPr>
                <w:rFonts w:hint="eastAsia" w:ascii="宋体"/>
                <w:sz w:val="24"/>
              </w:rPr>
              <w:t>”</w:t>
            </w:r>
            <w:r>
              <w:rPr>
                <w:rFonts w:ascii="宋体"/>
                <w:sz w:val="24"/>
              </w:rPr>
              <w:t>集成DeepSeek大模型，为用户提供自助下单、行情资讯与智能客服等一体化服务。</w:t>
            </w:r>
          </w:p>
          <w:p w14:paraId="6A214139">
            <w:pPr>
              <w:spacing w:line="360" w:lineRule="auto"/>
              <w:rPr>
                <w:b/>
                <w:bCs/>
              </w:rPr>
            </w:pPr>
            <w:r>
              <w:rPr>
                <w:rFonts w:hint="eastAsia" w:ascii="宋体"/>
                <w:b/>
                <w:bCs/>
                <w:sz w:val="24"/>
              </w:rPr>
              <w:t>3</w:t>
            </w:r>
            <w:r>
              <w:rPr>
                <w:rFonts w:ascii="宋体"/>
                <w:b/>
                <w:bCs/>
                <w:sz w:val="24"/>
              </w:rPr>
              <w:t>、目前公司股价处于破净状态，资本市场估值表现偏弱，您如何看待当下市值情况，后续会出台哪些市值维护、价值提升的相关安排？</w:t>
            </w:r>
          </w:p>
          <w:p w14:paraId="2F003D8D">
            <w:pPr>
              <w:spacing w:line="360" w:lineRule="auto"/>
              <w:ind w:firstLine="480" w:firstLineChars="200"/>
              <w:rPr>
                <w:rFonts w:ascii="宋体"/>
                <w:sz w:val="24"/>
              </w:rPr>
            </w:pPr>
            <w:bookmarkStart w:id="1" w:name="OLE_LINK2"/>
            <w:r>
              <w:rPr>
                <w:rFonts w:ascii="宋体"/>
                <w:sz w:val="24"/>
              </w:rPr>
              <w:t>公司高度重视市值管理，已制定并披露了估值提升计划，提出多项举措推动公司实现高质量发展，</w:t>
            </w:r>
            <w:bookmarkStart w:id="2" w:name="OLE_LINK3"/>
            <w:r>
              <w:rPr>
                <w:rFonts w:ascii="宋体"/>
                <w:sz w:val="24"/>
              </w:rPr>
              <w:t>促进价值合理体现</w:t>
            </w:r>
            <w:bookmarkEnd w:id="2"/>
            <w:r>
              <w:rPr>
                <w:rFonts w:ascii="宋体"/>
                <w:sz w:val="24"/>
              </w:rPr>
              <w:t>。公司股价</w:t>
            </w:r>
            <w:r>
              <w:rPr>
                <w:rFonts w:hint="eastAsia" w:ascii="宋体"/>
                <w:sz w:val="24"/>
              </w:rPr>
              <w:t>及</w:t>
            </w:r>
            <w:r>
              <w:rPr>
                <w:rFonts w:ascii="宋体"/>
                <w:sz w:val="24"/>
              </w:rPr>
              <w:t>市值表现受到多种因素影响，包括</w:t>
            </w:r>
            <w:r>
              <w:rPr>
                <w:rFonts w:hint="eastAsia" w:ascii="宋体"/>
                <w:sz w:val="24"/>
              </w:rPr>
              <w:t>行业周期波动、市场环境变化及经营</w:t>
            </w:r>
            <w:r>
              <w:rPr>
                <w:rFonts w:ascii="宋体"/>
                <w:sz w:val="24"/>
              </w:rPr>
              <w:t>业绩表现等。</w:t>
            </w:r>
          </w:p>
          <w:bookmarkEnd w:id="1"/>
          <w:p w14:paraId="0652E1A0">
            <w:pPr>
              <w:spacing w:line="360" w:lineRule="auto"/>
              <w:ind w:firstLine="480" w:firstLineChars="200"/>
              <w:rPr>
                <w:rFonts w:ascii="宋体"/>
                <w:sz w:val="24"/>
              </w:rPr>
            </w:pPr>
            <w:r>
              <w:rPr>
                <w:rFonts w:ascii="宋体"/>
                <w:sz w:val="24"/>
              </w:rPr>
              <w:t>公司将积极响应证监会等相关部门关于加强市值管理的相关指导意见和规定，以提高上市公司质量为基础，提升经营效率和盈利能力，并结合实际情况依法合规运用并购重组、股权激励、现金分红、投资者关系管理、信息披露、股份回购等</w:t>
            </w:r>
            <w:r>
              <w:rPr>
                <w:rFonts w:hint="eastAsia" w:ascii="宋体"/>
                <w:sz w:val="24"/>
              </w:rPr>
              <w:t>市值管理工具</w:t>
            </w:r>
            <w:r>
              <w:rPr>
                <w:rFonts w:ascii="宋体"/>
                <w:sz w:val="24"/>
              </w:rPr>
              <w:t>，推动公司投资价值提升。同时与市场各方</w:t>
            </w:r>
            <w:r>
              <w:rPr>
                <w:rFonts w:hint="eastAsia" w:ascii="宋体"/>
                <w:sz w:val="24"/>
              </w:rPr>
              <w:t>保持良好沟通</w:t>
            </w:r>
            <w:r>
              <w:rPr>
                <w:rFonts w:ascii="宋体"/>
                <w:sz w:val="24"/>
              </w:rPr>
              <w:t>，积极向资本市场传递公司价值，助力公司价值合理体现。</w:t>
            </w:r>
          </w:p>
          <w:p w14:paraId="6FDB8189">
            <w:pPr>
              <w:spacing w:line="360" w:lineRule="auto"/>
              <w:ind w:firstLine="480" w:firstLineChars="200"/>
              <w:rPr>
                <w:rFonts w:ascii="宋体"/>
                <w:sz w:val="24"/>
              </w:rPr>
            </w:pPr>
            <w:r>
              <w:rPr>
                <w:rFonts w:ascii="宋体"/>
                <w:sz w:val="24"/>
              </w:rPr>
              <w:t>公司2025年年度利润分配方案及2026年中期分红计划已于5月13日通过股东会审议。公司将按照相关规定，在股东会审议通过利润分配方案后</w:t>
            </w:r>
            <w:r>
              <w:rPr>
                <w:rFonts w:hint="eastAsia" w:ascii="宋体"/>
                <w:sz w:val="24"/>
              </w:rPr>
              <w:t>两</w:t>
            </w:r>
            <w:r>
              <w:rPr>
                <w:rFonts w:ascii="宋体"/>
                <w:sz w:val="24"/>
              </w:rPr>
              <w:t>个月内实施完成分红。同时，公司董事会将在满足中期利润分配条件的情况下，制定具体的2026年中期利润分配方案，持续回馈投资</w:t>
            </w:r>
            <w:r>
              <w:rPr>
                <w:rFonts w:hint="eastAsia" w:ascii="宋体"/>
                <w:sz w:val="24"/>
              </w:rPr>
              <w:t>者</w:t>
            </w:r>
            <w:r>
              <w:rPr>
                <w:rFonts w:ascii="宋体"/>
                <w:sz w:val="24"/>
              </w:rPr>
              <w:t>。</w:t>
            </w:r>
          </w:p>
          <w:p w14:paraId="58DCD6C4">
            <w:pPr>
              <w:spacing w:line="360" w:lineRule="auto"/>
              <w:rPr>
                <w:rFonts w:ascii="宋体"/>
                <w:b/>
                <w:bCs/>
                <w:sz w:val="24"/>
              </w:rPr>
            </w:pPr>
            <w:r>
              <w:rPr>
                <w:rFonts w:hint="eastAsia" w:ascii="宋体"/>
                <w:b/>
                <w:bCs/>
                <w:sz w:val="24"/>
              </w:rPr>
              <w:t>4</w:t>
            </w:r>
            <w:r>
              <w:rPr>
                <w:rFonts w:ascii="宋体"/>
                <w:b/>
                <w:bCs/>
                <w:sz w:val="24"/>
              </w:rPr>
              <w:t>、目前公司股价长期破净，资本市场估值偏低，日常机构调研、中小投资者沟通频次如何？后续计划通过哪些常态化沟通方式，向市场传递公司真实经营价值，修复市场估值预期？</w:t>
            </w:r>
          </w:p>
          <w:p w14:paraId="272D896A">
            <w:pPr>
              <w:spacing w:line="360" w:lineRule="auto"/>
              <w:ind w:firstLine="480" w:firstLineChars="200"/>
              <w:rPr>
                <w:rFonts w:ascii="宋体"/>
                <w:sz w:val="24"/>
              </w:rPr>
            </w:pPr>
            <w:r>
              <w:rPr>
                <w:rFonts w:ascii="宋体"/>
                <w:sz w:val="24"/>
              </w:rPr>
              <w:t>公司持续加强投资者沟通，设置专岗接听投资者热线。在定期报告披露后，公司均召开了业绩说明会，保持与股东有效的沟通。</w:t>
            </w:r>
            <w:r>
              <w:rPr>
                <w:rFonts w:hint="eastAsia" w:ascii="宋体"/>
                <w:sz w:val="24"/>
              </w:rPr>
              <w:t>日常工作中，</w:t>
            </w:r>
            <w:r>
              <w:rPr>
                <w:rFonts w:ascii="宋体"/>
                <w:sz w:val="24"/>
              </w:rPr>
              <w:t>公司以路演、反路演、参加策略会等多种形式向资本市场传递公司价值，2025年完成线上、线下交流超150场。</w:t>
            </w:r>
          </w:p>
          <w:p w14:paraId="1689B786">
            <w:pPr>
              <w:spacing w:line="360" w:lineRule="auto"/>
              <w:ind w:firstLine="480" w:firstLineChars="200"/>
              <w:rPr>
                <w:rFonts w:ascii="宋体"/>
                <w:sz w:val="24"/>
              </w:rPr>
            </w:pPr>
            <w:r>
              <w:rPr>
                <w:rFonts w:ascii="宋体"/>
                <w:sz w:val="24"/>
              </w:rPr>
              <w:t>未来公司将持续通过多样化的方式和渠道开展投资者交流工作，常态化召开业绩说明会，传递公司投资价值，切实保证投资者对公司信息的全面了解、沟通渠道畅通，同时也将主动听取投资者对公司发展和提升市值方面的意见和建议，</w:t>
            </w:r>
            <w:r>
              <w:rPr>
                <w:rFonts w:hint="eastAsia" w:ascii="宋体"/>
                <w:sz w:val="24"/>
              </w:rPr>
              <w:t>致力于</w:t>
            </w:r>
            <w:r>
              <w:rPr>
                <w:rFonts w:ascii="宋体"/>
                <w:sz w:val="24"/>
              </w:rPr>
              <w:t>与投资者建立长期、稳定、互信的</w:t>
            </w:r>
            <w:r>
              <w:rPr>
                <w:rFonts w:hint="eastAsia" w:ascii="宋体"/>
                <w:sz w:val="24"/>
              </w:rPr>
              <w:t>良好</w:t>
            </w:r>
            <w:r>
              <w:rPr>
                <w:rFonts w:ascii="宋体"/>
                <w:sz w:val="24"/>
              </w:rPr>
              <w:t>关系。</w:t>
            </w:r>
          </w:p>
          <w:p w14:paraId="02A0DDF4">
            <w:pPr>
              <w:spacing w:line="360" w:lineRule="auto"/>
              <w:rPr>
                <w:b/>
                <w:bCs/>
              </w:rPr>
            </w:pPr>
            <w:r>
              <w:rPr>
                <w:rFonts w:hint="eastAsia" w:ascii="宋体"/>
                <w:b/>
                <w:bCs/>
                <w:sz w:val="24"/>
              </w:rPr>
              <w:t>5、</w:t>
            </w:r>
            <w:r>
              <w:rPr>
                <w:rFonts w:ascii="宋体"/>
                <w:b/>
                <w:bCs/>
                <w:sz w:val="24"/>
              </w:rPr>
              <w:t>行业周期、两岸经贸政策变动容易引发市场舆情波动，公司建立了怎样的舆情应对与对外解读机制，避免不实信息影响公司股价与品牌形象？</w:t>
            </w:r>
          </w:p>
          <w:p w14:paraId="6256C7BB">
            <w:pPr>
              <w:spacing w:line="360" w:lineRule="auto"/>
              <w:ind w:firstLine="480" w:firstLineChars="200"/>
              <w:rPr>
                <w:rFonts w:ascii="宋体"/>
                <w:sz w:val="24"/>
              </w:rPr>
            </w:pPr>
            <w:r>
              <w:rPr>
                <w:rFonts w:ascii="宋体"/>
                <w:sz w:val="24"/>
              </w:rPr>
              <w:t>一是严格履行信息披露法定义务，秉持真实、准确、完整、及时、公平原则，规范向社会公众及广大投资者披露相关信息；坚决杜绝虚假记载、误导性陈述、选择性披露及不当蹭热点行为，充分保障广大投资者合法知情权。</w:t>
            </w:r>
          </w:p>
          <w:p w14:paraId="47EDFA44">
            <w:pPr>
              <w:spacing w:line="360" w:lineRule="auto"/>
              <w:ind w:firstLine="480" w:firstLineChars="200"/>
              <w:rPr>
                <w:rFonts w:ascii="宋体"/>
                <w:sz w:val="24"/>
              </w:rPr>
            </w:pPr>
            <w:r>
              <w:rPr>
                <w:rFonts w:ascii="宋体"/>
                <w:sz w:val="24"/>
              </w:rPr>
              <w:t>二是依托业绩说明会、上证e互动、投资者热线等多元沟通渠道，主动提升信息透明度，缩小信息不对称，畅通投资者沟通交流机制。</w:t>
            </w:r>
          </w:p>
          <w:p w14:paraId="75DF0F32">
            <w:pPr>
              <w:spacing w:line="360" w:lineRule="auto"/>
              <w:ind w:firstLine="480" w:firstLineChars="200"/>
              <w:rPr>
                <w:rFonts w:ascii="宋体"/>
                <w:sz w:val="24"/>
              </w:rPr>
            </w:pPr>
            <w:r>
              <w:rPr>
                <w:rFonts w:ascii="宋体"/>
                <w:sz w:val="24"/>
              </w:rPr>
              <w:t>三是健全</w:t>
            </w:r>
            <w:r>
              <w:rPr>
                <w:rFonts w:hint="eastAsia" w:ascii="宋体"/>
                <w:sz w:val="24"/>
              </w:rPr>
              <w:t>并</w:t>
            </w:r>
            <w:r>
              <w:rPr>
                <w:rFonts w:ascii="宋体"/>
                <w:sz w:val="24"/>
              </w:rPr>
              <w:t>完善舆情预警、实时监测、分级处置、权威发声及不实信息应对处置体系，做到早发现、早澄清、早处置，防范不实信息扰动公司股价、损害中小股东合法权益</w:t>
            </w:r>
            <w:r>
              <w:rPr>
                <w:rFonts w:hint="eastAsia" w:ascii="宋体"/>
                <w:sz w:val="24"/>
              </w:rPr>
              <w:t>和</w:t>
            </w:r>
            <w:r>
              <w:rPr>
                <w:rFonts w:ascii="宋体"/>
                <w:sz w:val="24"/>
              </w:rPr>
              <w:t>公司品牌声誉。</w:t>
            </w:r>
          </w:p>
          <w:p w14:paraId="1F3B1ABD">
            <w:pPr>
              <w:spacing w:line="360" w:lineRule="auto"/>
              <w:rPr>
                <w:rFonts w:ascii="宋体"/>
                <w:b/>
                <w:bCs/>
                <w:sz w:val="24"/>
              </w:rPr>
            </w:pPr>
            <w:r>
              <w:rPr>
                <w:rFonts w:hint="eastAsia" w:ascii="宋体"/>
                <w:b/>
                <w:bCs/>
                <w:sz w:val="24"/>
              </w:rPr>
              <w:t>6</w:t>
            </w:r>
            <w:r>
              <w:rPr>
                <w:rFonts w:ascii="宋体"/>
                <w:b/>
                <w:bCs/>
                <w:sz w:val="24"/>
              </w:rPr>
              <w:t>、</w:t>
            </w:r>
            <w:r>
              <w:rPr>
                <w:rFonts w:hint="eastAsia" w:ascii="宋体"/>
                <w:b/>
                <w:bCs/>
                <w:sz w:val="24"/>
              </w:rPr>
              <w:t>蔡董</w:t>
            </w:r>
            <w:r>
              <w:rPr>
                <w:rFonts w:ascii="宋体"/>
                <w:b/>
                <w:bCs/>
                <w:sz w:val="24"/>
              </w:rPr>
              <w:t>接任董事长后，对于公司原有整体发展战略，会保持延续还是做出调整？</w:t>
            </w:r>
          </w:p>
          <w:p w14:paraId="1F4E132E">
            <w:pPr>
              <w:spacing w:line="360" w:lineRule="auto"/>
              <w:ind w:firstLine="480" w:firstLineChars="200"/>
              <w:rPr>
                <w:rFonts w:ascii="宋体"/>
                <w:sz w:val="24"/>
              </w:rPr>
            </w:pPr>
            <w:r>
              <w:rPr>
                <w:rFonts w:ascii="宋体"/>
                <w:sz w:val="24"/>
              </w:rPr>
              <w:t>公司已制定了2026-2030年发展战略规划。在新一轮五年发展战略规划期，公司战略愿景升级为</w:t>
            </w:r>
            <w:r>
              <w:rPr>
                <w:rFonts w:hint="eastAsia" w:ascii="宋体"/>
                <w:sz w:val="24"/>
              </w:rPr>
              <w:t>“</w:t>
            </w:r>
            <w:r>
              <w:rPr>
                <w:rFonts w:ascii="宋体"/>
                <w:sz w:val="24"/>
              </w:rPr>
              <w:t>成为领先的全球产业链组织者</w:t>
            </w:r>
            <w:r>
              <w:rPr>
                <w:rFonts w:hint="eastAsia" w:ascii="宋体"/>
                <w:sz w:val="24"/>
              </w:rPr>
              <w:t>”</w:t>
            </w:r>
            <w:r>
              <w:rPr>
                <w:rFonts w:ascii="宋体"/>
                <w:sz w:val="24"/>
              </w:rPr>
              <w:t>，系统提出</w:t>
            </w:r>
            <w:r>
              <w:rPr>
                <w:rFonts w:hint="eastAsia" w:ascii="宋体"/>
                <w:sz w:val="24"/>
              </w:rPr>
              <w:t>“</w:t>
            </w:r>
            <w:r>
              <w:rPr>
                <w:rFonts w:ascii="宋体"/>
                <w:sz w:val="24"/>
              </w:rPr>
              <w:t>三链五化五力</w:t>
            </w:r>
            <w:r>
              <w:rPr>
                <w:rFonts w:hint="eastAsia" w:ascii="宋体"/>
                <w:sz w:val="24"/>
              </w:rPr>
              <w:t>”</w:t>
            </w:r>
            <w:r>
              <w:rPr>
                <w:rFonts w:ascii="宋体"/>
                <w:sz w:val="24"/>
              </w:rPr>
              <w:t>战略体系。公司将坚持</w:t>
            </w:r>
            <w:r>
              <w:rPr>
                <w:rFonts w:hint="eastAsia" w:ascii="宋体"/>
                <w:sz w:val="24"/>
              </w:rPr>
              <w:t>“</w:t>
            </w:r>
            <w:r>
              <w:rPr>
                <w:rFonts w:ascii="宋体"/>
                <w:sz w:val="24"/>
              </w:rPr>
              <w:t>链通产业，共创价值</w:t>
            </w:r>
            <w:r>
              <w:rPr>
                <w:rFonts w:hint="eastAsia" w:ascii="宋体"/>
                <w:sz w:val="24"/>
              </w:rPr>
              <w:t>”</w:t>
            </w:r>
            <w:r>
              <w:rPr>
                <w:rFonts w:ascii="宋体"/>
                <w:sz w:val="24"/>
              </w:rPr>
              <w:t>的使命，以</w:t>
            </w:r>
            <w:r>
              <w:rPr>
                <w:rFonts w:hint="eastAsia" w:ascii="宋体"/>
                <w:sz w:val="24"/>
              </w:rPr>
              <w:t>“</w:t>
            </w:r>
            <w:r>
              <w:rPr>
                <w:rFonts w:ascii="宋体"/>
                <w:sz w:val="24"/>
              </w:rPr>
              <w:t>三链融合</w:t>
            </w:r>
            <w:r>
              <w:rPr>
                <w:rFonts w:hint="eastAsia" w:ascii="宋体"/>
                <w:sz w:val="24"/>
              </w:rPr>
              <w:t>”</w:t>
            </w:r>
            <w:r>
              <w:rPr>
                <w:rFonts w:ascii="宋体"/>
                <w:sz w:val="24"/>
              </w:rPr>
              <w:t>发展为业务模式升级方向，打造韧性供应链、专业产业链与高质价值链，通过建强</w:t>
            </w:r>
            <w:r>
              <w:rPr>
                <w:rFonts w:hint="eastAsia" w:ascii="宋体"/>
                <w:sz w:val="24"/>
              </w:rPr>
              <w:t>“</w:t>
            </w:r>
            <w:r>
              <w:rPr>
                <w:rFonts w:ascii="宋体"/>
                <w:sz w:val="24"/>
              </w:rPr>
              <w:t>国际化、产业化、数智化、专业化、市场化</w:t>
            </w:r>
            <w:r>
              <w:rPr>
                <w:rFonts w:hint="eastAsia" w:ascii="宋体"/>
                <w:sz w:val="24"/>
              </w:rPr>
              <w:t>”</w:t>
            </w:r>
            <w:r>
              <w:rPr>
                <w:rFonts w:ascii="宋体"/>
                <w:sz w:val="24"/>
              </w:rPr>
              <w:t>五大战略举措和</w:t>
            </w:r>
            <w:r>
              <w:rPr>
                <w:rFonts w:hint="eastAsia" w:ascii="宋体"/>
                <w:sz w:val="24"/>
              </w:rPr>
              <w:t>“</w:t>
            </w:r>
            <w:r>
              <w:rPr>
                <w:rFonts w:ascii="宋体"/>
                <w:sz w:val="24"/>
              </w:rPr>
              <w:t>战略引领、产投驱动、物流支撑、风险管理、资源配置</w:t>
            </w:r>
            <w:r>
              <w:rPr>
                <w:rFonts w:hint="eastAsia" w:ascii="宋体"/>
                <w:sz w:val="24"/>
              </w:rPr>
              <w:t>”</w:t>
            </w:r>
            <w:r>
              <w:rPr>
                <w:rFonts w:ascii="宋体"/>
                <w:sz w:val="24"/>
              </w:rPr>
              <w:t>五大能力支撑，构筑全球化产业生态，持续创造新价值。我们将延续既定的战略方向和发展路径，确保发展定力不变，持续推进公司高质量发展。</w:t>
            </w:r>
          </w:p>
          <w:p w14:paraId="4746C3BC">
            <w:pPr>
              <w:spacing w:line="360" w:lineRule="auto"/>
              <w:rPr>
                <w:rFonts w:ascii="宋体"/>
                <w:b/>
                <w:bCs/>
                <w:sz w:val="24"/>
              </w:rPr>
            </w:pPr>
            <w:r>
              <w:rPr>
                <w:rFonts w:hint="eastAsia" w:ascii="宋体"/>
                <w:b/>
                <w:bCs/>
                <w:sz w:val="24"/>
              </w:rPr>
              <w:t>7、</w:t>
            </w:r>
            <w:r>
              <w:rPr>
                <w:rFonts w:ascii="宋体"/>
                <w:b/>
                <w:bCs/>
                <w:sz w:val="24"/>
              </w:rPr>
              <w:t>未来1-3年公司整体经营核心主攻方向是什么？公司地处厦门，坐拥两岸经贸区位优势，新一届管理层打算如何最大化发挥地域特色，把对台贸易、跨境物流这类核心优势业务进一步做大做强？</w:t>
            </w:r>
          </w:p>
          <w:p w14:paraId="230CA177">
            <w:pPr>
              <w:spacing w:line="360" w:lineRule="auto"/>
              <w:ind w:firstLine="480" w:firstLineChars="200"/>
              <w:rPr>
                <w:rFonts w:ascii="宋体"/>
                <w:sz w:val="24"/>
              </w:rPr>
            </w:pPr>
            <w:r>
              <w:rPr>
                <w:rFonts w:ascii="宋体"/>
                <w:sz w:val="24"/>
              </w:rPr>
              <w:t>在新一轮战略规划指引下，公司将紧抓产业升级的关键窗口期，持续扩展和深化供应链业务的应用场景，扎实推进</w:t>
            </w:r>
            <w:r>
              <w:rPr>
                <w:rFonts w:hint="eastAsia" w:ascii="宋体"/>
                <w:sz w:val="24"/>
              </w:rPr>
              <w:t>“</w:t>
            </w:r>
            <w:r>
              <w:rPr>
                <w:rFonts w:ascii="宋体"/>
                <w:sz w:val="24"/>
              </w:rPr>
              <w:t>三链融合</w:t>
            </w:r>
            <w:r>
              <w:rPr>
                <w:rFonts w:hint="eastAsia" w:ascii="宋体"/>
                <w:sz w:val="24"/>
              </w:rPr>
              <w:t>”</w:t>
            </w:r>
            <w:r>
              <w:rPr>
                <w:rFonts w:ascii="宋体"/>
                <w:sz w:val="24"/>
              </w:rPr>
              <w:t>业务模式升级。公司将保持战略定力，做强做优做精供应链管理核心主业，夯实经营底盘；紧跟能源转型、绿色转型及新质生产力驱动的产业升级趋势与要求，充分融入行业发展趋势，持续扩展供应链核心主业的应用场景与业务边界，通过产业化布局和国际化拓展，为公司发展注入新的增长动力，开拓更广阔的发展空间。</w:t>
            </w:r>
          </w:p>
          <w:p w14:paraId="4166AB09">
            <w:pPr>
              <w:spacing w:line="360" w:lineRule="auto"/>
              <w:ind w:firstLine="480" w:firstLineChars="200"/>
              <w:rPr>
                <w:rFonts w:ascii="宋体"/>
                <w:sz w:val="24"/>
              </w:rPr>
            </w:pPr>
            <w:r>
              <w:rPr>
                <w:rFonts w:ascii="宋体"/>
                <w:sz w:val="24"/>
              </w:rPr>
              <w:t>未来，公司将充分发挥两岸地缘相近、人文相通等</w:t>
            </w:r>
            <w:r>
              <w:rPr>
                <w:rFonts w:hint="eastAsia" w:ascii="宋体"/>
                <w:sz w:val="24"/>
              </w:rPr>
              <w:t>经贸区位</w:t>
            </w:r>
            <w:r>
              <w:rPr>
                <w:rFonts w:ascii="宋体"/>
                <w:sz w:val="24"/>
              </w:rPr>
              <w:t>优势，持续拓展交流合作的广度与深度，推动相关业务高质量发展。</w:t>
            </w:r>
          </w:p>
          <w:p w14:paraId="014C37AC">
            <w:pPr>
              <w:spacing w:line="360" w:lineRule="auto"/>
              <w:rPr>
                <w:b/>
                <w:bCs/>
              </w:rPr>
            </w:pPr>
            <w:r>
              <w:rPr>
                <w:rFonts w:hint="eastAsia" w:ascii="宋体"/>
                <w:b/>
                <w:bCs/>
                <w:sz w:val="24"/>
              </w:rPr>
              <w:t>8、</w:t>
            </w:r>
            <w:r>
              <w:rPr>
                <w:rFonts w:ascii="宋体"/>
                <w:b/>
                <w:bCs/>
                <w:sz w:val="24"/>
              </w:rPr>
              <w:t>过往公司以大宗商品供应链为主业，后续在产业布局上，会偏向深耕现有主业，还是加速向新能源、健康科技等新兴板块拓展转型？</w:t>
            </w:r>
          </w:p>
          <w:p w14:paraId="0E00F454">
            <w:pPr>
              <w:spacing w:line="360" w:lineRule="auto"/>
              <w:ind w:firstLine="480" w:firstLineChars="200"/>
              <w:rPr>
                <w:rFonts w:ascii="宋体"/>
                <w:sz w:val="24"/>
              </w:rPr>
            </w:pPr>
            <w:r>
              <w:rPr>
                <w:rFonts w:ascii="宋体"/>
                <w:sz w:val="24"/>
              </w:rPr>
              <w:t>一是钢铁、铁矿、浆纸、煤炭、棉纺等公司优势品类，公司将加强与行业头部企业合作力度，提升上游核心资源占比；持续优化业务模式，将资源向高附加值领域集中，增强服务实体经济的专业化能力；推动业务向</w:t>
            </w:r>
            <w:r>
              <w:rPr>
                <w:rFonts w:hint="eastAsia" w:ascii="宋体"/>
                <w:sz w:val="24"/>
              </w:rPr>
              <w:t>“</w:t>
            </w:r>
            <w:r>
              <w:rPr>
                <w:rFonts w:ascii="宋体"/>
                <w:sz w:val="24"/>
              </w:rPr>
              <w:t>高价值、高效率、高协同</w:t>
            </w:r>
            <w:r>
              <w:rPr>
                <w:rFonts w:hint="eastAsia" w:ascii="宋体"/>
                <w:sz w:val="24"/>
              </w:rPr>
              <w:t>”</w:t>
            </w:r>
            <w:r>
              <w:rPr>
                <w:rFonts w:ascii="宋体"/>
                <w:sz w:val="24"/>
              </w:rPr>
              <w:t>方向升级，构建具有差异化优势与广泛影响力的产业生态竞争力。</w:t>
            </w:r>
          </w:p>
          <w:p w14:paraId="72FF3C3C">
            <w:pPr>
              <w:spacing w:line="360" w:lineRule="auto"/>
              <w:ind w:firstLine="480" w:firstLineChars="200"/>
              <w:rPr>
                <w:rFonts w:ascii="宋体"/>
                <w:sz w:val="24"/>
              </w:rPr>
            </w:pPr>
            <w:r>
              <w:rPr>
                <w:rFonts w:ascii="宋体"/>
                <w:sz w:val="24"/>
              </w:rPr>
              <w:t>二是有色金属、新能源、农产品等发展潜力大且市场需求稳定的品种，公司将深耕上游资源及产地资源，上游与优质供应商建立深度战略合作伙伴关系，提升供应链稳定性与竞争力；下游围绕终端客户需求构建定制化服务体系，形成细分领域差异化产业服务能力，显著提升行业地位。</w:t>
            </w:r>
          </w:p>
          <w:p w14:paraId="35A705D9">
            <w:pPr>
              <w:spacing w:line="360" w:lineRule="auto"/>
              <w:ind w:firstLine="480" w:firstLineChars="200"/>
              <w:rPr>
                <w:rFonts w:ascii="宋体"/>
                <w:sz w:val="24"/>
              </w:rPr>
            </w:pPr>
            <w:r>
              <w:rPr>
                <w:rFonts w:ascii="宋体"/>
                <w:sz w:val="24"/>
              </w:rPr>
              <w:t>三是公司还将积极发展健康业务，探索新质生产力相关产业链，如绿色低碳、高端装备、新材料、人工智能等，促进与供应链主业融合发展，为公司可持续价值创造提供有力支撑。</w:t>
            </w:r>
          </w:p>
        </w:tc>
      </w:tr>
    </w:tbl>
    <w:p w14:paraId="5E084692">
      <w:pPr/>
    </w:p>
    <w:p w14:paraId="7E884619">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00000000" w:usb2="00000000" w:usb3="00000000" w:csb0="80000000" w:csb1="00000000"/>
  </w:font>
  <w:font w:name="Arial">
    <w:altName w:val="Arial"/>
    <w:panose1 w:val="020B0604020202020204"/>
    <w:charset w:val="00"/>
    <w:family w:val="swiss"/>
    <w:pitch w:val="default"/>
    <w:sig w:usb0="E0002AFF" w:usb1="C0007843" w:usb2="00000009" w:usb3="00000000" w:csb0="400001FF" w:csb1="FFFF0000"/>
  </w:font>
  <w:font w:name="黑体">
    <w:altName w:val="黑体"/>
    <w:panose1 w:val="02010609060101010101"/>
    <w:charset w:val="00"/>
    <w:family w:val="auto"/>
    <w:pitch w:val="default"/>
    <w:sig w:usb0="800002BF" w:usb1="38CF7CFA" w:usb2="00000016" w:usb3="00000000" w:csb0="00040001" w:csb1="00000000"/>
  </w:font>
  <w:font w:name="Courier New">
    <w:altName w:val="Courier New"/>
    <w:panose1 w:val="02070309020205020404"/>
    <w:charset w:val="00"/>
    <w:family w:val="modern"/>
    <w:pitch w:val="default"/>
    <w:sig w:usb0="E0002AFF" w:usb1="C0007843" w:usb2="00000009" w:usb3="00000000" w:csb0="400001FF" w:csb1="FFFF0000"/>
  </w:font>
  <w:font w:name="Symbol">
    <w:altName w:val="Symbol"/>
    <w:panose1 w:val="05050102010706020507"/>
    <w:charset w:val="00"/>
    <w:family w:val="roman"/>
    <w:pitch w:val="default"/>
    <w:sig w:usb0="00000000" w:usb1="00000000" w:usb2="00000000" w:usb3="00000000" w:csb0="80000000"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F89961">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8EBB65">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57ACEA">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226042">
    <w:pPr>
      <w:pStyle w:val="5"/>
      <w:tabs>
        <w:tab w:val="clear" w:pos="4153"/>
      </w:tabs>
      <w:jc w:val="right"/>
    </w:pPr>
    <w:r>
      <w:rPr>
        <w:rFonts w:hint="eastAsia"/>
      </w:rPr>
      <w:t>厦门国贸集团股份有限公司投资者关系活动记录表</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C7D9BB">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CEEBFC">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unhideWhenUsed/>
    <w:uiPriority w:val="1"/>
  </w:style>
  <w:style w:type="table" w:default="1" w:styleId="9">
    <w:name w:val="Normal Table"/>
    <w:unhideWhenUsed/>
    <w:uiPriority w:val="99"/>
    <w:tblPr>
      <w:tblLayout w:type="fixed"/>
      <w:tblCellMar>
        <w:top w:w="0" w:type="dxa"/>
        <w:left w:w="108" w:type="dxa"/>
        <w:bottom w:w="0" w:type="dxa"/>
        <w:right w:w="108" w:type="dxa"/>
      </w:tblCellMar>
    </w:tblPr>
  </w:style>
  <w:style w:type="paragraph" w:styleId="2">
    <w:name w:val="annotation subject"/>
    <w:basedOn w:val="3"/>
    <w:next w:val="3"/>
    <w:link w:val="14"/>
    <w:uiPriority w:val="0"/>
    <w:rPr>
      <w:b/>
      <w:bCs/>
    </w:rPr>
  </w:style>
  <w:style w:type="paragraph" w:styleId="3">
    <w:name w:val="annotation text"/>
    <w:basedOn w:val="1"/>
    <w:link w:val="13"/>
    <w:uiPriority w:val="0"/>
    <w:pPr>
      <w:jc w:val="left"/>
    </w:pPr>
  </w:style>
  <w:style w:type="paragraph" w:styleId="4">
    <w:name w:val="footer"/>
    <w:basedOn w:val="1"/>
    <w:link w:val="12"/>
    <w:uiPriority w:val="0"/>
    <w:pPr>
      <w:tabs>
        <w:tab w:val="center" w:pos="4153"/>
        <w:tab w:val="right" w:pos="8306"/>
      </w:tabs>
      <w:snapToGrid w:val="0"/>
      <w:jc w:val="left"/>
    </w:pPr>
    <w:rPr>
      <w:sz w:val="18"/>
      <w:szCs w:val="18"/>
    </w:rPr>
  </w:style>
  <w:style w:type="paragraph" w:styleId="5">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unhideWhenUsed/>
    <w:qFormat/>
    <w:uiPriority w:val="99"/>
    <w:rPr>
      <w:color w:val="0563C1"/>
      <w:u w:val="single"/>
    </w:rPr>
  </w:style>
  <w:style w:type="character" w:styleId="8">
    <w:name w:val="annotation reference"/>
    <w:basedOn w:val="6"/>
    <w:uiPriority w:val="0"/>
    <w:rPr>
      <w:sz w:val="21"/>
      <w:szCs w:val="21"/>
    </w:rPr>
  </w:style>
  <w:style w:type="table" w:styleId="10">
    <w:name w:val="Table Grid"/>
    <w:basedOn w:val="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paragraph" w:customStyle="1" w:styleId="11">
    <w:name w:val="_Style 6"/>
    <w:basedOn w:val="1"/>
    <w:qFormat/>
    <w:uiPriority w:val="34"/>
    <w:pPr>
      <w:ind w:firstLine="420" w:firstLineChars="200"/>
    </w:pPr>
  </w:style>
  <w:style w:type="character" w:customStyle="1" w:styleId="12">
    <w:name w:val="页脚 字符"/>
    <w:basedOn w:val="6"/>
    <w:link w:val="4"/>
    <w:uiPriority w:val="0"/>
    <w:rPr>
      <w:kern w:val="2"/>
      <w:sz w:val="18"/>
      <w:szCs w:val="18"/>
    </w:rPr>
  </w:style>
  <w:style w:type="character" w:customStyle="1" w:styleId="13">
    <w:name w:val="批注文字 字符"/>
    <w:basedOn w:val="6"/>
    <w:link w:val="3"/>
    <w:uiPriority w:val="0"/>
    <w:rPr>
      <w:kern w:val="2"/>
      <w:sz w:val="21"/>
      <w:szCs w:val="22"/>
    </w:rPr>
  </w:style>
  <w:style w:type="character" w:customStyle="1" w:styleId="14">
    <w:name w:val="批注主题 字符"/>
    <w:basedOn w:val="13"/>
    <w:link w:val="2"/>
    <w:uiPriority w:val="0"/>
    <w:rPr>
      <w:b/>
      <w:bCs/>
      <w:kern w:val="2"/>
      <w:sz w:val="21"/>
      <w:szCs w:val="22"/>
    </w:rPr>
  </w:style>
  <w:style w:type="paragraph" w:customStyle="1" w:styleId="15">
    <w:name w:val="Revision"/>
    <w:hidden/>
    <w:unhideWhenUsed/>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2255</Words>
  <Characters>2730</Characters>
  <Lines>136</Lines>
  <Paragraphs>178</Paragraphs>
  <ScaleCrop>false</ScaleCrop>
  <LinksUpToDate>false</LinksUpToDate>
  <CharactersWithSpaces>4807</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2026-05-27T01:01:00Z</dcterms:created>
  <dc:creator>Administrator</dc:creator>
  <cp:lastModifiedBy>iPhone</cp:lastModifiedBy>
  <dcterms:modified xsi:type="dcterms:W3CDTF">2026-05-26T18:24:22Z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2052-12.45.0</vt:lpwstr>
  </property>
  <property fmtid="{D5CDD505-2E9C-101B-9397-08002B2CF9AE}" pid="3" name="ICV">
    <vt:lpwstr>209E8F5F19474D9B86DA58D8A53133EF</vt:lpwstr>
  </property>
</Properties>
</file>