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华文楷体"/>
          <w:b/>
          <w:bCs/>
          <w:iCs/>
          <w:color w:val="000000"/>
          <w:sz w:val="24"/>
          <w:lang w:val="en-US" w:eastAsia="zh-CN"/>
        </w:rPr>
      </w:pPr>
      <w:r>
        <w:rPr>
          <w:rFonts w:ascii="Times New Roman" w:hAnsi="Times New Roman" w:eastAsia="华文楷体"/>
          <w:bCs/>
          <w:iCs/>
          <w:color w:val="000000"/>
          <w:sz w:val="24"/>
        </w:rPr>
        <w:t>证券代码：</w:t>
      </w:r>
      <w:r>
        <w:rPr>
          <w:rFonts w:hint="eastAsia" w:ascii="Times New Roman" w:hAnsi="Times New Roman" w:eastAsia="华文楷体"/>
          <w:bCs/>
          <w:iCs/>
          <w:color w:val="000000"/>
          <w:sz w:val="24"/>
          <w:lang w:val="en-US" w:eastAsia="zh-CN"/>
        </w:rPr>
        <w:t>603092</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w:t>
      </w:r>
      <w:r>
        <w:rPr>
          <w:rFonts w:hint="eastAsia" w:ascii="Times New Roman" w:hAnsi="Times New Roman" w:eastAsia="华文楷体"/>
          <w:bCs/>
          <w:iCs/>
          <w:color w:val="000000"/>
          <w:sz w:val="24"/>
          <w:lang w:val="en-US" w:eastAsia="zh-CN"/>
        </w:rPr>
        <w:t xml:space="preserve"> </w:t>
      </w:r>
      <w:r>
        <w:rPr>
          <w:rFonts w:ascii="Times New Roman" w:hAnsi="Times New Roman" w:eastAsia="华文楷体"/>
          <w:bCs/>
          <w:iCs/>
          <w:color w:val="000000"/>
          <w:sz w:val="24"/>
        </w:rPr>
        <w:t xml:space="preserve">                证券简称：</w:t>
      </w:r>
      <w:r>
        <w:rPr>
          <w:rFonts w:hint="eastAsia" w:ascii="Times New Roman" w:hAnsi="Times New Roman" w:eastAsia="华文楷体"/>
          <w:bCs/>
          <w:iCs/>
          <w:color w:val="000000"/>
          <w:sz w:val="24"/>
          <w:lang w:val="en-US" w:eastAsia="zh-CN"/>
        </w:rPr>
        <w:t>德力佳</w:t>
      </w:r>
    </w:p>
    <w:p>
      <w:pPr>
        <w:ind w:firstLine="482"/>
        <w:jc w:val="center"/>
        <w:rPr>
          <w:rFonts w:ascii="Times New Roman" w:hAnsi="Times New Roman" w:eastAsia="华文楷体"/>
          <w:b/>
          <w:bCs/>
          <w:iCs/>
          <w:color w:val="000000"/>
          <w:sz w:val="24"/>
        </w:rPr>
      </w:pPr>
    </w:p>
    <w:p>
      <w:pPr>
        <w:ind w:firstLine="482"/>
        <w:jc w:val="center"/>
        <w:rPr>
          <w:rFonts w:ascii="Times New Roman" w:hAnsi="Times New Roman" w:eastAsia="华文楷体"/>
          <w:b/>
          <w:bCs/>
          <w:iCs/>
          <w:color w:val="000000"/>
          <w:sz w:val="32"/>
        </w:rPr>
      </w:pPr>
      <w:r>
        <w:rPr>
          <w:rFonts w:hint="eastAsia" w:ascii="Times New Roman" w:hAnsi="Times New Roman" w:eastAsia="华文楷体"/>
          <w:b/>
          <w:bCs/>
          <w:iCs/>
          <w:color w:val="000000"/>
          <w:sz w:val="32"/>
          <w:lang w:val="en-US" w:eastAsia="zh-CN"/>
        </w:rPr>
        <w:t>德力佳传动科技（江苏）</w:t>
      </w:r>
      <w:r>
        <w:rPr>
          <w:rFonts w:ascii="Times New Roman" w:hAnsi="Times New Roman" w:eastAsia="华文楷体"/>
          <w:b/>
          <w:bCs/>
          <w:iCs/>
          <w:color w:val="000000"/>
          <w:sz w:val="32"/>
        </w:rPr>
        <w:t>股份有限公司</w:t>
      </w:r>
    </w:p>
    <w:p>
      <w:pPr>
        <w:ind w:firstLine="482"/>
        <w:jc w:val="center"/>
        <w:rPr>
          <w:rFonts w:ascii="Times New Roman" w:hAnsi="Times New Roman" w:eastAsia="华文楷体"/>
          <w:b/>
          <w:bCs/>
          <w:iCs/>
          <w:color w:val="000000"/>
          <w:sz w:val="32"/>
        </w:rPr>
      </w:pPr>
      <w:r>
        <w:rPr>
          <w:rFonts w:ascii="Times New Roman" w:hAnsi="Times New Roman" w:eastAsia="华文楷体"/>
          <w:b/>
          <w:bCs/>
          <w:iCs/>
          <w:color w:val="000000"/>
          <w:sz w:val="32"/>
        </w:rPr>
        <w:t>投资者关系活动记录表</w:t>
      </w:r>
    </w:p>
    <w:p>
      <w:pPr>
        <w:spacing w:line="400" w:lineRule="exact"/>
        <w:ind w:firstLine="480"/>
        <w:rPr>
          <w:rFonts w:hint="default" w:ascii="Times New Roman" w:hAnsi="Times New Roman" w:eastAsia="华文楷体"/>
          <w:bCs/>
          <w:iCs/>
          <w:color w:val="000000"/>
          <w:sz w:val="24"/>
          <w:lang w:val="en-US" w:eastAsia="zh-CN"/>
        </w:rPr>
      </w:pPr>
      <w:r>
        <w:rPr>
          <w:rFonts w:ascii="Times New Roman" w:hAnsi="Times New Roman" w:eastAsia="华文楷体"/>
          <w:bCs/>
          <w:iCs/>
          <w:color w:val="000000"/>
          <w:sz w:val="24"/>
        </w:rPr>
        <w:t xml:space="preserve">                                                    编号：</w:t>
      </w:r>
      <w:r>
        <w:rPr>
          <w:rFonts w:hint="eastAsia" w:ascii="Times New Roman" w:hAnsi="Times New Roman" w:eastAsia="华文楷体"/>
          <w:bCs/>
          <w:iCs/>
          <w:color w:val="000000"/>
          <w:sz w:val="24"/>
          <w:lang w:val="en-US" w:eastAsia="zh-CN"/>
        </w:rPr>
        <w:t>2026-004</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投资者关系活动类别</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特定对象调研        </w:t>
            </w:r>
            <w:r>
              <w:rPr>
                <w:rFonts w:hint="eastAsia" w:ascii="Times New Roman" w:hAnsi="Times New Roman" w:eastAsia="华文楷体"/>
                <w:bCs/>
                <w:iCs/>
                <w:color w:val="000000"/>
                <w:sz w:val="24"/>
                <w:lang w:eastAsia="zh-CN"/>
              </w:rPr>
              <w:t>☑</w:t>
            </w:r>
            <w:r>
              <w:rPr>
                <w:rFonts w:ascii="Times New Roman" w:hAnsi="Times New Roman" w:eastAsia="华文楷体"/>
                <w:sz w:val="24"/>
              </w:rPr>
              <w:t>分析师会议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媒体采访            </w:t>
            </w:r>
            <w:r>
              <w:rPr>
                <w:rFonts w:hint="eastAsia" w:ascii="Times New Roman" w:hAnsi="Times New Roman" w:eastAsia="华文楷体"/>
                <w:bCs/>
                <w:iCs/>
                <w:color w:val="000000"/>
                <w:sz w:val="24"/>
                <w:lang w:eastAsia="zh-CN"/>
              </w:rPr>
              <w:t>□</w:t>
            </w:r>
            <w:r>
              <w:rPr>
                <w:rFonts w:ascii="Times New Roman" w:hAnsi="Times New Roman" w:eastAsia="华文楷体"/>
                <w:sz w:val="24"/>
              </w:rPr>
              <w:t>业绩说明会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 xml:space="preserve">新闻发布会          </w:t>
            </w:r>
            <w:r>
              <w:rPr>
                <w:rFonts w:hint="eastAsia" w:ascii="Times New Roman" w:hAnsi="Times New Roman" w:eastAsia="华文楷体"/>
                <w:bCs/>
                <w:iCs/>
                <w:color w:val="000000"/>
                <w:sz w:val="24"/>
                <w:lang w:eastAsia="zh-CN"/>
              </w:rPr>
              <w:t>□</w:t>
            </w:r>
            <w:r>
              <w:rPr>
                <w:rFonts w:ascii="Times New Roman" w:hAnsi="Times New Roman" w:eastAsia="华文楷体"/>
                <w:sz w:val="24"/>
              </w:rPr>
              <w:t>路演活动</w:t>
            </w:r>
          </w:p>
          <w:p>
            <w:pPr>
              <w:keepNext w:val="0"/>
              <w:keepLines w:val="0"/>
              <w:pageBreakBefore w:val="0"/>
              <w:widowControl w:val="0"/>
              <w:tabs>
                <w:tab w:val="left" w:pos="3045"/>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现场参观</w:t>
            </w:r>
            <w:r>
              <w:rPr>
                <w:rFonts w:ascii="Times New Roman" w:hAnsi="Times New Roman" w:eastAsia="华文楷体"/>
                <w:bCs/>
                <w:iCs/>
                <w:color w:val="000000"/>
                <w:sz w:val="24"/>
              </w:rPr>
              <w:tab/>
            </w:r>
          </w:p>
          <w:p>
            <w:pPr>
              <w:keepNext w:val="0"/>
              <w:keepLines w:val="0"/>
              <w:pageBreakBefore w:val="0"/>
              <w:widowControl w:val="0"/>
              <w:tabs>
                <w:tab w:val="center" w:pos="3199"/>
              </w:tabs>
              <w:kinsoku/>
              <w:wordWrap/>
              <w:overflowPunct/>
              <w:topLinePunct w:val="0"/>
              <w:autoSpaceDE/>
              <w:autoSpaceDN/>
              <w:bidi w:val="0"/>
              <w:adjustRightInd w:val="0"/>
              <w:snapToGrid w:val="0"/>
              <w:spacing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eastAsia="zh-CN"/>
              </w:rPr>
              <w:t>□</w:t>
            </w:r>
            <w:r>
              <w:rPr>
                <w:rFonts w:ascii="Times New Roman" w:hAnsi="Times New Roman" w:eastAsia="华文楷体"/>
                <w:sz w:val="24"/>
              </w:rPr>
              <w:t>其他 （</w:t>
            </w:r>
            <w:r>
              <w:rPr>
                <w:rFonts w:ascii="Times New Roman" w:hAnsi="Times New Roman" w:eastAsia="华文楷体"/>
                <w:sz w:val="24"/>
                <w:u w:val="single"/>
              </w:rPr>
              <w:t>请文字说明其他活动内容）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参与单位名称及人员姓名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highlight w:val="none"/>
                <w:lang w:val="en-US" w:eastAsia="zh-CN"/>
              </w:rPr>
              <w:t>国海</w:t>
            </w:r>
            <w:r>
              <w:rPr>
                <w:rFonts w:hint="eastAsia" w:ascii="Times New Roman" w:hAnsi="Times New Roman" w:eastAsia="华文楷体"/>
                <w:bCs/>
                <w:iCs/>
                <w:color w:val="000000"/>
                <w:sz w:val="24"/>
                <w:highlight w:val="none"/>
              </w:rPr>
              <w:t>证券、</w:t>
            </w:r>
            <w:r>
              <w:rPr>
                <w:rFonts w:hint="eastAsia" w:ascii="Times New Roman" w:hAnsi="Times New Roman" w:eastAsia="华文楷体"/>
                <w:bCs/>
                <w:iCs/>
                <w:color w:val="000000"/>
                <w:sz w:val="24"/>
                <w:highlight w:val="none"/>
                <w:lang w:val="en-US" w:eastAsia="zh-CN"/>
              </w:rPr>
              <w:t>华安</w:t>
            </w:r>
            <w:r>
              <w:rPr>
                <w:rFonts w:hint="eastAsia" w:ascii="Times New Roman" w:hAnsi="Times New Roman" w:eastAsia="华文楷体"/>
                <w:bCs/>
                <w:iCs/>
                <w:color w:val="000000"/>
                <w:sz w:val="24"/>
                <w:highlight w:val="none"/>
              </w:rPr>
              <w:t>基金、</w:t>
            </w:r>
            <w:r>
              <w:rPr>
                <w:rFonts w:hint="eastAsia" w:ascii="Times New Roman" w:hAnsi="Times New Roman" w:eastAsia="华文楷体"/>
                <w:bCs/>
                <w:iCs/>
                <w:color w:val="000000"/>
                <w:sz w:val="24"/>
                <w:highlight w:val="none"/>
                <w:lang w:val="en-US" w:eastAsia="zh-CN"/>
              </w:rPr>
              <w:t>华泰证券</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富国基金</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华创证券</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华夏基金</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浙江四叶草资产</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盛熙基金</w:t>
            </w:r>
            <w:r>
              <w:rPr>
                <w:rFonts w:hint="eastAsia" w:ascii="Times New Roman" w:hAnsi="Times New Roman" w:eastAsia="华文楷体"/>
                <w:bCs/>
                <w:iCs/>
                <w:color w:val="000000"/>
                <w:sz w:val="24"/>
                <w:highlight w:val="none"/>
              </w:rPr>
              <w:t>、</w:t>
            </w:r>
            <w:r>
              <w:rPr>
                <w:rFonts w:hint="eastAsia" w:ascii="Times New Roman" w:hAnsi="Times New Roman" w:eastAsia="华文楷体"/>
                <w:bCs/>
                <w:iCs/>
                <w:color w:val="000000"/>
                <w:sz w:val="24"/>
                <w:highlight w:val="none"/>
                <w:lang w:val="en-US" w:eastAsia="zh-CN"/>
              </w:rPr>
              <w:t>明澄私募基金</w:t>
            </w:r>
            <w:r>
              <w:rPr>
                <w:rFonts w:hint="eastAsia" w:ascii="Times New Roman" w:hAnsi="Times New Roman" w:eastAsia="华文楷体"/>
                <w:bCs/>
                <w:iCs/>
                <w:color w:val="000000"/>
                <w:sz w:val="24"/>
                <w:highlight w:val="none"/>
              </w:rPr>
              <w:t xml:space="preserve"> 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时间</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bCs/>
                <w:iCs/>
                <w:color w:val="000000"/>
                <w:sz w:val="24"/>
                <w:lang w:val="en-US" w:eastAsia="zh-CN"/>
              </w:rPr>
            </w:pPr>
            <w:r>
              <w:rPr>
                <w:rFonts w:hint="eastAsia" w:ascii="Times New Roman" w:hAnsi="Times New Roman" w:eastAsia="华文楷体"/>
                <w:bCs/>
                <w:iCs/>
                <w:color w:val="000000"/>
                <w:sz w:val="24"/>
                <w:lang w:val="en-US" w:eastAsia="zh-CN"/>
              </w:rPr>
              <w:t>2026年5月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eastAsia="华文楷体"/>
                <w:bCs/>
                <w:iCs/>
                <w:color w:val="000000"/>
                <w:sz w:val="24"/>
                <w:lang w:eastAsia="zh-CN"/>
              </w:rPr>
            </w:pPr>
            <w:r>
              <w:rPr>
                <w:rFonts w:ascii="Times New Roman" w:hAnsi="Times New Roman" w:eastAsia="华文楷体"/>
                <w:bCs/>
                <w:iCs/>
                <w:color w:val="000000"/>
                <w:sz w:val="24"/>
              </w:rPr>
              <w:t>地点</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rPr>
              <w:t>德力佳传动科技（江苏）股份有限公司会议室、厂区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上市公司接待人员姓名</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313" w:beforeLines="10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证券部：陈佳海、朱灵芝、李英楠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投资者关系活动主要内容介绍</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ascii="Times New Roman" w:hAnsi="Times New Roman" w:eastAsia="华文楷体"/>
                <w:bCs/>
                <w:iCs/>
                <w:color w:val="000000"/>
                <w:sz w:val="24"/>
              </w:rPr>
            </w:pPr>
          </w:p>
        </w:tc>
        <w:tc>
          <w:tcPr>
            <w:tcW w:w="6614" w:type="dxa"/>
            <w:tcBorders>
              <w:tl2br w:val="nil"/>
              <w:tr2bl w:val="nil"/>
            </w:tcBorders>
          </w:tcPr>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val="0"/>
                <w:bCs/>
                <w:iCs/>
                <w:color w:val="000000"/>
                <w:sz w:val="24"/>
                <w:lang w:val="en-US" w:eastAsia="zh-CN"/>
              </w:rPr>
            </w:pPr>
            <w:bookmarkStart w:id="0" w:name="OLE_LINK6"/>
            <w:bookmarkStart w:id="1" w:name="OLE_LINK1"/>
            <w:r>
              <w:rPr>
                <w:rFonts w:hint="eastAsia" w:ascii="Times New Roman" w:hAnsi="Times New Roman" w:eastAsia="华文楷体"/>
                <w:b w:val="0"/>
                <w:bCs/>
                <w:iCs/>
                <w:color w:val="000000"/>
                <w:sz w:val="24"/>
                <w:lang w:val="en-US" w:eastAsia="zh-CN"/>
              </w:rPr>
              <w:t>一、</w:t>
            </w:r>
            <w:r>
              <w:rPr>
                <w:rFonts w:hint="eastAsia" w:ascii="Times New Roman" w:hAnsi="Times New Roman" w:eastAsia="华文楷体" w:cs="Times New Roman"/>
                <w:bCs/>
                <w:i w:val="0"/>
                <w:iCs/>
                <w:caps w:val="0"/>
                <w:color w:val="000000"/>
                <w:spacing w:val="0"/>
                <w:sz w:val="24"/>
                <w:szCs w:val="24"/>
                <w:shd w:val="clear" w:fill="auto"/>
              </w:rPr>
              <w:t>签署调研承诺书</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Cs/>
                <w:iCs/>
                <w:color w:val="000000"/>
                <w:sz w:val="24"/>
              </w:rPr>
            </w:pPr>
            <w:r>
              <w:rPr>
                <w:rFonts w:hint="eastAsia" w:ascii="Times New Roman" w:hAnsi="Times New Roman" w:eastAsia="华文楷体"/>
                <w:bCs/>
                <w:iCs/>
                <w:color w:val="000000"/>
                <w:sz w:val="24"/>
                <w:lang w:val="en-US" w:eastAsia="zh-CN"/>
              </w:rPr>
              <w:t>二、</w:t>
            </w:r>
            <w:r>
              <w:rPr>
                <w:rFonts w:hint="eastAsia" w:ascii="Times New Roman" w:hAnsi="Times New Roman" w:eastAsia="华文楷体"/>
                <w:bCs/>
                <w:iCs/>
                <w:color w:val="000000"/>
                <w:sz w:val="24"/>
              </w:rPr>
              <w:t>公司基本情况介绍</w:t>
            </w:r>
          </w:p>
          <w:p>
            <w:pPr>
              <w:keepNext w:val="0"/>
              <w:keepLines w:val="0"/>
              <w:pageBreakBefore w:val="0"/>
              <w:widowControl/>
              <w:kinsoku/>
              <w:wordWrap/>
              <w:overflowPunct/>
              <w:topLinePunct w:val="0"/>
              <w:bidi w:val="0"/>
              <w:adjustRightInd w:val="0"/>
              <w:snapToGrid w:val="0"/>
              <w:spacing w:after="157" w:afterLines="50" w:line="360" w:lineRule="auto"/>
              <w:ind w:firstLine="480" w:firstLineChars="200"/>
              <w:textAlignment w:val="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德力佳传动科技（江苏）股份有限公司是一家专业从事齿轮传动产品研发、生产和销售的高新技术企业。公司核心产品——风电主齿轮箱是风电整机最为关键的核心部件之一，是风力发电机组的心脏。</w:t>
            </w:r>
          </w:p>
          <w:p>
            <w:pPr>
              <w:keepNext w:val="0"/>
              <w:keepLines w:val="0"/>
              <w:pageBreakBefore w:val="0"/>
              <w:widowControl/>
              <w:kinsoku/>
              <w:wordWrap/>
              <w:overflowPunct/>
              <w:topLinePunct w:val="0"/>
              <w:bidi w:val="0"/>
              <w:adjustRightInd w:val="0"/>
              <w:snapToGrid w:val="0"/>
              <w:spacing w:after="157" w:afterLines="50" w:line="360" w:lineRule="auto"/>
              <w:ind w:firstLine="480" w:firstLineChars="200"/>
              <w:textAlignment w:val="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经过多年的发展，公司已构建起从前端开发设计、中端批量生产到后端运维服务的全业务链体系；具备从</w:t>
            </w:r>
            <w:r>
              <w:rPr>
                <w:rFonts w:hint="default" w:ascii="Times New Roman" w:hAnsi="Times New Roman" w:cs="Times New Roman"/>
                <w:color w:val="000000"/>
                <w:kern w:val="0"/>
                <w:sz w:val="24"/>
                <w:szCs w:val="24"/>
                <w:lang w:val="en-US" w:eastAsia="zh-CN"/>
              </w:rPr>
              <w:t>1.5MW到26MW</w:t>
            </w:r>
            <w:r>
              <w:rPr>
                <w:rFonts w:hint="eastAsia" w:ascii="宋体" w:hAnsi="宋体" w:cs="Arial"/>
                <w:color w:val="000000"/>
                <w:kern w:val="0"/>
                <w:sz w:val="24"/>
                <w:szCs w:val="24"/>
                <w:lang w:val="en-US" w:eastAsia="zh-CN"/>
              </w:rPr>
              <w:t>全系列产品的研发和生产能力；产品具备等强度、等刚度、轻量化、平台模块化等优点，可适用于不同地理气候条件，适配中低风速、高海拔、高低温、海上潮湿腐蚀等严苛复杂工况；在功率密度、传动效率、齿轮安全系数、振动及噪音等指标上均处于行业领先地位。</w:t>
            </w:r>
          </w:p>
          <w:p>
            <w:pPr>
              <w:keepNext w:val="0"/>
              <w:keepLines w:val="0"/>
              <w:pageBreakBefore w:val="0"/>
              <w:widowControl/>
              <w:kinsoku/>
              <w:wordWrap/>
              <w:overflowPunct/>
              <w:topLinePunct w:val="0"/>
              <w:bidi w:val="0"/>
              <w:adjustRightInd w:val="0"/>
              <w:snapToGrid w:val="0"/>
              <w:spacing w:after="157" w:afterLines="50" w:line="360" w:lineRule="auto"/>
              <w:ind w:firstLine="480" w:firstLineChars="200"/>
              <w:textAlignment w:val="auto"/>
              <w:rPr>
                <w:rFonts w:hint="eastAsia" w:ascii="宋体" w:hAnsi="宋体" w:cs="Arial"/>
                <w:color w:val="000000"/>
                <w:kern w:val="0"/>
                <w:sz w:val="24"/>
                <w:szCs w:val="24"/>
                <w:lang w:val="en-US" w:eastAsia="zh-CN"/>
              </w:rPr>
            </w:pPr>
            <w:r>
              <w:rPr>
                <w:rFonts w:hint="eastAsia" w:ascii="宋体" w:hAnsi="宋体" w:cs="Arial"/>
                <w:color w:val="000000"/>
                <w:kern w:val="0"/>
                <w:sz w:val="24"/>
                <w:szCs w:val="24"/>
                <w:lang w:val="en-US" w:eastAsia="zh-CN"/>
              </w:rPr>
              <w:t>依托于行业领先的技术水平、高精密的装备制造能力、严格的产品质量管控体系与持续稳定的产品质量，公司已与金风科技、三一重能、明阳智能、运达股份、东方电气、上海电气、远景能源等风电整机行业头部企业建立起良好的合作关系，在行业内具有较高的品牌知名度。</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after="157" w:afterLines="50" w:line="360" w:lineRule="auto"/>
              <w:textAlignment w:val="auto"/>
              <w:rPr>
                <w:rFonts w:hint="eastAsia" w:ascii="Times New Roman" w:hAnsi="Times New Roman" w:eastAsia="华文楷体"/>
                <w:b w:val="0"/>
                <w:bCs/>
                <w:iCs/>
                <w:color w:val="000000"/>
                <w:sz w:val="24"/>
              </w:rPr>
            </w:pPr>
            <w:r>
              <w:rPr>
                <w:rFonts w:hint="eastAsia" w:ascii="Times New Roman" w:hAnsi="Times New Roman" w:eastAsia="华文楷体"/>
                <w:b w:val="0"/>
                <w:bCs/>
                <w:iCs/>
                <w:color w:val="000000"/>
                <w:sz w:val="24"/>
                <w:lang w:val="en-US" w:eastAsia="zh-CN"/>
              </w:rPr>
              <w:t>三、</w:t>
            </w:r>
            <w:r>
              <w:rPr>
                <w:rFonts w:hint="eastAsia" w:ascii="Times New Roman" w:hAnsi="Times New Roman" w:eastAsia="华文楷体"/>
                <w:bCs/>
                <w:iCs/>
                <w:color w:val="000000"/>
                <w:sz w:val="24"/>
              </w:rPr>
              <w:t>回答投资者提问</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iCs/>
                <w:color w:val="000000"/>
                <w:sz w:val="24"/>
              </w:rPr>
            </w:pPr>
            <w:r>
              <w:rPr>
                <w:rFonts w:hint="eastAsia" w:ascii="Times New Roman" w:hAnsi="Times New Roman" w:eastAsia="华文楷体"/>
                <w:b/>
                <w:iCs/>
                <w:color w:val="000000"/>
                <w:sz w:val="24"/>
              </w:rPr>
              <w:t>1、</w:t>
            </w:r>
            <w:bookmarkStart w:id="2" w:name="OLE_LINK2"/>
            <w:r>
              <w:rPr>
                <w:rFonts w:hint="eastAsia" w:ascii="Times New Roman" w:hAnsi="Times New Roman" w:eastAsia="华文楷体"/>
                <w:b/>
                <w:iCs/>
                <w:color w:val="000000"/>
                <w:sz w:val="24"/>
              </w:rPr>
              <w:t>行业是否存在新进入者威胁，风电齿轮箱行业壁垒如何变化？</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iCs/>
                <w:color w:val="000000"/>
                <w:sz w:val="24"/>
              </w:rPr>
            </w:pPr>
            <w:r>
              <w:rPr>
                <w:rFonts w:hint="eastAsia" w:ascii="Times New Roman" w:hAnsi="Times New Roman" w:eastAsia="华文楷体"/>
                <w:b w:val="0"/>
                <w:bCs/>
                <w:iCs/>
                <w:color w:val="000000"/>
                <w:sz w:val="24"/>
                <w:lang w:eastAsia="zh-CN"/>
              </w:rPr>
              <w:t>　　</w:t>
            </w:r>
            <w:r>
              <w:rPr>
                <w:rFonts w:hint="eastAsia" w:ascii="Times New Roman" w:hAnsi="Times New Roman" w:eastAsia="华文楷体"/>
                <w:b w:val="0"/>
                <w:bCs/>
                <w:iCs/>
                <w:color w:val="000000"/>
                <w:sz w:val="24"/>
              </w:rPr>
              <w:t>答：</w:t>
            </w:r>
            <w:bookmarkEnd w:id="2"/>
            <w:r>
              <w:rPr>
                <w:rFonts w:hint="eastAsia" w:ascii="Times New Roman" w:hAnsi="Times New Roman" w:eastAsia="华文楷体"/>
                <w:bCs/>
                <w:iCs/>
                <w:color w:val="000000"/>
                <w:sz w:val="24"/>
              </w:rPr>
              <w:t>风电齿轮箱属于重资产、高技术壁垒赛道，行业准入门槛长期维持高位。产品研发需历经多轮样机试制、长期工况可靠性验证，核心工艺涵盖精密锻造、深层渗碳热处理、大型壳体及行星架高精度加工、总成装配、整机加载测试等关键环节，技术积累周期长，资金投入规模大。下游整机厂商对核心传动部件的供应链准入极为严格，</w:t>
            </w:r>
            <w:r>
              <w:rPr>
                <w:rFonts w:hint="eastAsia" w:ascii="Times New Roman" w:hAnsi="Times New Roman" w:eastAsia="华文楷体"/>
                <w:bCs/>
                <w:iCs/>
                <w:color w:val="000000"/>
                <w:sz w:val="24"/>
                <w:lang w:val="en-US" w:eastAsia="zh-CN"/>
              </w:rPr>
              <w:t>有一定</w:t>
            </w:r>
            <w:r>
              <w:rPr>
                <w:rFonts w:hint="eastAsia" w:ascii="Times New Roman" w:hAnsi="Times New Roman" w:eastAsia="华文楷体"/>
                <w:bCs/>
                <w:iCs/>
                <w:color w:val="000000"/>
                <w:sz w:val="24"/>
              </w:rPr>
              <w:t>认证周期，整机厂自研配套、外部资本跨界新进入者，均难以在中短期形成稳定有效的产能与市场竞争力。伴随风机大型化、海风高可靠性要求持续提升，行业技术壁垒还在进一步抬升，行业资源与市场份额将持续向头部具备全链条制造、长期</w:t>
            </w:r>
            <w:r>
              <w:rPr>
                <w:rFonts w:hint="eastAsia" w:ascii="Times New Roman" w:hAnsi="Times New Roman" w:eastAsia="华文楷体"/>
                <w:bCs/>
                <w:iCs/>
                <w:color w:val="000000"/>
                <w:sz w:val="24"/>
                <w:lang w:val="en-US" w:eastAsia="zh-CN"/>
              </w:rPr>
              <w:t>工况验证及完善</w:t>
            </w:r>
            <w:r>
              <w:rPr>
                <w:rFonts w:hint="eastAsia" w:ascii="Times New Roman" w:hAnsi="Times New Roman" w:eastAsia="华文楷体"/>
                <w:bCs/>
                <w:iCs/>
                <w:color w:val="000000"/>
                <w:sz w:val="24"/>
              </w:rPr>
              <w:t>质量</w:t>
            </w:r>
            <w:r>
              <w:rPr>
                <w:rFonts w:hint="eastAsia" w:ascii="Times New Roman" w:hAnsi="Times New Roman" w:eastAsia="华文楷体"/>
                <w:bCs/>
                <w:iCs/>
                <w:color w:val="000000"/>
                <w:sz w:val="24"/>
                <w:lang w:val="en-US" w:eastAsia="zh-CN"/>
              </w:rPr>
              <w:t>管控体系</w:t>
            </w:r>
            <w:r>
              <w:rPr>
                <w:rFonts w:hint="eastAsia" w:ascii="Times New Roman" w:hAnsi="Times New Roman" w:eastAsia="华文楷体"/>
                <w:bCs/>
                <w:iCs/>
                <w:color w:val="000000"/>
                <w:sz w:val="24"/>
              </w:rPr>
              <w:t>优势的企业集中。</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iCs/>
                <w:color w:val="000000"/>
                <w:sz w:val="24"/>
              </w:rPr>
            </w:pPr>
            <w:r>
              <w:rPr>
                <w:rFonts w:hint="eastAsia" w:ascii="Times New Roman" w:hAnsi="Times New Roman" w:eastAsia="华文楷体"/>
                <w:b/>
                <w:iCs/>
                <w:color w:val="000000"/>
                <w:sz w:val="24"/>
              </w:rPr>
              <w:t>2、</w:t>
            </w:r>
            <w:bookmarkStart w:id="3" w:name="OLE_LINK3"/>
            <w:r>
              <w:rPr>
                <w:rFonts w:hint="eastAsia" w:ascii="Times New Roman" w:hAnsi="Times New Roman" w:eastAsia="华文楷体"/>
                <w:b/>
                <w:iCs/>
                <w:color w:val="000000"/>
                <w:sz w:val="24"/>
              </w:rPr>
              <w:t>公司中长期产能布局目标及产能爬坡节奏是怎样的？</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iCs/>
                <w:color w:val="000000"/>
                <w:sz w:val="24"/>
              </w:rPr>
            </w:pPr>
            <w:r>
              <w:rPr>
                <w:rFonts w:hint="eastAsia" w:ascii="Times New Roman" w:hAnsi="Times New Roman" w:eastAsia="华文楷体"/>
                <w:b w:val="0"/>
                <w:bCs/>
                <w:iCs/>
                <w:color w:val="000000"/>
                <w:sz w:val="24"/>
                <w:lang w:eastAsia="zh-CN"/>
              </w:rPr>
              <w:t>　　</w:t>
            </w:r>
            <w:r>
              <w:rPr>
                <w:rFonts w:hint="eastAsia" w:ascii="Times New Roman" w:hAnsi="Times New Roman" w:eastAsia="华文楷体"/>
                <w:b w:val="0"/>
                <w:bCs/>
                <w:iCs/>
                <w:color w:val="000000"/>
                <w:sz w:val="24"/>
              </w:rPr>
              <w:t>答：</w:t>
            </w:r>
            <w:bookmarkEnd w:id="3"/>
            <w:r>
              <w:rPr>
                <w:rFonts w:hint="eastAsia" w:ascii="Times New Roman" w:hAnsi="Times New Roman" w:eastAsia="华文楷体"/>
                <w:bCs/>
                <w:iCs/>
                <w:color w:val="000000"/>
                <w:sz w:val="24"/>
              </w:rPr>
              <w:t>公司已建成一期、二期生产基地，三期项目</w:t>
            </w:r>
            <w:r>
              <w:rPr>
                <w:rFonts w:hint="eastAsia" w:ascii="Times New Roman" w:hAnsi="Times New Roman" w:eastAsia="华文楷体"/>
                <w:bCs/>
                <w:iCs/>
                <w:color w:val="000000"/>
                <w:sz w:val="24"/>
                <w:lang w:eastAsia="zh-CN"/>
              </w:rPr>
              <w:t>、</w:t>
            </w:r>
            <w:r>
              <w:rPr>
                <w:rFonts w:hint="eastAsia" w:ascii="Times New Roman" w:hAnsi="Times New Roman" w:eastAsia="华文楷体"/>
                <w:bCs/>
                <w:iCs/>
                <w:color w:val="000000"/>
                <w:sz w:val="24"/>
                <w:lang w:val="en-US" w:eastAsia="zh-CN"/>
              </w:rPr>
              <w:t>汕头海上项目</w:t>
            </w:r>
            <w:r>
              <w:rPr>
                <w:rFonts w:hint="eastAsia" w:ascii="Times New Roman" w:hAnsi="Times New Roman" w:eastAsia="华文楷体"/>
                <w:bCs/>
                <w:iCs/>
                <w:color w:val="000000"/>
                <w:sz w:val="24"/>
              </w:rPr>
              <w:t>正稳步推进。中长期产能建设以现有成熟基地为依托，同步规划四期项目分阶段实施，优先落地四期项目初期投资建设内容，后续将结合行业装机需求、下游订单情况，有序推进后续产能建设。通过汕头项目、三期、四期多梯度产能项目的分步投产与持续释放，公司将持续夯实规模化制造能力，进一步巩固行业核心竞争优势，为公司稳步拓展海内外市场份额提供坚实的产能支撑。</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iCs/>
                <w:color w:val="000000"/>
                <w:sz w:val="24"/>
              </w:rPr>
            </w:pPr>
            <w:r>
              <w:rPr>
                <w:rFonts w:hint="eastAsia" w:ascii="Times New Roman" w:hAnsi="Times New Roman" w:eastAsia="华文楷体"/>
                <w:b/>
                <w:iCs/>
                <w:color w:val="000000"/>
                <w:sz w:val="24"/>
              </w:rPr>
              <w:t>3、</w:t>
            </w:r>
            <w:bookmarkStart w:id="4" w:name="OLE_LINK4"/>
            <w:r>
              <w:rPr>
                <w:rFonts w:hint="eastAsia" w:ascii="Times New Roman" w:hAnsi="Times New Roman" w:eastAsia="华文楷体"/>
                <w:b/>
                <w:iCs/>
                <w:color w:val="000000"/>
                <w:sz w:val="24"/>
              </w:rPr>
              <w:t>公司大兆瓦机型、海风业务的长期增长节奏如何判断？</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val="0"/>
                <w:bCs/>
                <w:iCs/>
                <w:color w:val="000000"/>
                <w:sz w:val="24"/>
              </w:rPr>
            </w:pPr>
            <w:r>
              <w:rPr>
                <w:rFonts w:hint="eastAsia" w:ascii="Times New Roman" w:hAnsi="Times New Roman" w:eastAsia="华文楷体"/>
                <w:b w:val="0"/>
                <w:bCs/>
                <w:iCs/>
                <w:color w:val="000000"/>
                <w:sz w:val="24"/>
                <w:lang w:eastAsia="zh-CN"/>
              </w:rPr>
              <w:t>　　</w:t>
            </w:r>
            <w:r>
              <w:rPr>
                <w:rFonts w:hint="eastAsia" w:ascii="Times New Roman" w:hAnsi="Times New Roman" w:eastAsia="华文楷体"/>
                <w:b w:val="0"/>
                <w:bCs/>
                <w:iCs/>
                <w:color w:val="000000"/>
                <w:sz w:val="24"/>
              </w:rPr>
              <w:t>答：</w:t>
            </w:r>
            <w:bookmarkEnd w:id="4"/>
            <w:r>
              <w:rPr>
                <w:rFonts w:hint="eastAsia" w:ascii="Times New Roman" w:hAnsi="Times New Roman" w:eastAsia="华文楷体"/>
                <w:b w:val="0"/>
                <w:bCs/>
                <w:iCs/>
                <w:color w:val="000000"/>
                <w:sz w:val="24"/>
                <w:lang w:val="en-US" w:eastAsia="zh-CN"/>
              </w:rPr>
              <w:t>近年来，</w:t>
            </w:r>
            <w:r>
              <w:rPr>
                <w:rFonts w:hint="eastAsia" w:ascii="Times New Roman" w:hAnsi="Times New Roman" w:eastAsia="华文楷体"/>
                <w:bCs/>
                <w:iCs/>
                <w:color w:val="000000"/>
                <w:sz w:val="24"/>
              </w:rPr>
              <w:t>公司持续推动产品结构向大型化、高附加值方向升级，</w:t>
            </w:r>
            <w:r>
              <w:rPr>
                <w:rFonts w:hint="eastAsia" w:ascii="Times New Roman" w:hAnsi="Times New Roman" w:eastAsia="华文楷体"/>
                <w:bCs/>
                <w:iCs/>
                <w:color w:val="000000"/>
                <w:sz w:val="24"/>
                <w:lang w:val="en-US" w:eastAsia="zh-CN"/>
              </w:rPr>
              <w:t>预计</w:t>
            </w:r>
            <w:r>
              <w:rPr>
                <w:rFonts w:hint="eastAsia" w:ascii="Times New Roman" w:hAnsi="Times New Roman" w:eastAsia="华文楷体"/>
                <w:bCs/>
                <w:iCs/>
                <w:color w:val="000000"/>
                <w:sz w:val="24"/>
              </w:rPr>
              <w:t>大兆瓦机型业务占比在未来</w:t>
            </w:r>
            <w:r>
              <w:rPr>
                <w:rFonts w:hint="eastAsia" w:ascii="Times New Roman" w:hAnsi="Times New Roman" w:eastAsia="华文楷体"/>
                <w:bCs/>
                <w:iCs/>
                <w:color w:val="000000"/>
                <w:sz w:val="24"/>
                <w:lang w:val="en-US" w:eastAsia="zh-CN"/>
              </w:rPr>
              <w:t>会呈现</w:t>
            </w:r>
            <w:r>
              <w:rPr>
                <w:rFonts w:hint="eastAsia" w:ascii="Times New Roman" w:hAnsi="Times New Roman" w:eastAsia="华文楷体"/>
                <w:bCs/>
                <w:iCs/>
                <w:color w:val="000000"/>
                <w:sz w:val="24"/>
              </w:rPr>
              <w:t>稳步提升</w:t>
            </w:r>
            <w:r>
              <w:rPr>
                <w:rFonts w:hint="eastAsia" w:ascii="Times New Roman" w:hAnsi="Times New Roman" w:eastAsia="华文楷体"/>
                <w:bCs/>
                <w:iCs/>
                <w:color w:val="000000"/>
                <w:sz w:val="24"/>
                <w:lang w:val="en-US" w:eastAsia="zh-CN"/>
              </w:rPr>
              <w:t>的趋势</w:t>
            </w:r>
            <w:r>
              <w:rPr>
                <w:rFonts w:hint="eastAsia" w:ascii="Times New Roman" w:hAnsi="Times New Roman" w:eastAsia="华文楷体"/>
                <w:bCs/>
                <w:iCs/>
                <w:color w:val="000000"/>
                <w:sz w:val="24"/>
              </w:rPr>
              <w:t>，高毛利产品结构持续优化，带动整体盈利水平不断改善。</w:t>
            </w:r>
            <w:r>
              <w:rPr>
                <w:rFonts w:hint="eastAsia" w:ascii="Times New Roman" w:hAnsi="Times New Roman" w:eastAsia="华文楷体"/>
                <w:bCs/>
                <w:iCs/>
                <w:color w:val="000000"/>
                <w:sz w:val="24"/>
                <w:lang w:val="en-US" w:eastAsia="zh-CN"/>
              </w:rPr>
              <w:t>部分产品在</w:t>
            </w:r>
            <w:r>
              <w:rPr>
                <w:rFonts w:hint="eastAsia" w:ascii="Times New Roman" w:hAnsi="Times New Roman" w:eastAsia="华文楷体"/>
                <w:bCs/>
                <w:iCs/>
                <w:color w:val="000000"/>
                <w:sz w:val="24"/>
              </w:rPr>
              <w:t>海风领域技术已实现成熟应用，目前行业发展主要受海域开发相关政策节奏影响，预计后续随着配套政策逐步落地，海风市场将迎来快速发展机遇。公司在海风领域已</w:t>
            </w:r>
            <w:r>
              <w:rPr>
                <w:rFonts w:hint="eastAsia" w:ascii="Times New Roman" w:hAnsi="Times New Roman" w:eastAsia="华文楷体"/>
                <w:bCs/>
                <w:iCs/>
                <w:color w:val="000000"/>
                <w:sz w:val="24"/>
                <w:lang w:val="en-US" w:eastAsia="zh-CN"/>
              </w:rPr>
              <w:t>初步</w:t>
            </w:r>
            <w:r>
              <w:rPr>
                <w:rFonts w:hint="eastAsia" w:ascii="Times New Roman" w:hAnsi="Times New Roman" w:eastAsia="华文楷体"/>
                <w:bCs/>
                <w:iCs/>
                <w:color w:val="000000"/>
                <w:sz w:val="24"/>
              </w:rPr>
              <w:t>形成成熟的配套供货能力，在重点客户海风项目中保持较高配套份额，有望充分把握行业增长红利。</w:t>
            </w:r>
            <w:bookmarkEnd w:id="0"/>
            <w:bookmarkEnd w:id="1"/>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val="en-US" w:eastAsia="zh-CN"/>
              </w:rPr>
            </w:pPr>
            <w:r>
              <w:rPr>
                <w:rFonts w:hint="eastAsia" w:ascii="Times New Roman" w:hAnsi="Times New Roman" w:eastAsia="华文楷体"/>
                <w:b/>
                <w:bCs w:val="0"/>
                <w:iCs/>
                <w:color w:val="000000"/>
                <w:sz w:val="24"/>
                <w:lang w:val="en-US" w:eastAsia="zh-CN"/>
              </w:rPr>
              <w:t>4、公司直接出口业务最新落地进展如何？公司是否有海外建厂或海外并购的规划？</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　　答：公司欧洲市场已有客户进入样机测试阶段，目前进度顺利，预计不久后可实现小批量供货。近期，公司管理层赴海外考察，并对接多家国际头部整机商，以便为后续主营产品的批量直接出口打好基础。</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　　</w:t>
            </w:r>
            <w:r>
              <w:rPr>
                <w:rFonts w:hint="default" w:ascii="Times New Roman" w:hAnsi="Times New Roman" w:eastAsia="华文楷体"/>
                <w:b w:val="0"/>
                <w:bCs/>
                <w:iCs/>
                <w:color w:val="000000"/>
                <w:sz w:val="24"/>
                <w:lang w:val="en-US" w:eastAsia="zh-CN"/>
              </w:rPr>
              <w:t>公司</w:t>
            </w:r>
            <w:r>
              <w:rPr>
                <w:rFonts w:hint="eastAsia" w:ascii="Times New Roman" w:hAnsi="Times New Roman" w:eastAsia="华文楷体"/>
                <w:b w:val="0"/>
                <w:bCs/>
                <w:iCs/>
                <w:color w:val="000000"/>
                <w:sz w:val="24"/>
                <w:lang w:val="en-US" w:eastAsia="zh-CN"/>
              </w:rPr>
              <w:t>当前</w:t>
            </w:r>
            <w:r>
              <w:rPr>
                <w:rFonts w:hint="default" w:ascii="Times New Roman" w:hAnsi="Times New Roman" w:eastAsia="华文楷体"/>
                <w:b w:val="0"/>
                <w:bCs/>
                <w:iCs/>
                <w:color w:val="000000"/>
                <w:sz w:val="24"/>
                <w:lang w:val="en-US" w:eastAsia="zh-CN"/>
              </w:rPr>
              <w:t>无海外自建工厂计划，主要</w:t>
            </w:r>
            <w:r>
              <w:rPr>
                <w:rFonts w:hint="eastAsia" w:ascii="Times New Roman" w:hAnsi="Times New Roman" w:eastAsia="华文楷体"/>
                <w:b w:val="0"/>
                <w:bCs/>
                <w:iCs/>
                <w:color w:val="000000"/>
                <w:sz w:val="24"/>
                <w:lang w:val="en-US" w:eastAsia="zh-CN"/>
              </w:rPr>
              <w:t>考虑到</w:t>
            </w:r>
            <w:r>
              <w:rPr>
                <w:rFonts w:hint="default" w:ascii="Times New Roman" w:hAnsi="Times New Roman" w:eastAsia="华文楷体"/>
                <w:b w:val="0"/>
                <w:bCs/>
                <w:iCs/>
                <w:color w:val="000000"/>
                <w:sz w:val="24"/>
                <w:lang w:val="en-US" w:eastAsia="zh-CN"/>
              </w:rPr>
              <w:t>海外建厂成本高、资金出境难度大、国内供应链完整性更强等因素。</w:t>
            </w:r>
            <w:r>
              <w:rPr>
                <w:rFonts w:hint="eastAsia" w:ascii="Times New Roman" w:hAnsi="Times New Roman" w:eastAsia="华文楷体"/>
                <w:b w:val="0"/>
                <w:bCs/>
                <w:iCs/>
                <w:color w:val="000000"/>
                <w:sz w:val="24"/>
                <w:lang w:val="en-US" w:eastAsia="zh-CN"/>
              </w:rPr>
              <w:t>对于</w:t>
            </w:r>
            <w:r>
              <w:rPr>
                <w:rFonts w:hint="default" w:ascii="Times New Roman" w:hAnsi="Times New Roman" w:eastAsia="华文楷体"/>
                <w:b w:val="0"/>
                <w:bCs/>
                <w:iCs/>
                <w:color w:val="000000"/>
                <w:sz w:val="24"/>
                <w:lang w:val="en-US" w:eastAsia="zh-CN"/>
              </w:rPr>
              <w:t>收购海外成熟标的以缩短认证周期、获取海外渠道</w:t>
            </w:r>
            <w:r>
              <w:rPr>
                <w:rFonts w:hint="eastAsia" w:ascii="Times New Roman" w:hAnsi="Times New Roman" w:eastAsia="华文楷体"/>
                <w:b w:val="0"/>
                <w:bCs/>
                <w:iCs/>
                <w:color w:val="000000"/>
                <w:sz w:val="24"/>
                <w:lang w:val="en-US" w:eastAsia="zh-CN"/>
              </w:rPr>
              <w:t>的方案</w:t>
            </w:r>
            <w:r>
              <w:rPr>
                <w:rFonts w:hint="default" w:ascii="Times New Roman" w:hAnsi="Times New Roman" w:eastAsia="华文楷体"/>
                <w:b w:val="0"/>
                <w:bCs/>
                <w:iCs/>
                <w:color w:val="000000"/>
                <w:sz w:val="24"/>
                <w:lang w:val="en-US" w:eastAsia="zh-CN"/>
              </w:rPr>
              <w:t>，</w:t>
            </w:r>
            <w:r>
              <w:rPr>
                <w:rFonts w:hint="eastAsia" w:ascii="Times New Roman" w:hAnsi="Times New Roman" w:eastAsia="华文楷体"/>
                <w:b w:val="0"/>
                <w:bCs/>
                <w:iCs/>
                <w:color w:val="000000"/>
                <w:sz w:val="24"/>
                <w:lang w:val="en-US" w:eastAsia="zh-CN"/>
              </w:rPr>
              <w:t>公司也在积极论证、探讨可行性，</w:t>
            </w:r>
            <w:r>
              <w:rPr>
                <w:rFonts w:hint="eastAsia" w:ascii="Times New Roman" w:hAnsi="Times New Roman" w:eastAsia="华文楷体"/>
                <w:bCs/>
                <w:iCs/>
                <w:color w:val="000000"/>
                <w:sz w:val="24"/>
              </w:rPr>
              <w:t>后续若启动相关资本运作，公司将严格按照监管要求履行信息披露义务</w:t>
            </w:r>
            <w:r>
              <w:rPr>
                <w:rFonts w:hint="eastAsia" w:ascii="Times New Roman" w:hAnsi="Times New Roman" w:eastAsia="华文楷体"/>
                <w:bCs/>
                <w:iCs/>
                <w:color w:val="000000"/>
                <w:sz w:val="24"/>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eastAsia" w:ascii="Times New Roman" w:hAnsi="Times New Roman" w:eastAsia="华文楷体"/>
                <w:b/>
                <w:bCs w:val="0"/>
                <w:iCs/>
                <w:color w:val="000000"/>
                <w:sz w:val="24"/>
                <w:lang w:val="en-US" w:eastAsia="zh-CN"/>
              </w:rPr>
            </w:pPr>
            <w:r>
              <w:rPr>
                <w:rFonts w:hint="eastAsia" w:ascii="Times New Roman" w:hAnsi="Times New Roman" w:eastAsia="华文楷体"/>
                <w:b/>
                <w:bCs w:val="0"/>
                <w:iCs/>
                <w:color w:val="000000"/>
                <w:sz w:val="24"/>
                <w:lang w:val="en-US" w:eastAsia="zh-CN"/>
              </w:rPr>
              <w:t>5、面对行业价格波动的</w:t>
            </w:r>
            <w:r>
              <w:rPr>
                <w:rFonts w:hint="default" w:ascii="Times New Roman" w:hAnsi="Times New Roman" w:eastAsia="华文楷体"/>
                <w:b/>
                <w:bCs w:val="0"/>
                <w:iCs/>
                <w:color w:val="000000"/>
                <w:sz w:val="24"/>
                <w:lang w:val="en-US" w:eastAsia="zh-CN"/>
              </w:rPr>
              <w:t>背</w:t>
            </w:r>
            <w:r>
              <w:rPr>
                <w:rFonts w:hint="eastAsia" w:ascii="Times New Roman" w:hAnsi="Times New Roman" w:eastAsia="华文楷体"/>
                <w:b/>
                <w:bCs w:val="0"/>
                <w:iCs/>
                <w:color w:val="000000"/>
                <w:sz w:val="24"/>
                <w:lang w:val="en-US" w:eastAsia="zh-CN"/>
              </w:rPr>
              <w:t>景下，公司毛利率后续走势如何？</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after="157" w:afterLines="50" w:line="360" w:lineRule="auto"/>
              <w:textAlignment w:val="auto"/>
              <w:rPr>
                <w:rFonts w:hint="default" w:ascii="Times New Roman" w:hAnsi="Times New Roman" w:eastAsia="华文楷体"/>
                <w:b w:val="0"/>
                <w:bCs/>
                <w:iCs/>
                <w:color w:val="000000"/>
                <w:sz w:val="24"/>
                <w:lang w:val="en-US" w:eastAsia="zh-CN"/>
              </w:rPr>
            </w:pPr>
            <w:r>
              <w:rPr>
                <w:rFonts w:hint="eastAsia" w:ascii="Times New Roman" w:hAnsi="Times New Roman" w:eastAsia="华文楷体"/>
                <w:b w:val="0"/>
                <w:bCs/>
                <w:iCs/>
                <w:color w:val="000000"/>
                <w:sz w:val="24"/>
                <w:lang w:val="en-US" w:eastAsia="zh-CN"/>
              </w:rPr>
              <w:t>　　答：公司一季度部分机型价格随同行业变动情况进行了适度调整，整体</w:t>
            </w:r>
            <w:r>
              <w:rPr>
                <w:rFonts w:hint="default" w:ascii="Times New Roman" w:hAnsi="Times New Roman" w:eastAsia="华文楷体"/>
                <w:b w:val="0"/>
                <w:bCs/>
                <w:iCs/>
                <w:color w:val="000000"/>
                <w:sz w:val="24"/>
                <w:lang w:val="en-US" w:eastAsia="zh-CN"/>
              </w:rPr>
              <w:t>毛利率</w:t>
            </w:r>
            <w:r>
              <w:rPr>
                <w:rFonts w:hint="eastAsia" w:ascii="Times New Roman" w:hAnsi="Times New Roman" w:eastAsia="华文楷体"/>
                <w:b w:val="0"/>
                <w:bCs/>
                <w:iCs/>
                <w:color w:val="000000"/>
                <w:sz w:val="24"/>
                <w:lang w:val="en-US" w:eastAsia="zh-CN"/>
              </w:rPr>
              <w:t>在相对合理的范围内波动</w:t>
            </w:r>
            <w:r>
              <w:rPr>
                <w:rFonts w:hint="default" w:ascii="Times New Roman" w:hAnsi="Times New Roman" w:eastAsia="华文楷体"/>
                <w:b w:val="0"/>
                <w:bCs/>
                <w:iCs/>
                <w:color w:val="000000"/>
                <w:sz w:val="24"/>
                <w:lang w:val="en-US" w:eastAsia="zh-CN"/>
              </w:rPr>
              <w:t>，净利率水平保持健康稳定</w:t>
            </w:r>
            <w:r>
              <w:rPr>
                <w:rFonts w:hint="eastAsia" w:ascii="Times New Roman" w:hAnsi="Times New Roman" w:eastAsia="华文楷体"/>
                <w:b w:val="0"/>
                <w:bCs/>
                <w:iCs/>
                <w:color w:val="000000"/>
                <w:sz w:val="24"/>
                <w:lang w:val="en-US" w:eastAsia="zh-CN"/>
              </w:rPr>
              <w:t>。长期而言，随着后续产品结构、客户结构、规模化优势、精益化管理等方面的进一步优化与提升，公司的产品价格体系和毛利率水平在同行业中一直会保持有较强的竞争优势</w:t>
            </w:r>
            <w:r>
              <w:rPr>
                <w:rFonts w:hint="default" w:ascii="Times New Roman" w:hAnsi="Times New Roman" w:eastAsia="华文楷体"/>
                <w:b w:val="0"/>
                <w:bCs/>
                <w:iCs/>
                <w:color w:val="000000"/>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关于本次活动是否涉及应当披露重大信息的说明</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rPr>
              <w:t>本次活动不涉及未公开披露的重大信息。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附件清单（如有）</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华文楷体"/>
                <w:bCs/>
                <w:iCs/>
                <w:color w:val="000000"/>
                <w:sz w:val="24"/>
                <w:lang w:val="en-US" w:eastAsia="zh-CN"/>
              </w:rPr>
            </w:pPr>
            <w:r>
              <w:rPr>
                <w:rFonts w:hint="eastAsia" w:ascii="Times New Roman" w:hAnsi="Times New Roman" w:eastAsia="华文楷体"/>
                <w:bCs/>
                <w:iCs/>
                <w:color w:val="000000"/>
                <w:sz w:val="24"/>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ascii="Times New Roman" w:hAnsi="Times New Roman" w:eastAsia="华文楷体"/>
                <w:bCs/>
                <w:iCs/>
                <w:color w:val="000000"/>
                <w:sz w:val="24"/>
              </w:rPr>
            </w:pPr>
            <w:r>
              <w:rPr>
                <w:rFonts w:ascii="Times New Roman" w:hAnsi="Times New Roman" w:eastAsia="华文楷体"/>
                <w:bCs/>
                <w:iCs/>
                <w:color w:val="000000"/>
                <w:sz w:val="24"/>
              </w:rPr>
              <w:t>日期</w:t>
            </w:r>
          </w:p>
        </w:tc>
        <w:tc>
          <w:tcPr>
            <w:tcW w:w="6614" w:type="dxa"/>
            <w:tcBorders>
              <w:tl2br w:val="nil"/>
              <w:tr2bl w:val="nil"/>
            </w:tcBorders>
          </w:tcPr>
          <w:p>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ascii="Times New Roman" w:hAnsi="Times New Roman" w:eastAsia="华文楷体"/>
                <w:bCs/>
                <w:iCs/>
                <w:color w:val="000000"/>
                <w:sz w:val="24"/>
              </w:rPr>
            </w:pPr>
            <w:r>
              <w:rPr>
                <w:rFonts w:hint="eastAsia" w:ascii="Times New Roman" w:hAnsi="Times New Roman" w:eastAsia="华文楷体"/>
                <w:bCs/>
                <w:iCs/>
                <w:color w:val="000000"/>
                <w:sz w:val="24"/>
                <w:lang w:val="en-US" w:eastAsia="zh-CN"/>
              </w:rPr>
              <w:t>2026年6月1日</w:t>
            </w:r>
          </w:p>
        </w:tc>
      </w:tr>
    </w:tbl>
    <w:p>
      <w:pPr>
        <w:rPr>
          <w:rFonts w:ascii="Times New Roman" w:hAnsi="Times New Roman" w:eastAsia="华文楷体"/>
          <w:sz w:val="24"/>
        </w:rPr>
      </w:pPr>
    </w:p>
    <w:p>
      <w:pPr>
        <w:widowControl/>
        <w:jc w:val="left"/>
        <w:rPr>
          <w:rFonts w:ascii="Times New Roman" w:hAnsi="Times New Roman" w:eastAsia="华文楷体"/>
          <w:sz w:val="24"/>
        </w:rPr>
      </w:pPr>
      <w:bookmarkStart w:id="5" w:name="_GoBack"/>
      <w:bookmarkEnd w:id="5"/>
    </w:p>
    <w:sectPr>
      <w:headerReference r:id="rId5" w:type="first"/>
      <w:footerReference r:id="rId8" w:type="first"/>
      <w:headerReference r:id="rId3" w:type="default"/>
      <w:footerReference r:id="rId6" w:type="default"/>
      <w:headerReference r:id="rId4" w:type="even"/>
      <w:footerReference r:id="rId7" w:type="even"/>
      <w:pgSz w:w="11906" w:h="16838"/>
      <w:pgMar w:top="930" w:right="1797" w:bottom="1440" w:left="1797" w:header="737" w:footer="680"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410"/>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353237"/>
    <w:rsid w:val="000144C4"/>
    <w:rsid w:val="0004494E"/>
    <w:rsid w:val="00071AB5"/>
    <w:rsid w:val="00077C35"/>
    <w:rsid w:val="000A4ED2"/>
    <w:rsid w:val="000B059B"/>
    <w:rsid w:val="000B6759"/>
    <w:rsid w:val="000C161D"/>
    <w:rsid w:val="0013459F"/>
    <w:rsid w:val="0017433B"/>
    <w:rsid w:val="001C4E9C"/>
    <w:rsid w:val="001E5B0E"/>
    <w:rsid w:val="002079F0"/>
    <w:rsid w:val="002241CA"/>
    <w:rsid w:val="0023431C"/>
    <w:rsid w:val="002739BD"/>
    <w:rsid w:val="002A58B1"/>
    <w:rsid w:val="002B3EB3"/>
    <w:rsid w:val="002B54AE"/>
    <w:rsid w:val="002D6DB2"/>
    <w:rsid w:val="002E2240"/>
    <w:rsid w:val="00300958"/>
    <w:rsid w:val="00302C7A"/>
    <w:rsid w:val="00312615"/>
    <w:rsid w:val="00325630"/>
    <w:rsid w:val="00331BD4"/>
    <w:rsid w:val="00334E22"/>
    <w:rsid w:val="00351F58"/>
    <w:rsid w:val="00360160"/>
    <w:rsid w:val="00361D2D"/>
    <w:rsid w:val="0038081E"/>
    <w:rsid w:val="00381E5F"/>
    <w:rsid w:val="00387DAE"/>
    <w:rsid w:val="003B3476"/>
    <w:rsid w:val="003E09D6"/>
    <w:rsid w:val="003F43E9"/>
    <w:rsid w:val="0040196F"/>
    <w:rsid w:val="00405E58"/>
    <w:rsid w:val="004134CD"/>
    <w:rsid w:val="004153F4"/>
    <w:rsid w:val="00425118"/>
    <w:rsid w:val="0043372C"/>
    <w:rsid w:val="00433836"/>
    <w:rsid w:val="00462055"/>
    <w:rsid w:val="004710A1"/>
    <w:rsid w:val="004913BC"/>
    <w:rsid w:val="00492BBF"/>
    <w:rsid w:val="00494A95"/>
    <w:rsid w:val="004B0B73"/>
    <w:rsid w:val="004B77A0"/>
    <w:rsid w:val="004C0357"/>
    <w:rsid w:val="004D6307"/>
    <w:rsid w:val="004D7FAC"/>
    <w:rsid w:val="004E7DAE"/>
    <w:rsid w:val="00500654"/>
    <w:rsid w:val="0050343A"/>
    <w:rsid w:val="00515810"/>
    <w:rsid w:val="0052341E"/>
    <w:rsid w:val="00523922"/>
    <w:rsid w:val="005263AA"/>
    <w:rsid w:val="0054044A"/>
    <w:rsid w:val="005B4322"/>
    <w:rsid w:val="005F1A92"/>
    <w:rsid w:val="005F32CA"/>
    <w:rsid w:val="006059BD"/>
    <w:rsid w:val="00612813"/>
    <w:rsid w:val="00623311"/>
    <w:rsid w:val="00644768"/>
    <w:rsid w:val="00685507"/>
    <w:rsid w:val="006879CB"/>
    <w:rsid w:val="006B5C83"/>
    <w:rsid w:val="006C36EA"/>
    <w:rsid w:val="006D403E"/>
    <w:rsid w:val="00710E31"/>
    <w:rsid w:val="00712276"/>
    <w:rsid w:val="0071616D"/>
    <w:rsid w:val="00725F7E"/>
    <w:rsid w:val="0074039A"/>
    <w:rsid w:val="00781BAC"/>
    <w:rsid w:val="007C0148"/>
    <w:rsid w:val="007C74FA"/>
    <w:rsid w:val="007D5EBF"/>
    <w:rsid w:val="007E3476"/>
    <w:rsid w:val="007F3235"/>
    <w:rsid w:val="0080146E"/>
    <w:rsid w:val="00803D91"/>
    <w:rsid w:val="0081618F"/>
    <w:rsid w:val="00822BD6"/>
    <w:rsid w:val="0082672A"/>
    <w:rsid w:val="008328C2"/>
    <w:rsid w:val="0084662D"/>
    <w:rsid w:val="00854004"/>
    <w:rsid w:val="0086040F"/>
    <w:rsid w:val="00880FC4"/>
    <w:rsid w:val="008B47B8"/>
    <w:rsid w:val="008C1D0E"/>
    <w:rsid w:val="008D13EA"/>
    <w:rsid w:val="008D66DD"/>
    <w:rsid w:val="008E2265"/>
    <w:rsid w:val="00905937"/>
    <w:rsid w:val="009478D9"/>
    <w:rsid w:val="009900EE"/>
    <w:rsid w:val="00990AE4"/>
    <w:rsid w:val="00997BB5"/>
    <w:rsid w:val="009A0BFF"/>
    <w:rsid w:val="009B4B8D"/>
    <w:rsid w:val="009D4444"/>
    <w:rsid w:val="00A025F1"/>
    <w:rsid w:val="00A04EF8"/>
    <w:rsid w:val="00A17E32"/>
    <w:rsid w:val="00A35071"/>
    <w:rsid w:val="00A36119"/>
    <w:rsid w:val="00A44A6C"/>
    <w:rsid w:val="00A71887"/>
    <w:rsid w:val="00A83CC2"/>
    <w:rsid w:val="00A8567B"/>
    <w:rsid w:val="00A860A0"/>
    <w:rsid w:val="00AC63E6"/>
    <w:rsid w:val="00AF7782"/>
    <w:rsid w:val="00B01B7E"/>
    <w:rsid w:val="00B102BD"/>
    <w:rsid w:val="00B650AC"/>
    <w:rsid w:val="00BB3EE8"/>
    <w:rsid w:val="00BB5B5A"/>
    <w:rsid w:val="00BC1881"/>
    <w:rsid w:val="00BE4C86"/>
    <w:rsid w:val="00BE6811"/>
    <w:rsid w:val="00C0730D"/>
    <w:rsid w:val="00C21305"/>
    <w:rsid w:val="00C33351"/>
    <w:rsid w:val="00C33667"/>
    <w:rsid w:val="00C50F3E"/>
    <w:rsid w:val="00C63EDF"/>
    <w:rsid w:val="00C7268F"/>
    <w:rsid w:val="00C931DF"/>
    <w:rsid w:val="00CA4D3E"/>
    <w:rsid w:val="00CB32F5"/>
    <w:rsid w:val="00CF70BF"/>
    <w:rsid w:val="00D064B1"/>
    <w:rsid w:val="00D44B54"/>
    <w:rsid w:val="00D743F3"/>
    <w:rsid w:val="00D82513"/>
    <w:rsid w:val="00DC13E8"/>
    <w:rsid w:val="00DE4790"/>
    <w:rsid w:val="00DF4636"/>
    <w:rsid w:val="00DF4BB6"/>
    <w:rsid w:val="00E470C2"/>
    <w:rsid w:val="00E90303"/>
    <w:rsid w:val="00E9327D"/>
    <w:rsid w:val="00EE241D"/>
    <w:rsid w:val="00EE6DA8"/>
    <w:rsid w:val="00F14245"/>
    <w:rsid w:val="00F435F9"/>
    <w:rsid w:val="00F46CA0"/>
    <w:rsid w:val="00F54506"/>
    <w:rsid w:val="00F56194"/>
    <w:rsid w:val="00F83F9C"/>
    <w:rsid w:val="00F95168"/>
    <w:rsid w:val="00FA0D44"/>
    <w:rsid w:val="00FC574D"/>
    <w:rsid w:val="00FC7ACF"/>
    <w:rsid w:val="00FD4854"/>
    <w:rsid w:val="08C808C1"/>
    <w:rsid w:val="092F7EC0"/>
    <w:rsid w:val="0B55365C"/>
    <w:rsid w:val="0B7B146A"/>
    <w:rsid w:val="116E602C"/>
    <w:rsid w:val="117F2C6F"/>
    <w:rsid w:val="12EC48DB"/>
    <w:rsid w:val="153A40D6"/>
    <w:rsid w:val="15883A60"/>
    <w:rsid w:val="161C14DA"/>
    <w:rsid w:val="17353237"/>
    <w:rsid w:val="18D63375"/>
    <w:rsid w:val="1ECB56F7"/>
    <w:rsid w:val="20720540"/>
    <w:rsid w:val="237431B7"/>
    <w:rsid w:val="2B111DED"/>
    <w:rsid w:val="2C5A45B6"/>
    <w:rsid w:val="2D1203B7"/>
    <w:rsid w:val="2D782FCB"/>
    <w:rsid w:val="2E353DFF"/>
    <w:rsid w:val="2EA15A6F"/>
    <w:rsid w:val="2F4335DC"/>
    <w:rsid w:val="2FDD757B"/>
    <w:rsid w:val="341648C1"/>
    <w:rsid w:val="36F71AE2"/>
    <w:rsid w:val="374953E8"/>
    <w:rsid w:val="39A2026C"/>
    <w:rsid w:val="39C44B4D"/>
    <w:rsid w:val="3AF93AA5"/>
    <w:rsid w:val="3B444BAB"/>
    <w:rsid w:val="3E0F2786"/>
    <w:rsid w:val="42637830"/>
    <w:rsid w:val="42C8165A"/>
    <w:rsid w:val="42FD36E9"/>
    <w:rsid w:val="442370E9"/>
    <w:rsid w:val="462514F4"/>
    <w:rsid w:val="483B1CF7"/>
    <w:rsid w:val="4DDF6EF1"/>
    <w:rsid w:val="4FFFCAFE"/>
    <w:rsid w:val="513464CE"/>
    <w:rsid w:val="561F4BDA"/>
    <w:rsid w:val="566F654E"/>
    <w:rsid w:val="5A33385C"/>
    <w:rsid w:val="5CAF40AC"/>
    <w:rsid w:val="5CB13D29"/>
    <w:rsid w:val="5D1B08E5"/>
    <w:rsid w:val="5F933795"/>
    <w:rsid w:val="6105122B"/>
    <w:rsid w:val="6780210D"/>
    <w:rsid w:val="67A47C25"/>
    <w:rsid w:val="6A920273"/>
    <w:rsid w:val="6B887715"/>
    <w:rsid w:val="6C744235"/>
    <w:rsid w:val="6D416D73"/>
    <w:rsid w:val="6FA63DA2"/>
    <w:rsid w:val="70380F99"/>
    <w:rsid w:val="71365500"/>
    <w:rsid w:val="71FA7B65"/>
    <w:rsid w:val="72CE65AE"/>
    <w:rsid w:val="791D1E0A"/>
    <w:rsid w:val="79DBA059"/>
    <w:rsid w:val="7A444920"/>
    <w:rsid w:val="7BD5BBAD"/>
    <w:rsid w:val="7F874149"/>
    <w:rsid w:val="7FA178CD"/>
    <w:rsid w:val="7FE67E71"/>
    <w:rsid w:val="7FFF9C4C"/>
    <w:rsid w:val="A67CD593"/>
    <w:rsid w:val="AFBB2423"/>
    <w:rsid w:val="B76F28A5"/>
    <w:rsid w:val="B9FDE687"/>
    <w:rsid w:val="BDFF8A21"/>
    <w:rsid w:val="D4FFF143"/>
    <w:rsid w:val="D7BF1A25"/>
    <w:rsid w:val="F1EEB0D9"/>
    <w:rsid w:val="FF7E23B7"/>
    <w:rsid w:val="FFD9AE20"/>
    <w:rsid w:val="FFDD8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2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szCs w:val="22"/>
    </w:rPr>
  </w:style>
  <w:style w:type="paragraph" w:styleId="4">
    <w:name w:val="Date"/>
    <w:basedOn w:val="1"/>
    <w:next w:val="1"/>
    <w:link w:val="15"/>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0"/>
    <w:rPr>
      <w:b/>
      <w:bCs/>
      <w:szCs w:val="24"/>
    </w:rPr>
  </w:style>
  <w:style w:type="table" w:styleId="11">
    <w:name w:val="Table Grid"/>
    <w:basedOn w:val="10"/>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unhideWhenUsed/>
    <w:qFormat/>
    <w:uiPriority w:val="99"/>
    <w:rPr>
      <w:sz w:val="21"/>
      <w:szCs w:val="21"/>
    </w:rPr>
  </w:style>
  <w:style w:type="character" w:customStyle="1" w:styleId="15">
    <w:name w:val="日期 Char"/>
    <w:basedOn w:val="12"/>
    <w:link w:val="4"/>
    <w:qFormat/>
    <w:uiPriority w:val="0"/>
    <w:rPr>
      <w:rFonts w:ascii="Calibri" w:hAnsi="Calibri"/>
      <w:kern w:val="2"/>
      <w:sz w:val="21"/>
      <w:szCs w:val="24"/>
    </w:rPr>
  </w:style>
  <w:style w:type="character" w:customStyle="1" w:styleId="16">
    <w:name w:val="批注文字 Char"/>
    <w:basedOn w:val="12"/>
    <w:link w:val="3"/>
    <w:qFormat/>
    <w:uiPriority w:val="99"/>
    <w:rPr>
      <w:rFonts w:ascii="Calibri" w:hAnsi="Calibri"/>
      <w:kern w:val="2"/>
      <w:sz w:val="21"/>
      <w:szCs w:val="22"/>
    </w:rPr>
  </w:style>
  <w:style w:type="character" w:customStyle="1" w:styleId="17">
    <w:name w:val="批注框文本 Char"/>
    <w:basedOn w:val="12"/>
    <w:link w:val="5"/>
    <w:qFormat/>
    <w:uiPriority w:val="0"/>
    <w:rPr>
      <w:rFonts w:ascii="Calibri" w:hAnsi="Calibri"/>
      <w:kern w:val="2"/>
      <w:sz w:val="18"/>
      <w:szCs w:val="18"/>
    </w:rPr>
  </w:style>
  <w:style w:type="paragraph" w:styleId="1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9">
    <w:name w:val="批注主题 Char"/>
    <w:basedOn w:val="16"/>
    <w:link w:val="9"/>
    <w:semiHidden/>
    <w:qFormat/>
    <w:uiPriority w:val="0"/>
    <w:rPr>
      <w:rFonts w:ascii="Calibri" w:hAnsi="Calibri"/>
      <w:b/>
      <w:bCs/>
      <w:kern w:val="2"/>
      <w:sz w:val="21"/>
      <w:szCs w:val="24"/>
    </w:rPr>
  </w:style>
  <w:style w:type="paragraph" w:customStyle="1" w:styleId="20">
    <w:name w:val="Revision"/>
    <w:hidden/>
    <w:semiHidden/>
    <w:qFormat/>
    <w:uiPriority w:val="99"/>
    <w:rPr>
      <w:rFonts w:ascii="Calibri" w:hAnsi="Calibri" w:eastAsia="宋体" w:cs="Times New Roman"/>
      <w:kern w:val="2"/>
      <w:sz w:val="21"/>
      <w:szCs w:val="24"/>
      <w:lang w:val="en-US" w:eastAsia="zh-CN" w:bidi="ar-SA"/>
    </w:rPr>
  </w:style>
  <w:style w:type="character" w:customStyle="1" w:styleId="21">
    <w:name w:val="标题 2 Char"/>
    <w:basedOn w:val="12"/>
    <w:link w:val="2"/>
    <w:qFormat/>
    <w:uiPriority w:val="9"/>
    <w:rPr>
      <w:rFonts w:ascii="宋体" w:hAnsi="宋体" w:cs="宋体"/>
      <w:b/>
      <w:bCs/>
      <w:sz w:val="36"/>
      <w:szCs w:val="36"/>
    </w:rPr>
  </w:style>
  <w:style w:type="character" w:customStyle="1" w:styleId="22">
    <w:name w:val="bgchighlight-ancho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48</Words>
  <Characters>278</Characters>
  <Lines>2</Lines>
  <Paragraphs>1</Paragraphs>
  <TotalTime>23</TotalTime>
  <ScaleCrop>false</ScaleCrop>
  <LinksUpToDate>false</LinksUpToDate>
  <CharactersWithSpaces>325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2025-12-03T15:08:00Z</dcterms:created>
  <dc:creator>夜火</dc:creator>
  <cp:lastModifiedBy>zlz</cp:lastModifiedBy>
  <cp:lastPrinted>2021-06-20T15:26:00Z</cp:lastPrinted>
  <dcterms:modified xsi:type="dcterms:W3CDTF">2026-06-01T07:15:12Z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294634EDF14645C99FF75C50DF78EFBB</vt:lpwstr>
  </property>
</Properties>
</file>