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AF75C7" w:rsidRDefault="002C4E60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AF75C7" w:rsidRDefault="002C4E6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AF75C7" w:rsidRDefault="002C4E6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77777777" w:rsidR="00AF75C7" w:rsidRDefault="002C4E60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2026-008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AF75C7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AF75C7" w:rsidRDefault="002C4E60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AF75C7" w:rsidRDefault="00AF75C7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AF75C7" w:rsidRDefault="002C4E6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AF75C7" w:rsidRDefault="002C4E6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AF75C7" w:rsidRDefault="002C4E6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AF75C7" w:rsidRDefault="002C4E6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AF75C7" w:rsidRDefault="002C4E60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AF75C7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AF75C7" w:rsidRDefault="002C4E60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513A807E" w:rsidR="00AF75C7" w:rsidRDefault="0073283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2836">
              <w:rPr>
                <w:rFonts w:ascii="宋体" w:hAnsi="宋体" w:cs="宋体" w:hint="eastAsia"/>
                <w:sz w:val="24"/>
                <w:szCs w:val="24"/>
              </w:rPr>
              <w:t>东北证券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富国基金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工银瑞信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国泰基金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宏利基金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交银施罗德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开源证券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宁银理财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浦银基金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上投摩根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天风证券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招商基金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32836">
              <w:rPr>
                <w:rFonts w:ascii="宋体" w:hAnsi="宋体" w:cs="宋体" w:hint="eastAsia"/>
                <w:sz w:val="24"/>
                <w:szCs w:val="24"/>
              </w:rPr>
              <w:t>中信建投证券</w:t>
            </w:r>
            <w:r w:rsidR="002C4E60">
              <w:rPr>
                <w:rFonts w:ascii="宋体" w:hAnsi="宋体" w:cs="宋体" w:hint="eastAsia"/>
                <w:sz w:val="24"/>
                <w:szCs w:val="24"/>
              </w:rPr>
              <w:t>共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 w:rsidR="002C4E60">
              <w:rPr>
                <w:rFonts w:ascii="宋体" w:hAnsi="宋体" w:cs="宋体" w:hint="eastAsia"/>
                <w:kern w:val="0"/>
                <w:sz w:val="24"/>
                <w:szCs w:val="24"/>
              </w:rPr>
              <w:t>家机构</w:t>
            </w:r>
          </w:p>
        </w:tc>
      </w:tr>
      <w:tr w:rsidR="00AF75C7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AF75C7" w:rsidRDefault="002C4E60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77777777" w:rsidR="00AF75C7" w:rsidRDefault="002C4E6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AF75C7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AF75C7" w:rsidRDefault="002C4E60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77777777" w:rsidR="00AF75C7" w:rsidRDefault="002C4E6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线上会议、线下会议</w:t>
            </w:r>
          </w:p>
        </w:tc>
      </w:tr>
      <w:tr w:rsidR="00AF75C7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AF75C7" w:rsidRDefault="002C4E60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77777777" w:rsidR="00AF75C7" w:rsidRDefault="002C4E6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董事会秘书黄艳莉</w:t>
            </w:r>
          </w:p>
        </w:tc>
      </w:tr>
      <w:tr w:rsidR="00AF75C7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AF75C7" w:rsidRDefault="002C4E60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DB8" w14:textId="03E30750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问题一：请公司介绍</w:t>
            </w:r>
            <w:r>
              <w:rPr>
                <w:rFonts w:ascii="宋体" w:hAnsi="宋体" w:hint="eastAsia"/>
                <w:b/>
                <w:sz w:val="24"/>
              </w:rPr>
              <w:t>一季度经营情况以及分区域、分产业来看</w:t>
            </w:r>
            <w:r>
              <w:rPr>
                <w:rFonts w:ascii="宋体" w:hAnsi="宋体" w:hint="eastAsia"/>
                <w:b/>
                <w:sz w:val="24"/>
              </w:rPr>
              <w:t>表现如何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0477B4DE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</w:t>
            </w:r>
            <w:r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ascii="宋体" w:hAnsi="宋体" w:hint="eastAsia"/>
                <w:bCs/>
                <w:sz w:val="24"/>
              </w:rPr>
              <w:t>2026</w:t>
            </w:r>
            <w:r>
              <w:rPr>
                <w:rFonts w:ascii="宋体" w:hAnsi="宋体" w:hint="eastAsia"/>
                <w:bCs/>
                <w:sz w:val="24"/>
              </w:rPr>
              <w:t>年一季度，公司实现营业收入</w:t>
            </w:r>
            <w:r>
              <w:rPr>
                <w:rFonts w:ascii="宋体" w:hAnsi="宋体" w:hint="eastAsia"/>
                <w:bCs/>
                <w:sz w:val="24"/>
              </w:rPr>
              <w:t>6.52</w:t>
            </w:r>
            <w:r>
              <w:rPr>
                <w:rFonts w:ascii="宋体" w:hAnsi="宋体" w:hint="eastAsia"/>
                <w:bCs/>
                <w:sz w:val="24"/>
              </w:rPr>
              <w:t>亿元，实现归母净利润</w:t>
            </w:r>
            <w:r>
              <w:rPr>
                <w:rFonts w:ascii="宋体" w:hAnsi="宋体" w:hint="eastAsia"/>
                <w:bCs/>
                <w:sz w:val="24"/>
              </w:rPr>
              <w:t>0.79</w:t>
            </w:r>
            <w:r>
              <w:rPr>
                <w:rFonts w:ascii="宋体" w:hAnsi="宋体" w:hint="eastAsia"/>
                <w:bCs/>
                <w:sz w:val="24"/>
              </w:rPr>
              <w:t>亿，归母净利润率较</w:t>
            </w:r>
            <w:r>
              <w:rPr>
                <w:rFonts w:ascii="宋体" w:hAnsi="宋体" w:hint="eastAsia"/>
                <w:bCs/>
                <w:sz w:val="24"/>
              </w:rPr>
              <w:t>2025</w:t>
            </w:r>
            <w:r>
              <w:rPr>
                <w:rFonts w:ascii="宋体" w:hAnsi="宋体" w:hint="eastAsia"/>
                <w:bCs/>
                <w:sz w:val="24"/>
              </w:rPr>
              <w:t>年提升</w:t>
            </w:r>
            <w:r>
              <w:rPr>
                <w:rFonts w:ascii="宋体" w:hAnsi="宋体" w:hint="eastAsia"/>
                <w:bCs/>
                <w:sz w:val="24"/>
              </w:rPr>
              <w:t>1.42</w:t>
            </w:r>
            <w:r>
              <w:rPr>
                <w:rFonts w:ascii="宋体" w:hAnsi="宋体" w:hint="eastAsia"/>
                <w:bCs/>
                <w:sz w:val="24"/>
              </w:rPr>
              <w:t>个百分点。</w:t>
            </w:r>
          </w:p>
          <w:p w14:paraId="75497F45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分区域维度来看，国内业务实现收入</w:t>
            </w:r>
            <w:r>
              <w:rPr>
                <w:rFonts w:ascii="宋体" w:hAnsi="宋体" w:hint="eastAsia"/>
                <w:bCs/>
                <w:sz w:val="24"/>
              </w:rPr>
              <w:t>4.4</w:t>
            </w:r>
            <w:r>
              <w:rPr>
                <w:rFonts w:ascii="宋体" w:hAnsi="宋体" w:hint="eastAsia"/>
                <w:bCs/>
                <w:sz w:val="24"/>
              </w:rPr>
              <w:t>亿，自</w:t>
            </w:r>
            <w:r>
              <w:rPr>
                <w:rFonts w:ascii="宋体" w:hAnsi="宋体" w:hint="eastAsia"/>
                <w:bCs/>
                <w:sz w:val="24"/>
              </w:rPr>
              <w:t>25</w:t>
            </w:r>
            <w:r>
              <w:rPr>
                <w:rFonts w:ascii="宋体" w:hAnsi="宋体" w:hint="eastAsia"/>
                <w:bCs/>
                <w:sz w:val="24"/>
              </w:rPr>
              <w:t>年第三季度连续三个季度持续环比增长，</w:t>
            </w:r>
            <w:r>
              <w:rPr>
                <w:rFonts w:ascii="宋体" w:hAnsi="宋体" w:hint="eastAsia"/>
                <w:bCs/>
                <w:sz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</w:rPr>
              <w:t>通过拓动销、扩渠道和新模式持续突破，有信心延续</w:t>
            </w:r>
            <w:r>
              <w:rPr>
                <w:rFonts w:ascii="宋体" w:hAnsi="宋体" w:hint="eastAsia"/>
                <w:bCs/>
                <w:sz w:val="24"/>
              </w:rPr>
              <w:t>持续恢复的良好态势。海外业务实现收入</w:t>
            </w:r>
            <w:r>
              <w:rPr>
                <w:rFonts w:ascii="宋体" w:hAnsi="宋体" w:hint="eastAsia"/>
                <w:bCs/>
                <w:sz w:val="24"/>
              </w:rPr>
              <w:t>2.04</w:t>
            </w:r>
            <w:r>
              <w:rPr>
                <w:rFonts w:ascii="宋体" w:hAnsi="宋体" w:hint="eastAsia"/>
                <w:bCs/>
                <w:sz w:val="24"/>
              </w:rPr>
              <w:t>亿，同比微增</w:t>
            </w:r>
            <w:r>
              <w:rPr>
                <w:rFonts w:ascii="宋体" w:hAnsi="宋体" w:hint="eastAsia"/>
                <w:bCs/>
                <w:sz w:val="24"/>
              </w:rPr>
              <w:t>0.14%</w:t>
            </w:r>
            <w:r>
              <w:rPr>
                <w:rFonts w:ascii="宋体" w:hAnsi="宋体" w:hint="eastAsia"/>
                <w:bCs/>
                <w:sz w:val="24"/>
              </w:rPr>
              <w:t>，若剔除欧洲区的自动化药房项目高基数的影响后同比增长</w:t>
            </w:r>
            <w:r>
              <w:rPr>
                <w:rFonts w:ascii="宋体" w:hAnsi="宋体" w:hint="eastAsia"/>
                <w:bCs/>
                <w:sz w:val="24"/>
              </w:rPr>
              <w:t>26%</w:t>
            </w:r>
            <w:r>
              <w:rPr>
                <w:rFonts w:ascii="宋体" w:hAnsi="宋体" w:hint="eastAsia"/>
                <w:bCs/>
                <w:sz w:val="24"/>
              </w:rPr>
              <w:t>。除欧洲区外，一季度非洲、欧洲、美洲等区域分别实现</w:t>
            </w:r>
            <w:r>
              <w:rPr>
                <w:rFonts w:ascii="宋体" w:hAnsi="宋体" w:hint="eastAsia"/>
                <w:bCs/>
                <w:sz w:val="24"/>
              </w:rPr>
              <w:t>18%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64%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16%</w:t>
            </w:r>
            <w:r>
              <w:rPr>
                <w:rFonts w:ascii="宋体" w:hAnsi="宋体" w:hint="eastAsia"/>
                <w:bCs/>
                <w:sz w:val="24"/>
              </w:rPr>
              <w:t>的增长。目前欧洲区自动化药房项目的二期正在按期推进，且在其他国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家建立样板并持续复制，对全年的增长保障度高。</w:t>
            </w:r>
          </w:p>
          <w:p w14:paraId="067E35ED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分产业维度来看，低温存储产业一季度收入同比增长</w:t>
            </w:r>
            <w:r>
              <w:rPr>
                <w:rFonts w:ascii="宋体" w:hAnsi="宋体" w:hint="eastAsia"/>
                <w:bCs/>
                <w:sz w:val="24"/>
              </w:rPr>
              <w:t>0.9%</w:t>
            </w:r>
            <w:r>
              <w:rPr>
                <w:rFonts w:ascii="宋体" w:hAnsi="宋体" w:hint="eastAsia"/>
                <w:bCs/>
                <w:sz w:val="24"/>
              </w:rPr>
              <w:t>，实现连续三个季度的同比正增长。智慧用药产业一季度销售收入同比下降</w:t>
            </w:r>
            <w:r>
              <w:rPr>
                <w:rFonts w:ascii="宋体" w:hAnsi="宋体" w:hint="eastAsia"/>
                <w:bCs/>
                <w:sz w:val="24"/>
              </w:rPr>
              <w:t>16%</w:t>
            </w:r>
            <w:r>
              <w:rPr>
                <w:rFonts w:ascii="宋体" w:hAnsi="宋体" w:hint="eastAsia"/>
                <w:bCs/>
                <w:sz w:val="24"/>
              </w:rPr>
              <w:t>，主要受同期欧洲区域项目交付影响，截至一季度末，在手的自动化药房订单额增幅超过</w:t>
            </w:r>
            <w:r>
              <w:rPr>
                <w:rFonts w:ascii="宋体" w:hAnsi="宋体" w:hint="eastAsia"/>
                <w:bCs/>
                <w:sz w:val="24"/>
              </w:rPr>
              <w:t>50</w:t>
            </w:r>
            <w:r>
              <w:rPr>
                <w:rFonts w:ascii="宋体" w:hAnsi="宋体" w:hint="eastAsia"/>
                <w:bCs/>
                <w:sz w:val="24"/>
              </w:rPr>
              <w:t>%</w:t>
            </w:r>
            <w:r>
              <w:rPr>
                <w:rFonts w:ascii="宋体" w:hAnsi="宋体" w:hint="eastAsia"/>
                <w:bCs/>
                <w:sz w:val="24"/>
              </w:rPr>
              <w:t>，随着订单的持续交付，全年有望高增长。血液技术方案一季度销售收入同比下降</w:t>
            </w:r>
            <w:r>
              <w:rPr>
                <w:rFonts w:ascii="宋体" w:hAnsi="宋体" w:hint="eastAsia"/>
                <w:bCs/>
                <w:sz w:val="24"/>
              </w:rPr>
              <w:t>19%</w:t>
            </w:r>
            <w:r>
              <w:rPr>
                <w:rFonts w:ascii="宋体" w:hAnsi="宋体" w:hint="eastAsia"/>
                <w:bCs/>
                <w:sz w:val="24"/>
              </w:rPr>
              <w:t>，受行业采购的季度间变化影响，全年将呈现“前低后高”的态势，预计二季度起将大幅提速，同时得益于国内首张</w:t>
            </w:r>
            <w:r>
              <w:rPr>
                <w:rFonts w:ascii="宋体" w:hAnsi="宋体" w:hint="eastAsia"/>
                <w:bCs/>
                <w:sz w:val="24"/>
              </w:rPr>
              <w:t>MDR</w:t>
            </w:r>
            <w:r>
              <w:rPr>
                <w:rFonts w:ascii="宋体" w:hAnsi="宋体" w:hint="eastAsia"/>
                <w:bCs/>
                <w:sz w:val="24"/>
              </w:rPr>
              <w:t>认证的加持，预计在下半年海外市场将取得显著突破，全年有望继续延续双位数的增长态势。实验室解决方案产业一季度销售收入同比增长</w:t>
            </w:r>
            <w:r>
              <w:rPr>
                <w:rFonts w:ascii="宋体" w:hAnsi="宋体" w:hint="eastAsia"/>
                <w:bCs/>
                <w:sz w:val="24"/>
              </w:rPr>
              <w:t>1.2%</w:t>
            </w:r>
            <w:r>
              <w:rPr>
                <w:rFonts w:ascii="宋体" w:hAnsi="宋体" w:hint="eastAsia"/>
                <w:bCs/>
                <w:sz w:val="24"/>
              </w:rPr>
              <w:t>，得益于公司前期的产品方案布局和市场拓展，海外市场持续双位数增长，国内市场行业承压，但是凭借差异化产品竞争优势实现各类产品市场份额的持续提升。随着产品系列持续丰富及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自动化技术应用的加持，该业</w:t>
            </w:r>
            <w:r>
              <w:rPr>
                <w:rFonts w:ascii="宋体" w:hAnsi="宋体" w:hint="eastAsia"/>
                <w:bCs/>
                <w:sz w:val="24"/>
              </w:rPr>
              <w:t>务板块今年有望实现收入增长的较大提速，同时通过规模化的拓展实现盈利能力的稳步提升。</w:t>
            </w:r>
          </w:p>
          <w:p w14:paraId="0E0C5B23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问题二：公司前期利润端下滑的主要原因有哪些？今年一季度盈利表现如何？后续应该如何预期？</w:t>
            </w:r>
          </w:p>
          <w:p w14:paraId="37DD2D80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</w:t>
            </w:r>
            <w:r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前期利润</w:t>
            </w:r>
            <w:r>
              <w:rPr>
                <w:rFonts w:ascii="宋体" w:hAnsi="宋体" w:hint="eastAsia"/>
                <w:bCs/>
                <w:sz w:val="24"/>
              </w:rPr>
              <w:t>的下滑，主要是因为公司对全球化和包括</w:t>
            </w:r>
            <w:r>
              <w:rPr>
                <w:rFonts w:ascii="宋体" w:hAnsi="宋体" w:hint="eastAsia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自动化在内的科技创新进行了主动战略投入，公司相信这些投入正在为公司中长期发展构建更高壁垒。当前公司正立足盈利能力优势的市场与产业，持续优化利润结构，多路径实现整体盈利水平稳步提升，兑现“利润端有望在</w:t>
            </w:r>
            <w:r>
              <w:rPr>
                <w:rFonts w:ascii="宋体" w:hAnsi="宋体" w:hint="eastAsia"/>
                <w:bCs/>
                <w:sz w:val="24"/>
              </w:rPr>
              <w:t>2026</w:t>
            </w:r>
            <w:r>
              <w:rPr>
                <w:rFonts w:ascii="宋体" w:hAnsi="宋体" w:hint="eastAsia"/>
                <w:bCs/>
                <w:sz w:val="24"/>
              </w:rPr>
              <w:t>年迎来拐点”的指引。</w:t>
            </w:r>
          </w:p>
          <w:p w14:paraId="28B89F90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今年一季度公司毛利率为</w:t>
            </w:r>
            <w:r>
              <w:rPr>
                <w:rFonts w:ascii="宋体" w:hAnsi="宋体" w:hint="eastAsia"/>
                <w:bCs/>
                <w:sz w:val="24"/>
              </w:rPr>
              <w:t>47.55%</w:t>
            </w:r>
            <w:r>
              <w:rPr>
                <w:rFonts w:ascii="宋体" w:hAnsi="宋体" w:hint="eastAsia"/>
                <w:bCs/>
                <w:sz w:val="24"/>
              </w:rPr>
              <w:t>，相较于</w:t>
            </w:r>
            <w:r>
              <w:rPr>
                <w:rFonts w:ascii="宋体" w:hAnsi="宋体" w:hint="eastAsia"/>
                <w:bCs/>
                <w:sz w:val="24"/>
              </w:rPr>
              <w:t>2025</w:t>
            </w:r>
            <w:r>
              <w:rPr>
                <w:rFonts w:ascii="宋体" w:hAnsi="宋体" w:hint="eastAsia"/>
                <w:bCs/>
                <w:sz w:val="24"/>
              </w:rPr>
              <w:t>年全</w:t>
            </w:r>
            <w:r>
              <w:rPr>
                <w:rFonts w:ascii="宋体" w:hAnsi="宋体" w:hint="eastAsia"/>
                <w:bCs/>
                <w:sz w:val="24"/>
              </w:rPr>
              <w:t>年提升</w:t>
            </w:r>
            <w:r>
              <w:rPr>
                <w:rFonts w:ascii="宋体" w:hAnsi="宋体" w:hint="eastAsia"/>
                <w:bCs/>
                <w:sz w:val="24"/>
              </w:rPr>
              <w:t>0.76</w:t>
            </w:r>
            <w:r>
              <w:rPr>
                <w:rFonts w:ascii="宋体" w:hAnsi="宋体" w:hint="eastAsia"/>
                <w:bCs/>
                <w:sz w:val="24"/>
              </w:rPr>
              <w:t>个百分点；叠加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驱动下的全流程提效，一季度归母净利润率较</w:t>
            </w:r>
            <w:r>
              <w:rPr>
                <w:rFonts w:ascii="宋体" w:hAnsi="宋体" w:hint="eastAsia"/>
                <w:bCs/>
                <w:sz w:val="24"/>
              </w:rPr>
              <w:t>2025</w:t>
            </w:r>
            <w:r>
              <w:rPr>
                <w:rFonts w:ascii="宋体" w:hAnsi="宋体" w:hint="eastAsia"/>
                <w:bCs/>
                <w:sz w:val="24"/>
              </w:rPr>
              <w:t>年提升</w:t>
            </w:r>
            <w:r>
              <w:rPr>
                <w:rFonts w:ascii="宋体" w:hAnsi="宋体" w:hint="eastAsia"/>
                <w:bCs/>
                <w:sz w:val="24"/>
              </w:rPr>
              <w:t>1.42</w:t>
            </w:r>
            <w:r>
              <w:rPr>
                <w:rFonts w:ascii="宋体" w:hAnsi="宋体" w:hint="eastAsia"/>
                <w:bCs/>
                <w:sz w:val="24"/>
              </w:rPr>
              <w:t>个百分点，扣非归母净利润率提升</w:t>
            </w:r>
            <w:r>
              <w:rPr>
                <w:rFonts w:ascii="宋体" w:hAnsi="宋体" w:hint="eastAsia"/>
                <w:bCs/>
                <w:sz w:val="24"/>
              </w:rPr>
              <w:t>1.41</w:t>
            </w:r>
            <w:r>
              <w:rPr>
                <w:rFonts w:ascii="宋体" w:hAnsi="宋体" w:hint="eastAsia"/>
                <w:bCs/>
                <w:sz w:val="24"/>
              </w:rPr>
              <w:t>个百分点。随着业务持续拓展以及去年同期基数分布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变化的影响，二季度公司利润预计同比大幅增长，这将带动上半年利润同比增速明显改善，下半年利润同比增幅预计将明显高于上半年。</w:t>
            </w:r>
          </w:p>
          <w:p w14:paraId="7074542E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问题三：公司国内市场业务有无见到复苏的迹象？</w:t>
            </w:r>
          </w:p>
          <w:p w14:paraId="2E044F80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答：整体来看，公司国内市场渠道端的信心正在修复回升，各细分渠道的景气度有所分化。</w:t>
            </w:r>
          </w:p>
          <w:p w14:paraId="081015C0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①公司的科研渠道已连续多年保持增长，用户拓展、订单落地及生态合作等方面发展态势良好，</w:t>
            </w:r>
            <w:r>
              <w:rPr>
                <w:rFonts w:ascii="宋体" w:hAnsi="宋体" w:hint="eastAsia"/>
                <w:bCs/>
                <w:sz w:val="24"/>
              </w:rPr>
              <w:t>像是华南某大型实验室继去年一期合作落地后，二期目前正在顺利推进中。②制药渠道是公司的战略重点渠道，公司作为国内首家生命科学上游企业入驻京东慧采平台，在场景方案深度服务头部药企的同时，实现了对中小药企的规模化的覆盖，打通中小药企的采购链路。③浆站渠道得益于国内血制品公司采浆量持续增长，仍然保持较好的景气度。④医院和疾控渠道当前仍存在一定压力，但是医疗新基建持续推进、县域医疗体系改革等带动了结构性的机会，对公司的低温存储业务、自动化药房业务等都有拉动，公司通过加强与头部医药流通平台等生态方的深度合作，逐步提升商</w:t>
            </w:r>
            <w:r>
              <w:rPr>
                <w:rFonts w:ascii="宋体" w:hAnsi="宋体" w:hint="eastAsia"/>
                <w:bCs/>
                <w:sz w:val="24"/>
              </w:rPr>
              <w:t>机漏斗，加强订单转化。</w:t>
            </w:r>
          </w:p>
          <w:p w14:paraId="58EA9479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问题四：公司智慧用药产业一季度表现情况以及全年应该如何预期呢？</w:t>
            </w:r>
          </w:p>
          <w:p w14:paraId="447E6363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</w:t>
            </w:r>
            <w:r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hint="eastAsia"/>
                <w:sz w:val="24"/>
                <w:szCs w:val="22"/>
              </w:rPr>
              <w:t>公司</w:t>
            </w:r>
            <w:r>
              <w:rPr>
                <w:rFonts w:ascii="宋体" w:hAnsi="宋体" w:hint="eastAsia"/>
                <w:bCs/>
                <w:sz w:val="24"/>
              </w:rPr>
              <w:t>一季度智慧用药产业收入同比下滑</w:t>
            </w:r>
            <w:r>
              <w:rPr>
                <w:rFonts w:ascii="宋体" w:hAnsi="宋体" w:hint="eastAsia"/>
                <w:bCs/>
                <w:sz w:val="24"/>
              </w:rPr>
              <w:t>16%</w:t>
            </w:r>
            <w:r>
              <w:rPr>
                <w:rFonts w:ascii="宋体" w:hAnsi="宋体" w:hint="eastAsia"/>
                <w:bCs/>
                <w:sz w:val="24"/>
              </w:rPr>
              <w:t>，主要是去年一季度在欧洲区域交付了自动化药房项目，对今年一季度产生了阶段性的扰动，全年来看增速不受影响。截至一季度末，公司在手的自动化药房订单额增幅超过</w:t>
            </w:r>
            <w:r>
              <w:rPr>
                <w:rFonts w:ascii="宋体" w:hAnsi="宋体" w:hint="eastAsia"/>
                <w:bCs/>
                <w:sz w:val="24"/>
              </w:rPr>
              <w:t>50%</w:t>
            </w:r>
            <w:r>
              <w:rPr>
                <w:rFonts w:ascii="宋体" w:hAnsi="宋体" w:hint="eastAsia"/>
                <w:bCs/>
                <w:sz w:val="24"/>
              </w:rPr>
              <w:t>，随着在手订单的持续交付，以及新增订单的持续流入，今年智慧用药产业的高增长很有保障。</w:t>
            </w:r>
          </w:p>
          <w:p w14:paraId="5FF519C5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展望中长期，智慧用药产业的增长后劲充足，增长分别来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自于新区域和新产品：新区域方面，除了继续提升国内市场份额外，公司已加速海外多区域布局，覆盖东南亚、非洲、中东等</w:t>
            </w:r>
            <w:r>
              <w:rPr>
                <w:rFonts w:ascii="宋体" w:hAnsi="宋体" w:hint="eastAsia"/>
                <w:bCs/>
                <w:sz w:val="24"/>
              </w:rPr>
              <w:t>7</w:t>
            </w:r>
            <w:r>
              <w:rPr>
                <w:rFonts w:ascii="宋体" w:hAnsi="宋体" w:hint="eastAsia"/>
                <w:bCs/>
                <w:sz w:val="24"/>
              </w:rPr>
              <w:t>个国家和地区，业务从单一自动化药房品类拓展至分包机等多品类，东南亚多国</w:t>
            </w:r>
            <w:r>
              <w:rPr>
                <w:rFonts w:ascii="宋体" w:hAnsi="宋体" w:hint="eastAsia"/>
                <w:bCs/>
                <w:sz w:val="24"/>
              </w:rPr>
              <w:t>将在下半年陆续落地。包括影响一季度增速的欧洲自动化药房项目，该项目二期当前也正在按期推进。新产品方面，</w:t>
            </w: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月初的</w:t>
            </w:r>
            <w:r>
              <w:rPr>
                <w:rFonts w:ascii="宋体" w:hAnsi="宋体" w:hint="eastAsia"/>
                <w:bCs/>
                <w:sz w:val="24"/>
              </w:rPr>
              <w:t>CMEF</w:t>
            </w:r>
            <w:r>
              <w:rPr>
                <w:rFonts w:ascii="宋体" w:hAnsi="宋体" w:hint="eastAsia"/>
                <w:bCs/>
                <w:sz w:val="24"/>
              </w:rPr>
              <w:t>上公司发布了</w:t>
            </w:r>
            <w:r>
              <w:rPr>
                <w:rFonts w:ascii="宋体" w:hAnsi="宋体" w:hint="eastAsia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共享中药房场景方案，将已经在门诊药房和静配中心场景方案上沉淀的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视觉识别、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算法、智能调度能力迁移至中医药场景，覆盖了从自动调剂、自动补偿、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审方，到自动加水浸泡、自动煎煮、药液分离分包的中药服务全流程。今年该方案将实现订单交付的突破，后续持续为国内市场拓展注入新增量。</w:t>
            </w:r>
          </w:p>
          <w:p w14:paraId="0FAB8E1C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问题五：请介绍一下在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月初的</w:t>
            </w:r>
            <w:r>
              <w:rPr>
                <w:rFonts w:ascii="宋体" w:hAnsi="宋体" w:hint="eastAsia"/>
                <w:b/>
                <w:sz w:val="24"/>
              </w:rPr>
              <w:t>CMEF</w:t>
            </w:r>
            <w:r>
              <w:rPr>
                <w:rFonts w:ascii="宋体" w:hAnsi="宋体" w:hint="eastAsia"/>
                <w:b/>
                <w:sz w:val="24"/>
              </w:rPr>
              <w:t>展上公司发布的“</w:t>
            </w:r>
            <w:r>
              <w:rPr>
                <w:rFonts w:ascii="宋体" w:hAnsi="宋体" w:hint="eastAsia"/>
                <w:b/>
                <w:sz w:val="24"/>
              </w:rPr>
              <w:t>AI+</w:t>
            </w:r>
            <w:r>
              <w:rPr>
                <w:rFonts w:ascii="宋体" w:hAnsi="宋体" w:hint="eastAsia"/>
                <w:b/>
                <w:sz w:val="24"/>
              </w:rPr>
              <w:t>”战略的进展情况如何？</w:t>
            </w:r>
          </w:p>
          <w:p w14:paraId="23025290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</w:t>
            </w:r>
            <w:r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ascii="宋体" w:hAnsi="宋体" w:hint="eastAsia"/>
                <w:bCs/>
                <w:sz w:val="24"/>
              </w:rPr>
              <w:t>在</w:t>
            </w: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月初的</w:t>
            </w:r>
            <w:r>
              <w:rPr>
                <w:rFonts w:ascii="宋体" w:hAnsi="宋体"/>
                <w:bCs/>
                <w:sz w:val="24"/>
              </w:rPr>
              <w:t>C</w:t>
            </w:r>
            <w:r>
              <w:rPr>
                <w:rFonts w:ascii="宋体" w:hAnsi="宋体"/>
                <w:bCs/>
                <w:sz w:val="24"/>
              </w:rPr>
              <w:t>MEF</w:t>
            </w:r>
            <w:r>
              <w:rPr>
                <w:rFonts w:ascii="宋体" w:hAnsi="宋体" w:hint="eastAsia"/>
                <w:bCs/>
                <w:sz w:val="24"/>
              </w:rPr>
              <w:t>展上，公司正式发布了“</w:t>
            </w:r>
            <w:r>
              <w:rPr>
                <w:rFonts w:ascii="宋体" w:hAnsi="宋体"/>
                <w:bCs/>
                <w:sz w:val="24"/>
              </w:rPr>
              <w:t>AI+”</w:t>
            </w:r>
            <w:r>
              <w:rPr>
                <w:rFonts w:ascii="宋体" w:hAnsi="宋体" w:hint="eastAsia"/>
                <w:bCs/>
                <w:sz w:val="24"/>
              </w:rPr>
              <w:t>战略，阐述了从单品物联、到</w:t>
            </w:r>
            <w:r>
              <w:rPr>
                <w:rFonts w:ascii="宋体" w:hAnsi="宋体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产品一体化、</w:t>
            </w:r>
            <w:r>
              <w:rPr>
                <w:rFonts w:ascii="宋体" w:hAnsi="宋体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场景一体化，最终实现</w:t>
            </w:r>
            <w:r>
              <w:rPr>
                <w:rFonts w:ascii="宋体" w:hAnsi="宋体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全链路一体化的</w:t>
            </w:r>
            <w:r>
              <w:rPr>
                <w:rFonts w:ascii="宋体" w:hAnsi="宋体"/>
                <w:bCs/>
                <w:sz w:val="24"/>
              </w:rPr>
              <w:t>L1-L4</w:t>
            </w:r>
            <w:r>
              <w:rPr>
                <w:rFonts w:ascii="宋体" w:hAnsi="宋体" w:hint="eastAsia"/>
                <w:bCs/>
                <w:sz w:val="24"/>
              </w:rPr>
              <w:t>四层演进路径，明确了</w:t>
            </w:r>
            <w:r>
              <w:rPr>
                <w:rFonts w:ascii="宋体" w:hAnsi="宋体"/>
                <w:bCs/>
                <w:sz w:val="24"/>
              </w:rPr>
              <w:t xml:space="preserve"> AI</w:t>
            </w:r>
            <w:r>
              <w:rPr>
                <w:rFonts w:ascii="宋体" w:hAnsi="宋体" w:hint="eastAsia"/>
                <w:bCs/>
                <w:sz w:val="24"/>
              </w:rPr>
              <w:t>智眸、</w:t>
            </w:r>
            <w:r>
              <w:rPr>
                <w:rFonts w:ascii="宋体" w:hAnsi="宋体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智控、</w:t>
            </w:r>
            <w:r>
              <w:rPr>
                <w:rFonts w:ascii="宋体" w:hAnsi="宋体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智枢、</w:t>
            </w:r>
            <w:r>
              <w:rPr>
                <w:rFonts w:ascii="宋体" w:hAnsi="宋体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智研四大核心能力方向。目前，公司正在分层推进，加快落地，主要包括三方面工作：</w:t>
            </w:r>
          </w:p>
          <w:p w14:paraId="0990A67B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）聚焦</w:t>
            </w:r>
            <w:r>
              <w:rPr>
                <w:rFonts w:ascii="宋体" w:hAnsi="宋体"/>
                <w:bCs/>
                <w:sz w:val="24"/>
              </w:rPr>
              <w:t>L2</w:t>
            </w:r>
            <w:r>
              <w:rPr>
                <w:rFonts w:ascii="宋体" w:hAnsi="宋体" w:hint="eastAsia"/>
                <w:bCs/>
                <w:sz w:val="24"/>
              </w:rPr>
              <w:t>层级（</w:t>
            </w:r>
            <w:r>
              <w:rPr>
                <w:rFonts w:ascii="宋体" w:hAnsi="宋体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产品一体化），让</w:t>
            </w:r>
            <w:r>
              <w:rPr>
                <w:rFonts w:ascii="宋体" w:hAnsi="宋体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作为主力产品的标配成为附加值的重要来源。</w:t>
            </w:r>
          </w:p>
          <w:p w14:paraId="43779007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一季度多款产品已经落地。依托数字孪生与深度神经网络温控大模型，公司把</w:t>
            </w:r>
            <w:r>
              <w:rPr>
                <w:rFonts w:ascii="宋体" w:hAnsi="宋体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深度嵌入</w:t>
            </w:r>
            <w:r>
              <w:rPr>
                <w:rFonts w:ascii="宋体" w:hAnsi="宋体"/>
                <w:bCs/>
                <w:sz w:val="24"/>
              </w:rPr>
              <w:t>CO</w:t>
            </w:r>
            <w:r>
              <w:rPr>
                <w:bCs/>
                <w:sz w:val="24"/>
              </w:rPr>
              <w:t>₂</w:t>
            </w:r>
            <w:r>
              <w:rPr>
                <w:rFonts w:ascii="宋体" w:hAnsi="宋体" w:hint="eastAsia"/>
                <w:bCs/>
                <w:sz w:val="24"/>
              </w:rPr>
              <w:t>培养箱、超低温保存箱等主力产品。依托视觉模型，实现药盒、西林瓶、安瓿瓶、细胞等场景识别，并嵌入到自动化细胞培养箱、细胞培养自动化工作站、补药机器人、肿瘤配液机器人等产品，细胞批次一致性、药品安全风险等指标远远优于行业平均水平。一季度以来，搭载</w:t>
            </w:r>
            <w:r>
              <w:rPr>
                <w:rFonts w:ascii="宋体" w:hAnsi="宋体" w:hint="eastAsia"/>
                <w:bCs/>
                <w:sz w:val="24"/>
              </w:rPr>
              <w:t xml:space="preserve"> AI</w:t>
            </w:r>
            <w:r>
              <w:rPr>
                <w:rFonts w:ascii="宋体" w:hAnsi="宋体" w:hint="eastAsia"/>
                <w:bCs/>
                <w:sz w:val="24"/>
              </w:rPr>
              <w:t>智控、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智眸的高端产品方案在医院、科研院所、生物医药企业的落地加快，后续的放量有望优化产品结构、带动公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司毛利率的提升，支撑主业高质量增长。</w:t>
            </w:r>
          </w:p>
          <w:p w14:paraId="1C3C6C47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）打通</w:t>
            </w:r>
            <w:r>
              <w:rPr>
                <w:rFonts w:ascii="宋体" w:hAnsi="宋体" w:hint="eastAsia"/>
                <w:bCs/>
                <w:sz w:val="24"/>
              </w:rPr>
              <w:t>L3</w:t>
            </w:r>
            <w:r>
              <w:rPr>
                <w:rFonts w:ascii="宋体" w:hAnsi="宋体" w:hint="eastAsia"/>
                <w:bCs/>
                <w:sz w:val="24"/>
              </w:rPr>
              <w:t>层级（</w:t>
            </w:r>
            <w:r>
              <w:rPr>
                <w:rFonts w:ascii="宋体" w:hAnsi="宋体" w:hint="eastAsia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场景一体化）从试点走向推广复制的路径。</w:t>
            </w:r>
          </w:p>
          <w:p w14:paraId="3F4D3839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如果说</w:t>
            </w:r>
            <w:r>
              <w:rPr>
                <w:rFonts w:ascii="宋体" w:hAnsi="宋体" w:hint="eastAsia"/>
                <w:bCs/>
                <w:sz w:val="24"/>
              </w:rPr>
              <w:t>L2</w:t>
            </w:r>
            <w:r>
              <w:rPr>
                <w:rFonts w:ascii="宋体" w:hAnsi="宋体" w:hint="eastAsia"/>
                <w:bCs/>
                <w:sz w:val="24"/>
              </w:rPr>
              <w:t>层级是把单台设备做到极致，</w:t>
            </w:r>
            <w:r>
              <w:rPr>
                <w:rFonts w:ascii="宋体" w:hAnsi="宋体" w:hint="eastAsia"/>
                <w:bCs/>
                <w:sz w:val="24"/>
              </w:rPr>
              <w:t>L3</w:t>
            </w:r>
            <w:r>
              <w:rPr>
                <w:rFonts w:ascii="宋体" w:hAnsi="宋体" w:hint="eastAsia"/>
                <w:bCs/>
                <w:sz w:val="24"/>
              </w:rPr>
              <w:t>层级就是把设备连</w:t>
            </w:r>
            <w:r>
              <w:rPr>
                <w:rFonts w:ascii="宋体" w:hAnsi="宋体" w:hint="eastAsia"/>
                <w:bCs/>
                <w:sz w:val="24"/>
              </w:rPr>
              <w:t>成场景，把场景变成无人化、智能化的整体解决方案，围绕细胞治疗、样本库、医疗药房、血液管理等场景，以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智枢为核心，实现全流程智能调度、自主执行、动态优化。一季度以来，公司以中科院某研究所等高端标杆用户需求为切入点，持续围绕</w:t>
            </w:r>
            <w:r>
              <w:rPr>
                <w:rFonts w:ascii="宋体" w:hAnsi="宋体" w:hint="eastAsia"/>
                <w:bCs/>
                <w:sz w:val="24"/>
              </w:rPr>
              <w:t>AI</w:t>
            </w:r>
            <w:r>
              <w:rPr>
                <w:rFonts w:ascii="宋体" w:hAnsi="宋体" w:hint="eastAsia"/>
                <w:bCs/>
                <w:sz w:val="24"/>
              </w:rPr>
              <w:t>赋能的调度工作流引擎进行深度优化，提升时间约束等调度能力，把场景做深做透。后续公司将继续进行场景方案的标准化、模块化打磨，推动方案从单点走向复制，持续提升用户价值和用户黏性。</w:t>
            </w:r>
          </w:p>
          <w:p w14:paraId="5417974E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）开放生态共创</w:t>
            </w:r>
            <w:r>
              <w:rPr>
                <w:rFonts w:ascii="宋体" w:hAnsi="宋体" w:hint="eastAsia"/>
                <w:bCs/>
                <w:sz w:val="24"/>
              </w:rPr>
              <w:t>L4</w:t>
            </w:r>
            <w:r>
              <w:rPr>
                <w:rFonts w:ascii="宋体" w:hAnsi="宋体" w:hint="eastAsia"/>
                <w:bCs/>
                <w:sz w:val="24"/>
              </w:rPr>
              <w:t>层级（</w:t>
            </w:r>
            <w:r>
              <w:rPr>
                <w:rFonts w:ascii="宋体" w:hAnsi="宋体" w:hint="eastAsia"/>
                <w:bCs/>
                <w:sz w:val="24"/>
              </w:rPr>
              <w:t>AI+</w:t>
            </w:r>
            <w:r>
              <w:rPr>
                <w:rFonts w:ascii="宋体" w:hAnsi="宋体" w:hint="eastAsia"/>
                <w:bCs/>
                <w:sz w:val="24"/>
              </w:rPr>
              <w:t>全链路一体化）新模式</w:t>
            </w:r>
          </w:p>
          <w:p w14:paraId="67D4205E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在做好产品与场景的基础上，公司以</w:t>
            </w:r>
            <w:r>
              <w:rPr>
                <w:rFonts w:ascii="宋体" w:hAnsi="宋体" w:hint="eastAsia"/>
                <w:bCs/>
                <w:sz w:val="24"/>
              </w:rPr>
              <w:t xml:space="preserve"> Auto Lab M</w:t>
            </w:r>
            <w:r>
              <w:rPr>
                <w:rFonts w:ascii="宋体" w:hAnsi="宋体" w:hint="eastAsia"/>
                <w:bCs/>
                <w:sz w:val="24"/>
              </w:rPr>
              <w:t xml:space="preserve">ind </w:t>
            </w:r>
            <w:r>
              <w:rPr>
                <w:rFonts w:ascii="宋体" w:hAnsi="宋体" w:hint="eastAsia"/>
                <w:bCs/>
                <w:sz w:val="24"/>
              </w:rPr>
              <w:t>智慧大脑为核心，搭建数据平台与调度平台，打通从实验数据、临床数据到科研转化的全链路闭环，进一步探索靶点发现等新场景。公司会开放生态，基于生态方各自的优势进行共创，目前正和某重点医科大学等用户围绕样本库进行合作，后续也将围绕细胞治疗全流程展开数据分析平台层面的共创。</w:t>
            </w:r>
          </w:p>
          <w:p w14:paraId="4FEAB48D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问题六：公司血液技术产业全年应该如何预期？</w:t>
            </w:r>
          </w:p>
          <w:p w14:paraId="7A1D6F78" w14:textId="77777777" w:rsidR="00AF75C7" w:rsidRDefault="002C4E60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</w:t>
            </w:r>
            <w:r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ascii="宋体" w:hAnsi="宋体" w:hint="eastAsia"/>
                <w:bCs/>
                <w:sz w:val="24"/>
              </w:rPr>
              <w:t>一季度血液技术产业收入同比下降</w:t>
            </w:r>
            <w:r>
              <w:rPr>
                <w:rFonts w:ascii="宋体" w:hAnsi="宋体" w:hint="eastAsia"/>
                <w:bCs/>
                <w:sz w:val="24"/>
              </w:rPr>
              <w:t>19%</w:t>
            </w:r>
            <w:r>
              <w:rPr>
                <w:rFonts w:ascii="宋体" w:hAnsi="宋体" w:hint="eastAsia"/>
                <w:bCs/>
                <w:sz w:val="24"/>
              </w:rPr>
              <w:t>，属于行业采购的季度间正常调整，全年将回归“前低后高”的格局，预计二季度起大幅提速，全年来看有望延续过去几年的增长态势。这一判断的依据主要有两个：</w:t>
            </w:r>
          </w:p>
          <w:p w14:paraId="564A3E29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第一，</w:t>
            </w:r>
            <w:r>
              <w:rPr>
                <w:rFonts w:ascii="宋体" w:hAnsi="宋体" w:hint="eastAsia"/>
                <w:bCs/>
                <w:sz w:val="24"/>
              </w:rPr>
              <w:t>从用户需求层面，景气度是持续的。通过统计国内各大血液制品公司的采浆量，可以看到一季度国内采浆量维持</w:t>
            </w:r>
            <w:r>
              <w:rPr>
                <w:rFonts w:ascii="宋体" w:hAnsi="宋体" w:hint="eastAsia"/>
                <w:bCs/>
                <w:sz w:val="24"/>
              </w:rPr>
              <w:t>10%</w:t>
            </w:r>
            <w:r>
              <w:rPr>
                <w:rFonts w:ascii="宋体" w:hAnsi="宋体" w:hint="eastAsia"/>
                <w:bCs/>
                <w:sz w:val="24"/>
              </w:rPr>
              <w:t>左右的增长，随着全年的逐渐展开，公司凭借产品、渠道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及质量优势，有信心实现高于行业平均水平的增长。</w:t>
            </w:r>
          </w:p>
          <w:p w14:paraId="793F9690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第二，从产品层面，血袋等新产品开始放量。截至一季度末，血袋业务已经拥有千万级的在手订单，公司将加快推进，大幅提升公司的市占率。</w:t>
            </w:r>
          </w:p>
          <w:p w14:paraId="3A47AD1A" w14:textId="77777777" w:rsidR="00AF75C7" w:rsidRDefault="002C4E60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除了以上两个方面，出海也正在顺利推进。公司在年初完成了采浆产品线“设备</w:t>
            </w:r>
            <w:r>
              <w:rPr>
                <w:rFonts w:ascii="宋体" w:hAnsi="宋体" w:hint="eastAsia"/>
                <w:bCs/>
                <w:sz w:val="24"/>
              </w:rPr>
              <w:t>+</w:t>
            </w:r>
            <w:r>
              <w:rPr>
                <w:rFonts w:ascii="宋体" w:hAnsi="宋体" w:hint="eastAsia"/>
                <w:bCs/>
                <w:sz w:val="24"/>
              </w:rPr>
              <w:t>耗材”的系统性</w:t>
            </w:r>
            <w:r>
              <w:rPr>
                <w:rFonts w:ascii="宋体" w:hAnsi="宋体" w:hint="eastAsia"/>
                <w:bCs/>
                <w:sz w:val="24"/>
              </w:rPr>
              <w:t>MDR</w:t>
            </w:r>
            <w:r>
              <w:rPr>
                <w:rFonts w:ascii="宋体" w:hAnsi="宋体" w:hint="eastAsia"/>
                <w:bCs/>
                <w:sz w:val="24"/>
              </w:rPr>
              <w:t>认证，此后一直加快海外市场开拓，目前来看下半年海外市场有重大突破机会。海外市场空间广阔，国</w:t>
            </w:r>
            <w:r>
              <w:rPr>
                <w:rFonts w:ascii="宋体" w:hAnsi="宋体" w:hint="eastAsia"/>
                <w:bCs/>
                <w:sz w:val="24"/>
              </w:rPr>
              <w:t>外血制品巨头的采浆量要显著高于国内同行，随着公司产品的出海认证与市场拓展稳步落地，将有力支撑血液技术产业的中长期发展。</w:t>
            </w:r>
          </w:p>
        </w:tc>
      </w:tr>
      <w:tr w:rsidR="00AF75C7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AF75C7" w:rsidRDefault="002C4E60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AF75C7" w:rsidRDefault="002C4E60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AF75C7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AF75C7" w:rsidRDefault="002C4E60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77777777" w:rsidR="00AF75C7" w:rsidRDefault="002C4E60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77777777" w:rsidR="00AF75C7" w:rsidRDefault="00AF75C7">
      <w:pPr>
        <w:widowControl/>
        <w:jc w:val="left"/>
        <w:rPr>
          <w:b/>
          <w:sz w:val="24"/>
        </w:rPr>
      </w:pPr>
    </w:p>
    <w:sectPr w:rsidR="00AF75C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2366" w14:textId="77777777" w:rsidR="002C4E60" w:rsidRDefault="002C4E60">
      <w:r>
        <w:separator/>
      </w:r>
    </w:p>
  </w:endnote>
  <w:endnote w:type="continuationSeparator" w:id="0">
    <w:p w14:paraId="71FB8A06" w14:textId="77777777" w:rsidR="002C4E60" w:rsidRDefault="002C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AF75C7" w:rsidRDefault="00AF75C7">
    <w:pPr>
      <w:pStyle w:val="a8"/>
    </w:pPr>
  </w:p>
  <w:p w14:paraId="62B21A8B" w14:textId="77777777" w:rsidR="00AF75C7" w:rsidRDefault="00AF75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4CA1" w14:textId="77777777" w:rsidR="002C4E60" w:rsidRDefault="002C4E60">
      <w:r>
        <w:separator/>
      </w:r>
    </w:p>
  </w:footnote>
  <w:footnote w:type="continuationSeparator" w:id="0">
    <w:p w14:paraId="339E7458" w14:textId="77777777" w:rsidR="002C4E60" w:rsidRDefault="002C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51E0"/>
    <w:rsid w:val="00016A35"/>
    <w:rsid w:val="00017DAD"/>
    <w:rsid w:val="00020D06"/>
    <w:rsid w:val="00021EC6"/>
    <w:rsid w:val="000228C6"/>
    <w:rsid w:val="00022C29"/>
    <w:rsid w:val="00023EB9"/>
    <w:rsid w:val="0002765E"/>
    <w:rsid w:val="0003029C"/>
    <w:rsid w:val="00031606"/>
    <w:rsid w:val="00035660"/>
    <w:rsid w:val="00035965"/>
    <w:rsid w:val="0003672C"/>
    <w:rsid w:val="00037F57"/>
    <w:rsid w:val="000405A3"/>
    <w:rsid w:val="00040A0E"/>
    <w:rsid w:val="0004258A"/>
    <w:rsid w:val="00042EA6"/>
    <w:rsid w:val="000458D6"/>
    <w:rsid w:val="00045CCC"/>
    <w:rsid w:val="00046644"/>
    <w:rsid w:val="000468A3"/>
    <w:rsid w:val="00046995"/>
    <w:rsid w:val="00046E7E"/>
    <w:rsid w:val="000476B7"/>
    <w:rsid w:val="000506BF"/>
    <w:rsid w:val="00052F09"/>
    <w:rsid w:val="000533ED"/>
    <w:rsid w:val="0005480F"/>
    <w:rsid w:val="00054DC2"/>
    <w:rsid w:val="00055D56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0DDE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2EDB"/>
    <w:rsid w:val="001749F0"/>
    <w:rsid w:val="001771B3"/>
    <w:rsid w:val="0018013C"/>
    <w:rsid w:val="00182462"/>
    <w:rsid w:val="00182F54"/>
    <w:rsid w:val="00183247"/>
    <w:rsid w:val="001834D5"/>
    <w:rsid w:val="00184751"/>
    <w:rsid w:val="00185E78"/>
    <w:rsid w:val="0018607F"/>
    <w:rsid w:val="00187127"/>
    <w:rsid w:val="001873B7"/>
    <w:rsid w:val="001900D5"/>
    <w:rsid w:val="0019029A"/>
    <w:rsid w:val="0019036B"/>
    <w:rsid w:val="001914C9"/>
    <w:rsid w:val="001916AD"/>
    <w:rsid w:val="0019194B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A7FEB"/>
    <w:rsid w:val="001B0D52"/>
    <w:rsid w:val="001B4E4F"/>
    <w:rsid w:val="001B5402"/>
    <w:rsid w:val="001B66D4"/>
    <w:rsid w:val="001B7855"/>
    <w:rsid w:val="001B7DE5"/>
    <w:rsid w:val="001C0692"/>
    <w:rsid w:val="001C0806"/>
    <w:rsid w:val="001C0D2B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14F5"/>
    <w:rsid w:val="001E3FB9"/>
    <w:rsid w:val="001E5E85"/>
    <w:rsid w:val="001F2373"/>
    <w:rsid w:val="001F2E16"/>
    <w:rsid w:val="001F344A"/>
    <w:rsid w:val="001F6DE3"/>
    <w:rsid w:val="001F6E1A"/>
    <w:rsid w:val="0020238B"/>
    <w:rsid w:val="002033C0"/>
    <w:rsid w:val="00206FB9"/>
    <w:rsid w:val="0020726B"/>
    <w:rsid w:val="00212B05"/>
    <w:rsid w:val="00214D8A"/>
    <w:rsid w:val="002162C0"/>
    <w:rsid w:val="00222E65"/>
    <w:rsid w:val="002244DC"/>
    <w:rsid w:val="00225C40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35A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76EC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4E60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D726D"/>
    <w:rsid w:val="002E1C53"/>
    <w:rsid w:val="002E2A6C"/>
    <w:rsid w:val="002E60A9"/>
    <w:rsid w:val="002E764E"/>
    <w:rsid w:val="002E7A68"/>
    <w:rsid w:val="002F1540"/>
    <w:rsid w:val="002F3625"/>
    <w:rsid w:val="002F417D"/>
    <w:rsid w:val="002F4223"/>
    <w:rsid w:val="002F7148"/>
    <w:rsid w:val="003011F5"/>
    <w:rsid w:val="00301884"/>
    <w:rsid w:val="00301B48"/>
    <w:rsid w:val="00301D88"/>
    <w:rsid w:val="00306057"/>
    <w:rsid w:val="003069A5"/>
    <w:rsid w:val="00306CC0"/>
    <w:rsid w:val="003102BA"/>
    <w:rsid w:val="00311A03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453D"/>
    <w:rsid w:val="00336C84"/>
    <w:rsid w:val="00337827"/>
    <w:rsid w:val="00337DC8"/>
    <w:rsid w:val="003400DB"/>
    <w:rsid w:val="003419E1"/>
    <w:rsid w:val="00342065"/>
    <w:rsid w:val="0034270A"/>
    <w:rsid w:val="003447E1"/>
    <w:rsid w:val="00344BD5"/>
    <w:rsid w:val="00345DEE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3697"/>
    <w:rsid w:val="0037405B"/>
    <w:rsid w:val="00375BC7"/>
    <w:rsid w:val="00376D4E"/>
    <w:rsid w:val="003774D6"/>
    <w:rsid w:val="00380AAF"/>
    <w:rsid w:val="003815D8"/>
    <w:rsid w:val="003828DB"/>
    <w:rsid w:val="00386B1D"/>
    <w:rsid w:val="0038733C"/>
    <w:rsid w:val="00387AE5"/>
    <w:rsid w:val="00390753"/>
    <w:rsid w:val="003925A2"/>
    <w:rsid w:val="00394C8F"/>
    <w:rsid w:val="00397458"/>
    <w:rsid w:val="003A30E3"/>
    <w:rsid w:val="003A3F94"/>
    <w:rsid w:val="003A62F1"/>
    <w:rsid w:val="003A7A68"/>
    <w:rsid w:val="003B2FA6"/>
    <w:rsid w:val="003B325C"/>
    <w:rsid w:val="003B3283"/>
    <w:rsid w:val="003B42D2"/>
    <w:rsid w:val="003B460C"/>
    <w:rsid w:val="003B5856"/>
    <w:rsid w:val="003B662B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27D08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1D77"/>
    <w:rsid w:val="00464896"/>
    <w:rsid w:val="00464C95"/>
    <w:rsid w:val="00465101"/>
    <w:rsid w:val="004654CA"/>
    <w:rsid w:val="00466F1B"/>
    <w:rsid w:val="004700EF"/>
    <w:rsid w:val="004706E1"/>
    <w:rsid w:val="00473CD7"/>
    <w:rsid w:val="004757C9"/>
    <w:rsid w:val="004772C6"/>
    <w:rsid w:val="00477377"/>
    <w:rsid w:val="00480443"/>
    <w:rsid w:val="00480D98"/>
    <w:rsid w:val="00481646"/>
    <w:rsid w:val="0048346D"/>
    <w:rsid w:val="004848C1"/>
    <w:rsid w:val="00486B72"/>
    <w:rsid w:val="00490316"/>
    <w:rsid w:val="004904B8"/>
    <w:rsid w:val="00492518"/>
    <w:rsid w:val="0049390D"/>
    <w:rsid w:val="004A115D"/>
    <w:rsid w:val="004A3138"/>
    <w:rsid w:val="004A524C"/>
    <w:rsid w:val="004A5C75"/>
    <w:rsid w:val="004B020A"/>
    <w:rsid w:val="004B035B"/>
    <w:rsid w:val="004B048D"/>
    <w:rsid w:val="004B33ED"/>
    <w:rsid w:val="004B477F"/>
    <w:rsid w:val="004B5A0A"/>
    <w:rsid w:val="004B6A57"/>
    <w:rsid w:val="004B6B27"/>
    <w:rsid w:val="004B6DE4"/>
    <w:rsid w:val="004C188B"/>
    <w:rsid w:val="004C1CC2"/>
    <w:rsid w:val="004C29DC"/>
    <w:rsid w:val="004C3904"/>
    <w:rsid w:val="004C3A7C"/>
    <w:rsid w:val="004C3E08"/>
    <w:rsid w:val="004C4D90"/>
    <w:rsid w:val="004C5945"/>
    <w:rsid w:val="004C6554"/>
    <w:rsid w:val="004D0A9B"/>
    <w:rsid w:val="004D14A7"/>
    <w:rsid w:val="004D16C7"/>
    <w:rsid w:val="004D293A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4C39"/>
    <w:rsid w:val="004F5004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1FFB"/>
    <w:rsid w:val="005124D2"/>
    <w:rsid w:val="005127C4"/>
    <w:rsid w:val="00514BD9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5835"/>
    <w:rsid w:val="005566D4"/>
    <w:rsid w:val="0055740F"/>
    <w:rsid w:val="00557FC1"/>
    <w:rsid w:val="00560241"/>
    <w:rsid w:val="005610CD"/>
    <w:rsid w:val="00562B25"/>
    <w:rsid w:val="005644B9"/>
    <w:rsid w:val="00564F41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76E57"/>
    <w:rsid w:val="00577E48"/>
    <w:rsid w:val="00580DD1"/>
    <w:rsid w:val="0058331D"/>
    <w:rsid w:val="0058551A"/>
    <w:rsid w:val="00586FEF"/>
    <w:rsid w:val="00592A8A"/>
    <w:rsid w:val="00597250"/>
    <w:rsid w:val="00597545"/>
    <w:rsid w:val="005A24BE"/>
    <w:rsid w:val="005A32ED"/>
    <w:rsid w:val="005A3EB3"/>
    <w:rsid w:val="005A436D"/>
    <w:rsid w:val="005A541C"/>
    <w:rsid w:val="005B048F"/>
    <w:rsid w:val="005B3FBF"/>
    <w:rsid w:val="005B46A2"/>
    <w:rsid w:val="005B57D0"/>
    <w:rsid w:val="005B7778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E6BD2"/>
    <w:rsid w:val="005F0A5E"/>
    <w:rsid w:val="005F281E"/>
    <w:rsid w:val="005F458C"/>
    <w:rsid w:val="005F4749"/>
    <w:rsid w:val="005F4E2B"/>
    <w:rsid w:val="005F5003"/>
    <w:rsid w:val="005F6F10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3FD"/>
    <w:rsid w:val="00625C0C"/>
    <w:rsid w:val="0062669E"/>
    <w:rsid w:val="0063094B"/>
    <w:rsid w:val="006333A7"/>
    <w:rsid w:val="0063378B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47AD7"/>
    <w:rsid w:val="00652FC1"/>
    <w:rsid w:val="00653501"/>
    <w:rsid w:val="0065365F"/>
    <w:rsid w:val="006550CC"/>
    <w:rsid w:val="00656B76"/>
    <w:rsid w:val="00656E82"/>
    <w:rsid w:val="0066074B"/>
    <w:rsid w:val="00661FB7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3516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4E5E"/>
    <w:rsid w:val="006A54BD"/>
    <w:rsid w:val="006A7C15"/>
    <w:rsid w:val="006B0D96"/>
    <w:rsid w:val="006B1F24"/>
    <w:rsid w:val="006B2A02"/>
    <w:rsid w:val="006B4F2F"/>
    <w:rsid w:val="006B5D65"/>
    <w:rsid w:val="006B75E9"/>
    <w:rsid w:val="006C0A16"/>
    <w:rsid w:val="006C0AEB"/>
    <w:rsid w:val="006C1009"/>
    <w:rsid w:val="006C23E3"/>
    <w:rsid w:val="006C2BCF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0536"/>
    <w:rsid w:val="00701700"/>
    <w:rsid w:val="00702929"/>
    <w:rsid w:val="00703036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27949"/>
    <w:rsid w:val="00732836"/>
    <w:rsid w:val="00735734"/>
    <w:rsid w:val="007367BC"/>
    <w:rsid w:val="0074079F"/>
    <w:rsid w:val="0074093D"/>
    <w:rsid w:val="00742D56"/>
    <w:rsid w:val="00743087"/>
    <w:rsid w:val="00743090"/>
    <w:rsid w:val="00743192"/>
    <w:rsid w:val="007459D6"/>
    <w:rsid w:val="00746EA9"/>
    <w:rsid w:val="007479A8"/>
    <w:rsid w:val="00750CD6"/>
    <w:rsid w:val="00750FFB"/>
    <w:rsid w:val="00751BE0"/>
    <w:rsid w:val="00752754"/>
    <w:rsid w:val="007536F2"/>
    <w:rsid w:val="00755935"/>
    <w:rsid w:val="00755D87"/>
    <w:rsid w:val="00756F30"/>
    <w:rsid w:val="007602E4"/>
    <w:rsid w:val="00760B23"/>
    <w:rsid w:val="0076384F"/>
    <w:rsid w:val="007662BA"/>
    <w:rsid w:val="00767703"/>
    <w:rsid w:val="00770FEC"/>
    <w:rsid w:val="00771349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86B7D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48C7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06208"/>
    <w:rsid w:val="00807F8D"/>
    <w:rsid w:val="008129CC"/>
    <w:rsid w:val="00812A28"/>
    <w:rsid w:val="0081457D"/>
    <w:rsid w:val="00814C9B"/>
    <w:rsid w:val="00816A1C"/>
    <w:rsid w:val="00816A92"/>
    <w:rsid w:val="00816AA2"/>
    <w:rsid w:val="00816B48"/>
    <w:rsid w:val="00817A8D"/>
    <w:rsid w:val="0082048C"/>
    <w:rsid w:val="00822EAF"/>
    <w:rsid w:val="008235AC"/>
    <w:rsid w:val="008254DE"/>
    <w:rsid w:val="00827DFF"/>
    <w:rsid w:val="008309C1"/>
    <w:rsid w:val="00830BEA"/>
    <w:rsid w:val="00831D4F"/>
    <w:rsid w:val="00833C4C"/>
    <w:rsid w:val="008346DD"/>
    <w:rsid w:val="00834A73"/>
    <w:rsid w:val="00834C8F"/>
    <w:rsid w:val="0083514F"/>
    <w:rsid w:val="00835E81"/>
    <w:rsid w:val="008376A2"/>
    <w:rsid w:val="00840944"/>
    <w:rsid w:val="0084192D"/>
    <w:rsid w:val="00841CE3"/>
    <w:rsid w:val="008433EF"/>
    <w:rsid w:val="00844BBE"/>
    <w:rsid w:val="00844E11"/>
    <w:rsid w:val="00845411"/>
    <w:rsid w:val="00847B4E"/>
    <w:rsid w:val="00851218"/>
    <w:rsid w:val="00853613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6277"/>
    <w:rsid w:val="0086765D"/>
    <w:rsid w:val="008720DA"/>
    <w:rsid w:val="00872EE4"/>
    <w:rsid w:val="008749EE"/>
    <w:rsid w:val="00877FF1"/>
    <w:rsid w:val="0088123E"/>
    <w:rsid w:val="008839EC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24B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0BB"/>
    <w:rsid w:val="008E681B"/>
    <w:rsid w:val="008F09F2"/>
    <w:rsid w:val="008F2ED1"/>
    <w:rsid w:val="008F357B"/>
    <w:rsid w:val="008F35EE"/>
    <w:rsid w:val="008F380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8ED"/>
    <w:rsid w:val="0090697E"/>
    <w:rsid w:val="00906B26"/>
    <w:rsid w:val="00906F3D"/>
    <w:rsid w:val="009072DC"/>
    <w:rsid w:val="0090795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1741D"/>
    <w:rsid w:val="009205AB"/>
    <w:rsid w:val="00921464"/>
    <w:rsid w:val="00921C49"/>
    <w:rsid w:val="009226E4"/>
    <w:rsid w:val="00922A72"/>
    <w:rsid w:val="0092339E"/>
    <w:rsid w:val="00924837"/>
    <w:rsid w:val="00924F99"/>
    <w:rsid w:val="00930A07"/>
    <w:rsid w:val="00931ADE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1386"/>
    <w:rsid w:val="00941778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60F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0ECC"/>
    <w:rsid w:val="009B15E5"/>
    <w:rsid w:val="009B1BAB"/>
    <w:rsid w:val="009B35FA"/>
    <w:rsid w:val="009B63B4"/>
    <w:rsid w:val="009B7C4A"/>
    <w:rsid w:val="009C05A1"/>
    <w:rsid w:val="009C0FED"/>
    <w:rsid w:val="009C23E8"/>
    <w:rsid w:val="009C2A3D"/>
    <w:rsid w:val="009C32F6"/>
    <w:rsid w:val="009C33AC"/>
    <w:rsid w:val="009C35EA"/>
    <w:rsid w:val="009C4EFE"/>
    <w:rsid w:val="009C5303"/>
    <w:rsid w:val="009C72D7"/>
    <w:rsid w:val="009D004D"/>
    <w:rsid w:val="009D12FE"/>
    <w:rsid w:val="009D1EFC"/>
    <w:rsid w:val="009D37CA"/>
    <w:rsid w:val="009D4468"/>
    <w:rsid w:val="009D783D"/>
    <w:rsid w:val="009E295C"/>
    <w:rsid w:val="009E5D63"/>
    <w:rsid w:val="009E6021"/>
    <w:rsid w:val="009E6C98"/>
    <w:rsid w:val="009F037D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350B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B36"/>
    <w:rsid w:val="00A15C39"/>
    <w:rsid w:val="00A16FFC"/>
    <w:rsid w:val="00A21690"/>
    <w:rsid w:val="00A231D3"/>
    <w:rsid w:val="00A23290"/>
    <w:rsid w:val="00A24612"/>
    <w:rsid w:val="00A2510B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D4C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1F8"/>
    <w:rsid w:val="00A66A0C"/>
    <w:rsid w:val="00A706F1"/>
    <w:rsid w:val="00A711B9"/>
    <w:rsid w:val="00A7151A"/>
    <w:rsid w:val="00A727D6"/>
    <w:rsid w:val="00A7381E"/>
    <w:rsid w:val="00A73AEA"/>
    <w:rsid w:val="00A74ACA"/>
    <w:rsid w:val="00A76331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41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E799F"/>
    <w:rsid w:val="00AF06F1"/>
    <w:rsid w:val="00AF28F9"/>
    <w:rsid w:val="00AF2D4A"/>
    <w:rsid w:val="00AF36D9"/>
    <w:rsid w:val="00AF75C7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17B3C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10D2"/>
    <w:rsid w:val="00B92712"/>
    <w:rsid w:val="00B92A78"/>
    <w:rsid w:val="00B92F89"/>
    <w:rsid w:val="00B9371E"/>
    <w:rsid w:val="00B948BA"/>
    <w:rsid w:val="00B9557C"/>
    <w:rsid w:val="00B95D9A"/>
    <w:rsid w:val="00B977EB"/>
    <w:rsid w:val="00BA0C47"/>
    <w:rsid w:val="00BA13C3"/>
    <w:rsid w:val="00BA1743"/>
    <w:rsid w:val="00BA2757"/>
    <w:rsid w:val="00BA311C"/>
    <w:rsid w:val="00BA3209"/>
    <w:rsid w:val="00BA398B"/>
    <w:rsid w:val="00BA3AA0"/>
    <w:rsid w:val="00BA4449"/>
    <w:rsid w:val="00BB0809"/>
    <w:rsid w:val="00BB2F88"/>
    <w:rsid w:val="00BB343F"/>
    <w:rsid w:val="00BB40A5"/>
    <w:rsid w:val="00BB43CC"/>
    <w:rsid w:val="00BC1EA7"/>
    <w:rsid w:val="00BC276D"/>
    <w:rsid w:val="00BC33C2"/>
    <w:rsid w:val="00BC4A5F"/>
    <w:rsid w:val="00BC50FC"/>
    <w:rsid w:val="00BC5DCD"/>
    <w:rsid w:val="00BC7FB1"/>
    <w:rsid w:val="00BD00F1"/>
    <w:rsid w:val="00BD0D6F"/>
    <w:rsid w:val="00BD2A05"/>
    <w:rsid w:val="00BD4D8A"/>
    <w:rsid w:val="00BD6828"/>
    <w:rsid w:val="00BE10EB"/>
    <w:rsid w:val="00BE2402"/>
    <w:rsid w:val="00BE2B49"/>
    <w:rsid w:val="00BE2EB8"/>
    <w:rsid w:val="00BE2F25"/>
    <w:rsid w:val="00BE391B"/>
    <w:rsid w:val="00BE4B9A"/>
    <w:rsid w:val="00BE519E"/>
    <w:rsid w:val="00BE52CE"/>
    <w:rsid w:val="00BE61AD"/>
    <w:rsid w:val="00BE71D1"/>
    <w:rsid w:val="00BE751F"/>
    <w:rsid w:val="00BF3604"/>
    <w:rsid w:val="00BF3A11"/>
    <w:rsid w:val="00BF3A84"/>
    <w:rsid w:val="00BF5D15"/>
    <w:rsid w:val="00BF6542"/>
    <w:rsid w:val="00C0183C"/>
    <w:rsid w:val="00C03F18"/>
    <w:rsid w:val="00C04842"/>
    <w:rsid w:val="00C04E22"/>
    <w:rsid w:val="00C06A7E"/>
    <w:rsid w:val="00C07462"/>
    <w:rsid w:val="00C11F64"/>
    <w:rsid w:val="00C12514"/>
    <w:rsid w:val="00C1295F"/>
    <w:rsid w:val="00C12C7B"/>
    <w:rsid w:val="00C135E4"/>
    <w:rsid w:val="00C13AC5"/>
    <w:rsid w:val="00C14027"/>
    <w:rsid w:val="00C1696C"/>
    <w:rsid w:val="00C172B3"/>
    <w:rsid w:val="00C231C6"/>
    <w:rsid w:val="00C2338E"/>
    <w:rsid w:val="00C2587B"/>
    <w:rsid w:val="00C259B7"/>
    <w:rsid w:val="00C25D90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865"/>
    <w:rsid w:val="00C32BC7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090D"/>
    <w:rsid w:val="00C517EF"/>
    <w:rsid w:val="00C54AE8"/>
    <w:rsid w:val="00C56A24"/>
    <w:rsid w:val="00C5732C"/>
    <w:rsid w:val="00C57BCD"/>
    <w:rsid w:val="00C57D5B"/>
    <w:rsid w:val="00C60055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C6B16"/>
    <w:rsid w:val="00CC753C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2288"/>
    <w:rsid w:val="00CE4F08"/>
    <w:rsid w:val="00CE564C"/>
    <w:rsid w:val="00CE5CDB"/>
    <w:rsid w:val="00CF1011"/>
    <w:rsid w:val="00CF48E2"/>
    <w:rsid w:val="00CF4B03"/>
    <w:rsid w:val="00CF53D7"/>
    <w:rsid w:val="00CF5D55"/>
    <w:rsid w:val="00D004BD"/>
    <w:rsid w:val="00D0106C"/>
    <w:rsid w:val="00D025C8"/>
    <w:rsid w:val="00D048D9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05F"/>
    <w:rsid w:val="00D47EEF"/>
    <w:rsid w:val="00D5069D"/>
    <w:rsid w:val="00D5108C"/>
    <w:rsid w:val="00D52EB4"/>
    <w:rsid w:val="00D53AA1"/>
    <w:rsid w:val="00D54167"/>
    <w:rsid w:val="00D5448B"/>
    <w:rsid w:val="00D556D3"/>
    <w:rsid w:val="00D55A99"/>
    <w:rsid w:val="00D6043C"/>
    <w:rsid w:val="00D612ED"/>
    <w:rsid w:val="00D61FB2"/>
    <w:rsid w:val="00D63239"/>
    <w:rsid w:val="00D63B77"/>
    <w:rsid w:val="00D63D1E"/>
    <w:rsid w:val="00D67734"/>
    <w:rsid w:val="00D705F3"/>
    <w:rsid w:val="00D728EB"/>
    <w:rsid w:val="00D75388"/>
    <w:rsid w:val="00D755EF"/>
    <w:rsid w:val="00D80F27"/>
    <w:rsid w:val="00D81156"/>
    <w:rsid w:val="00D82B6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B7221"/>
    <w:rsid w:val="00DC1732"/>
    <w:rsid w:val="00DC401B"/>
    <w:rsid w:val="00DC4654"/>
    <w:rsid w:val="00DC5476"/>
    <w:rsid w:val="00DD3BE4"/>
    <w:rsid w:val="00DD512F"/>
    <w:rsid w:val="00DD5BBE"/>
    <w:rsid w:val="00DD5C33"/>
    <w:rsid w:val="00DD6A06"/>
    <w:rsid w:val="00DE2113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0F09"/>
    <w:rsid w:val="00E0230B"/>
    <w:rsid w:val="00E023CF"/>
    <w:rsid w:val="00E02CA9"/>
    <w:rsid w:val="00E0556F"/>
    <w:rsid w:val="00E0704A"/>
    <w:rsid w:val="00E10159"/>
    <w:rsid w:val="00E11E92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3F1"/>
    <w:rsid w:val="00E276C6"/>
    <w:rsid w:val="00E27C7D"/>
    <w:rsid w:val="00E337B0"/>
    <w:rsid w:val="00E367D3"/>
    <w:rsid w:val="00E40166"/>
    <w:rsid w:val="00E445E4"/>
    <w:rsid w:val="00E459A9"/>
    <w:rsid w:val="00E45D24"/>
    <w:rsid w:val="00E467EE"/>
    <w:rsid w:val="00E4737E"/>
    <w:rsid w:val="00E47B62"/>
    <w:rsid w:val="00E504FB"/>
    <w:rsid w:val="00E52A43"/>
    <w:rsid w:val="00E55EF9"/>
    <w:rsid w:val="00E6250D"/>
    <w:rsid w:val="00E625FB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6C1E"/>
    <w:rsid w:val="00E770F4"/>
    <w:rsid w:val="00E775AB"/>
    <w:rsid w:val="00E77934"/>
    <w:rsid w:val="00E77C68"/>
    <w:rsid w:val="00E80FC3"/>
    <w:rsid w:val="00E812C5"/>
    <w:rsid w:val="00E8189C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07BF"/>
    <w:rsid w:val="00EC2173"/>
    <w:rsid w:val="00EC23CC"/>
    <w:rsid w:val="00EC40BB"/>
    <w:rsid w:val="00EC4732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585A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358"/>
    <w:rsid w:val="00F20594"/>
    <w:rsid w:val="00F20B84"/>
    <w:rsid w:val="00F243A3"/>
    <w:rsid w:val="00F24DB6"/>
    <w:rsid w:val="00F25DE8"/>
    <w:rsid w:val="00F262FE"/>
    <w:rsid w:val="00F267DC"/>
    <w:rsid w:val="00F27853"/>
    <w:rsid w:val="00F34438"/>
    <w:rsid w:val="00F34612"/>
    <w:rsid w:val="00F37391"/>
    <w:rsid w:val="00F4145C"/>
    <w:rsid w:val="00F43062"/>
    <w:rsid w:val="00F430A8"/>
    <w:rsid w:val="00F441DD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57A2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07A7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669C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C07863"/>
    <w:rsid w:val="13F13588"/>
    <w:rsid w:val="15EE60AA"/>
    <w:rsid w:val="1A174205"/>
    <w:rsid w:val="1C421CEE"/>
    <w:rsid w:val="1E7354F5"/>
    <w:rsid w:val="20CA2053"/>
    <w:rsid w:val="215678E9"/>
    <w:rsid w:val="21E169EA"/>
    <w:rsid w:val="23635580"/>
    <w:rsid w:val="23705540"/>
    <w:rsid w:val="23871575"/>
    <w:rsid w:val="238D3B77"/>
    <w:rsid w:val="23A06FD9"/>
    <w:rsid w:val="26090F1F"/>
    <w:rsid w:val="2663236B"/>
    <w:rsid w:val="26C17FC9"/>
    <w:rsid w:val="29374301"/>
    <w:rsid w:val="2A0E523D"/>
    <w:rsid w:val="2B7E518F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9745F39"/>
    <w:rsid w:val="3D3C085F"/>
    <w:rsid w:val="3DF43CB0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4F576EB4"/>
    <w:rsid w:val="50CF1F2E"/>
    <w:rsid w:val="51E031B4"/>
    <w:rsid w:val="531A4FAA"/>
    <w:rsid w:val="535C05BC"/>
    <w:rsid w:val="541B05CB"/>
    <w:rsid w:val="54A46742"/>
    <w:rsid w:val="56BD1493"/>
    <w:rsid w:val="5AE76118"/>
    <w:rsid w:val="5B197DCD"/>
    <w:rsid w:val="5BCE7D78"/>
    <w:rsid w:val="5C3A5466"/>
    <w:rsid w:val="5C5342B3"/>
    <w:rsid w:val="5CE14FED"/>
    <w:rsid w:val="5DC51364"/>
    <w:rsid w:val="6014409A"/>
    <w:rsid w:val="621A06A3"/>
    <w:rsid w:val="649C1615"/>
    <w:rsid w:val="64B32B11"/>
    <w:rsid w:val="65962F5E"/>
    <w:rsid w:val="65A70431"/>
    <w:rsid w:val="65D84CB5"/>
    <w:rsid w:val="6646797E"/>
    <w:rsid w:val="665520F7"/>
    <w:rsid w:val="679805F2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2D6E0"/>
  <w15:docId w15:val="{D5D1F514-252A-4E32-BD98-C06A920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  <w:qFormat/>
  </w:style>
  <w:style w:type="character" w:customStyle="1" w:styleId="activekeyword">
    <w:name w:val="activekeyword"/>
    <w:basedOn w:val="a0"/>
    <w:qFormat/>
  </w:style>
  <w:style w:type="character" w:customStyle="1" w:styleId="highlight">
    <w:name w:val="highlight"/>
    <w:basedOn w:val="a0"/>
    <w:qFormat/>
  </w:style>
  <w:style w:type="character" w:customStyle="1" w:styleId="text-only">
    <w:name w:val="text-only"/>
    <w:basedOn w:val="a0"/>
    <w:qFormat/>
  </w:style>
  <w:style w:type="paragraph" w:customStyle="1" w:styleId="3090">
    <w:name w:val="3090"/>
    <w:basedOn w:val="a"/>
    <w:qFormat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6</Pages>
  <Words>559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524</cp:revision>
  <cp:lastPrinted>2024-05-14T09:00:00Z</cp:lastPrinted>
  <dcterms:created xsi:type="dcterms:W3CDTF">2023-06-02T09:16:00Z</dcterms:created>
  <dcterms:modified xsi:type="dcterms:W3CDTF">2026-06-01T08:42:00Z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2052-12.1.0.24034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eyJoZGlkIjoiMWI2NjQxNWM0NGMxNTljNDhlZDNkN2YzMDE2MGVmZjciLCJ1c2VySWQiOiI1ODUzMDk2MjkifQ==</vt:lpwstr>
  </property>
</Properties>
</file>