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BD81" w14:textId="77777777" w:rsidR="00593A52" w:rsidRDefault="00000000">
      <w:pPr>
        <w:jc w:val="center"/>
        <w:rPr>
          <w:rFonts w:ascii="宋体" w:eastAsia="宋体" w:hAnsi="宋体" w:hint="eastAsia"/>
          <w:b/>
          <w:bCs/>
          <w:sz w:val="40"/>
          <w:szCs w:val="40"/>
        </w:rPr>
      </w:pPr>
      <w:r>
        <w:rPr>
          <w:rFonts w:ascii="宋体" w:eastAsia="宋体" w:hAnsi="宋体" w:hint="eastAsia"/>
          <w:b/>
          <w:bCs/>
          <w:sz w:val="40"/>
          <w:szCs w:val="40"/>
        </w:rPr>
        <w:t>云南省贵金属新材料控股集团股份有限公司</w:t>
      </w:r>
    </w:p>
    <w:p w14:paraId="3201CE90" w14:textId="77777777" w:rsidR="00593A52" w:rsidRDefault="00000000">
      <w:pPr>
        <w:jc w:val="center"/>
        <w:rPr>
          <w:rFonts w:ascii="宋体" w:eastAsia="宋体" w:hAnsi="宋体" w:hint="eastAsia"/>
          <w:b/>
          <w:bCs/>
          <w:sz w:val="40"/>
          <w:szCs w:val="40"/>
        </w:rPr>
      </w:pPr>
      <w:r>
        <w:rPr>
          <w:rFonts w:ascii="宋体" w:eastAsia="宋体" w:hAnsi="宋体" w:hint="eastAsia"/>
          <w:b/>
          <w:bCs/>
          <w:sz w:val="40"/>
          <w:szCs w:val="40"/>
        </w:rPr>
        <w:t>投资者关系活动记录表</w:t>
      </w:r>
    </w:p>
    <w:p w14:paraId="0A5E35D8" w14:textId="42A70DBC" w:rsidR="00593A52" w:rsidRDefault="00000000">
      <w:pPr>
        <w:jc w:val="center"/>
        <w:rPr>
          <w:rFonts w:ascii="宋体" w:eastAsia="宋体" w:hAnsi="宋体" w:hint="eastAsia"/>
          <w:b/>
          <w:bCs/>
          <w:sz w:val="30"/>
          <w:szCs w:val="30"/>
        </w:rPr>
      </w:pPr>
      <w:r>
        <w:rPr>
          <w:rFonts w:ascii="宋体" w:eastAsia="宋体" w:hAnsi="宋体" w:hint="eastAsia"/>
          <w:b/>
          <w:bCs/>
          <w:sz w:val="30"/>
          <w:szCs w:val="30"/>
        </w:rPr>
        <w:t>证券简称：贵研铂业</w:t>
      </w:r>
      <w:r w:rsidR="00043BF7">
        <w:rPr>
          <w:rFonts w:ascii="宋体" w:eastAsia="宋体" w:hAnsi="宋体" w:hint="eastAsia"/>
          <w:b/>
          <w:bCs/>
          <w:sz w:val="30"/>
          <w:szCs w:val="30"/>
        </w:rPr>
        <w:t xml:space="preserve">                  </w:t>
      </w:r>
      <w:r>
        <w:rPr>
          <w:rFonts w:ascii="宋体" w:eastAsia="宋体" w:hAnsi="宋体" w:hint="eastAsia"/>
          <w:b/>
          <w:bCs/>
          <w:sz w:val="30"/>
          <w:szCs w:val="30"/>
        </w:rPr>
        <w:t>证券代码：600459</w:t>
      </w:r>
    </w:p>
    <w:tbl>
      <w:tblPr>
        <w:tblStyle w:val="a7"/>
        <w:tblW w:w="9634" w:type="dxa"/>
        <w:jc w:val="center"/>
        <w:tblLook w:val="04A0" w:firstRow="1" w:lastRow="0" w:firstColumn="1" w:lastColumn="0" w:noHBand="0" w:noVBand="1"/>
      </w:tblPr>
      <w:tblGrid>
        <w:gridCol w:w="1271"/>
        <w:gridCol w:w="5066"/>
        <w:gridCol w:w="1612"/>
        <w:gridCol w:w="1685"/>
      </w:tblGrid>
      <w:tr w:rsidR="00593A52" w14:paraId="6E2F028D" w14:textId="77777777" w:rsidTr="00D53994">
        <w:trPr>
          <w:trHeight w:val="1611"/>
          <w:jc w:val="center"/>
        </w:trPr>
        <w:tc>
          <w:tcPr>
            <w:tcW w:w="1271" w:type="dxa"/>
            <w:vAlign w:val="center"/>
          </w:tcPr>
          <w:p w14:paraId="5B44568A" w14:textId="77777777" w:rsidR="00593A52" w:rsidRDefault="00000000">
            <w:pPr>
              <w:spacing w:after="0" w:line="400" w:lineRule="exact"/>
              <w:jc w:val="center"/>
              <w:rPr>
                <w:rFonts w:ascii="宋体" w:eastAsia="宋体" w:hAnsi="宋体" w:hint="eastAsia"/>
                <w:sz w:val="24"/>
              </w:rPr>
            </w:pPr>
            <w:r>
              <w:rPr>
                <w:rFonts w:ascii="宋体" w:eastAsia="宋体" w:hAnsi="宋体" w:hint="eastAsia"/>
                <w:sz w:val="24"/>
              </w:rPr>
              <w:t>投资者关系活动类别</w:t>
            </w:r>
          </w:p>
        </w:tc>
        <w:tc>
          <w:tcPr>
            <w:tcW w:w="8363" w:type="dxa"/>
            <w:gridSpan w:val="3"/>
          </w:tcPr>
          <w:p w14:paraId="67B8D960" w14:textId="63B127FB" w:rsidR="00593A52" w:rsidRDefault="00000000">
            <w:pPr>
              <w:spacing w:after="0" w:line="400" w:lineRule="exact"/>
              <w:jc w:val="both"/>
              <w:rPr>
                <w:rFonts w:ascii="宋体" w:eastAsia="宋体" w:hAnsi="宋体" w:cs="Segoe UI Symbol" w:hint="eastAsia"/>
                <w:sz w:val="24"/>
              </w:rPr>
            </w:pPr>
            <w:bookmarkStart w:id="0" w:name="OLE_LINK1"/>
            <w:r>
              <w:rPr>
                <w:rFonts w:ascii="Segoe UI Symbol" w:eastAsia="宋体" w:hAnsi="Segoe UI Symbol" w:cs="Segoe UI Symbol"/>
                <w:sz w:val="24"/>
              </w:rPr>
              <w:t>☐</w:t>
            </w:r>
            <w:bookmarkEnd w:id="0"/>
            <w:r>
              <w:rPr>
                <w:rFonts w:ascii="宋体" w:eastAsia="宋体" w:hAnsi="宋体" w:cs="Segoe UI Symbol" w:hint="eastAsia"/>
                <w:sz w:val="24"/>
              </w:rPr>
              <w:t>特定对象调研</w:t>
            </w:r>
            <w:r w:rsidR="00191530">
              <w:rPr>
                <w:rFonts w:ascii="宋体" w:eastAsia="宋体" w:hAnsi="宋体" w:cs="Segoe UI Symbol" w:hint="eastAsia"/>
                <w:sz w:val="24"/>
              </w:rPr>
              <w:t xml:space="preserve">   </w:t>
            </w:r>
            <w:r>
              <w:rPr>
                <w:rFonts w:ascii="Segoe UI Symbol" w:eastAsia="宋体" w:hAnsi="Segoe UI Symbol" w:cs="Segoe UI Symbol"/>
                <w:sz w:val="24"/>
              </w:rPr>
              <w:t>☐</w:t>
            </w:r>
            <w:r>
              <w:rPr>
                <w:rFonts w:ascii="宋体" w:eastAsia="宋体" w:hAnsi="宋体" w:cs="Segoe UI Symbol" w:hint="eastAsia"/>
                <w:sz w:val="24"/>
              </w:rPr>
              <w:t>分析师会议</w:t>
            </w:r>
          </w:p>
          <w:p w14:paraId="397831A2" w14:textId="77D3ECA2" w:rsidR="00593A52" w:rsidRDefault="00000000">
            <w:pPr>
              <w:spacing w:after="0" w:line="400" w:lineRule="exact"/>
              <w:jc w:val="both"/>
              <w:rPr>
                <w:rFonts w:ascii="宋体" w:eastAsia="宋体" w:hAnsi="宋体" w:cs="Segoe UI Symbol" w:hint="eastAsia"/>
                <w:sz w:val="24"/>
              </w:rPr>
            </w:pPr>
            <w:r>
              <w:rPr>
                <w:rFonts w:ascii="Segoe UI Symbol" w:eastAsia="宋体" w:hAnsi="Segoe UI Symbol" w:cs="Segoe UI Symbol"/>
                <w:sz w:val="24"/>
              </w:rPr>
              <w:t>☐</w:t>
            </w:r>
            <w:r>
              <w:rPr>
                <w:rFonts w:ascii="宋体" w:eastAsia="宋体" w:hAnsi="宋体" w:cs="Segoe UI Symbol" w:hint="eastAsia"/>
                <w:sz w:val="24"/>
              </w:rPr>
              <w:t>媒体采访</w:t>
            </w:r>
            <w:r w:rsidR="00191530">
              <w:rPr>
                <w:rFonts w:ascii="宋体" w:eastAsia="宋体" w:hAnsi="宋体" w:cs="Segoe UI Symbol" w:hint="eastAsia"/>
                <w:sz w:val="24"/>
              </w:rPr>
              <w:t xml:space="preserve">       </w:t>
            </w:r>
            <w:r>
              <w:rPr>
                <w:rFonts w:ascii="Segoe UI Symbol" w:eastAsia="宋体" w:hAnsi="Segoe UI Symbol" w:cs="Segoe UI Symbol"/>
                <w:sz w:val="24"/>
              </w:rPr>
              <w:t>☐</w:t>
            </w:r>
            <w:r>
              <w:rPr>
                <w:rFonts w:ascii="宋体" w:eastAsia="宋体" w:hAnsi="宋体" w:cs="Segoe UI Symbol" w:hint="eastAsia"/>
                <w:sz w:val="24"/>
              </w:rPr>
              <w:t>业绩说明会</w:t>
            </w:r>
          </w:p>
          <w:p w14:paraId="5314F40F" w14:textId="19629617" w:rsidR="00593A52" w:rsidRDefault="00000000">
            <w:pPr>
              <w:spacing w:after="0" w:line="400" w:lineRule="exact"/>
              <w:jc w:val="both"/>
              <w:rPr>
                <w:rFonts w:ascii="宋体" w:eastAsia="宋体" w:hAnsi="宋体" w:cs="Segoe UI Symbol" w:hint="eastAsia"/>
                <w:sz w:val="24"/>
              </w:rPr>
            </w:pPr>
            <w:r>
              <w:rPr>
                <w:rFonts w:ascii="Segoe UI Symbol" w:eastAsia="宋体" w:hAnsi="Segoe UI Symbol" w:cs="Segoe UI Symbol"/>
                <w:sz w:val="24"/>
              </w:rPr>
              <w:t>☐</w:t>
            </w:r>
            <w:r>
              <w:rPr>
                <w:rFonts w:ascii="宋体" w:eastAsia="宋体" w:hAnsi="宋体" w:cs="Segoe UI Symbol" w:hint="eastAsia"/>
                <w:sz w:val="24"/>
              </w:rPr>
              <w:t>新闻发布会</w:t>
            </w:r>
            <w:r w:rsidR="00191530">
              <w:rPr>
                <w:rFonts w:ascii="宋体" w:eastAsia="宋体" w:hAnsi="宋体" w:cs="Segoe UI Symbol" w:hint="eastAsia"/>
                <w:sz w:val="24"/>
              </w:rPr>
              <w:t xml:space="preserve">     </w:t>
            </w:r>
            <w:r>
              <w:rPr>
                <w:rFonts w:ascii="Segoe UI Symbol" w:eastAsia="宋体" w:hAnsi="Segoe UI Symbol" w:cs="Segoe UI Symbol"/>
                <w:sz w:val="24"/>
              </w:rPr>
              <w:t>☐</w:t>
            </w:r>
            <w:r>
              <w:rPr>
                <w:rFonts w:ascii="宋体" w:eastAsia="宋体" w:hAnsi="宋体" w:cs="Segoe UI Symbol" w:hint="eastAsia"/>
                <w:sz w:val="24"/>
              </w:rPr>
              <w:t>路演活动</w:t>
            </w:r>
          </w:p>
          <w:p w14:paraId="65E3C5FA" w14:textId="242AEDF3" w:rsidR="00593A52" w:rsidRDefault="00000000">
            <w:pPr>
              <w:spacing w:after="0" w:line="400" w:lineRule="exact"/>
              <w:jc w:val="both"/>
              <w:rPr>
                <w:rFonts w:ascii="宋体" w:eastAsia="宋体" w:hAnsi="宋体" w:hint="eastAsia"/>
                <w:sz w:val="24"/>
              </w:rPr>
            </w:pPr>
            <w:r>
              <w:rPr>
                <w:rFonts w:ascii="Segoe UI Symbol" w:eastAsia="宋体" w:hAnsi="Segoe UI Symbol" w:cs="Segoe UI Symbol"/>
                <w:sz w:val="24"/>
              </w:rPr>
              <w:t>☑</w:t>
            </w:r>
            <w:r>
              <w:rPr>
                <w:rFonts w:ascii="宋体" w:eastAsia="宋体" w:hAnsi="宋体" w:cs="Segoe UI Symbol" w:hint="eastAsia"/>
                <w:sz w:val="24"/>
              </w:rPr>
              <w:t>现场调研</w:t>
            </w:r>
            <w:r w:rsidR="00191530">
              <w:rPr>
                <w:rFonts w:ascii="宋体" w:eastAsia="宋体" w:hAnsi="宋体" w:cs="Segoe UI Symbol" w:hint="eastAsia"/>
                <w:sz w:val="24"/>
              </w:rPr>
              <w:t xml:space="preserve">       </w:t>
            </w:r>
            <w:r>
              <w:rPr>
                <w:rFonts w:ascii="Segoe UI Symbol" w:eastAsia="宋体" w:hAnsi="Segoe UI Symbol" w:cs="Segoe UI Symbol"/>
                <w:sz w:val="24"/>
              </w:rPr>
              <w:t>☐</w:t>
            </w:r>
            <w:r>
              <w:rPr>
                <w:rFonts w:ascii="宋体" w:eastAsia="宋体" w:hAnsi="宋体" w:cs="Segoe UI Symbol" w:hint="eastAsia"/>
                <w:sz w:val="24"/>
              </w:rPr>
              <w:t>其他</w:t>
            </w:r>
          </w:p>
        </w:tc>
      </w:tr>
      <w:tr w:rsidR="00593A52" w14:paraId="2F8F14CA" w14:textId="77777777" w:rsidTr="00D53994">
        <w:trPr>
          <w:trHeight w:val="551"/>
          <w:jc w:val="center"/>
        </w:trPr>
        <w:tc>
          <w:tcPr>
            <w:tcW w:w="1271" w:type="dxa"/>
            <w:vAlign w:val="center"/>
          </w:tcPr>
          <w:p w14:paraId="1C81C94B" w14:textId="77777777" w:rsidR="00593A52" w:rsidRDefault="00000000">
            <w:pPr>
              <w:spacing w:after="0" w:line="360" w:lineRule="auto"/>
              <w:jc w:val="both"/>
              <w:rPr>
                <w:rFonts w:ascii="宋体" w:eastAsia="宋体" w:hAnsi="宋体" w:hint="eastAsia"/>
                <w:sz w:val="24"/>
              </w:rPr>
            </w:pPr>
            <w:r>
              <w:rPr>
                <w:rFonts w:ascii="宋体" w:eastAsia="宋体" w:hAnsi="宋体" w:hint="eastAsia"/>
                <w:sz w:val="24"/>
              </w:rPr>
              <w:t>活动参与人员</w:t>
            </w:r>
          </w:p>
        </w:tc>
        <w:tc>
          <w:tcPr>
            <w:tcW w:w="8363" w:type="dxa"/>
            <w:gridSpan w:val="3"/>
            <w:vAlign w:val="center"/>
          </w:tcPr>
          <w:p w14:paraId="3A1415A4" w14:textId="77777777" w:rsidR="00593A52" w:rsidRDefault="00000000" w:rsidP="00F728FC">
            <w:pPr>
              <w:spacing w:after="0" w:line="360" w:lineRule="auto"/>
              <w:jc w:val="both"/>
              <w:rPr>
                <w:rFonts w:ascii="宋体" w:eastAsia="宋体" w:hAnsi="宋体" w:hint="eastAsia"/>
                <w:sz w:val="24"/>
              </w:rPr>
            </w:pPr>
            <w:r>
              <w:rPr>
                <w:rFonts w:ascii="宋体" w:eastAsia="宋体" w:hAnsi="宋体" w:hint="eastAsia"/>
                <w:sz w:val="24"/>
              </w:rPr>
              <w:t>华创证券、工银瑞信、海富通基金、西部证券</w:t>
            </w:r>
          </w:p>
        </w:tc>
      </w:tr>
      <w:tr w:rsidR="00593A52" w14:paraId="05C3BCEE" w14:textId="77777777" w:rsidTr="00D53994">
        <w:trPr>
          <w:trHeight w:val="533"/>
          <w:jc w:val="center"/>
        </w:trPr>
        <w:tc>
          <w:tcPr>
            <w:tcW w:w="1271" w:type="dxa"/>
            <w:vAlign w:val="center"/>
          </w:tcPr>
          <w:p w14:paraId="1F1D458D" w14:textId="77777777" w:rsidR="00593A52" w:rsidRDefault="00000000">
            <w:pPr>
              <w:spacing w:after="0" w:line="360" w:lineRule="auto"/>
              <w:jc w:val="both"/>
              <w:rPr>
                <w:rFonts w:ascii="宋体" w:eastAsia="宋体" w:hAnsi="宋体" w:hint="eastAsia"/>
                <w:sz w:val="24"/>
              </w:rPr>
            </w:pPr>
            <w:r>
              <w:rPr>
                <w:rFonts w:ascii="宋体" w:eastAsia="宋体" w:hAnsi="宋体" w:hint="eastAsia"/>
                <w:sz w:val="24"/>
              </w:rPr>
              <w:t>时间</w:t>
            </w:r>
          </w:p>
        </w:tc>
        <w:tc>
          <w:tcPr>
            <w:tcW w:w="8363" w:type="dxa"/>
            <w:gridSpan w:val="3"/>
          </w:tcPr>
          <w:p w14:paraId="41020698" w14:textId="77777777" w:rsidR="00593A52" w:rsidRDefault="00000000">
            <w:pPr>
              <w:spacing w:after="0" w:line="360" w:lineRule="auto"/>
              <w:rPr>
                <w:rFonts w:ascii="宋体" w:eastAsia="宋体" w:hAnsi="宋体" w:hint="eastAsia"/>
                <w:sz w:val="24"/>
              </w:rPr>
            </w:pPr>
            <w:r>
              <w:rPr>
                <w:rFonts w:ascii="宋体" w:eastAsia="宋体" w:hAnsi="宋体" w:hint="eastAsia"/>
                <w:sz w:val="24"/>
              </w:rPr>
              <w:t>2026年4月1日</w:t>
            </w:r>
            <w:r>
              <w:rPr>
                <w:rFonts w:ascii="宋体" w:eastAsia="宋体" w:hAnsi="宋体"/>
                <w:sz w:val="24"/>
              </w:rPr>
              <w:t>-</w:t>
            </w:r>
            <w:r>
              <w:rPr>
                <w:rFonts w:ascii="宋体" w:eastAsia="宋体" w:hAnsi="宋体" w:hint="eastAsia"/>
                <w:sz w:val="24"/>
              </w:rPr>
              <w:t>4月30日</w:t>
            </w:r>
          </w:p>
        </w:tc>
      </w:tr>
      <w:tr w:rsidR="00593A52" w14:paraId="2BFD2DD3" w14:textId="77777777" w:rsidTr="00D53994">
        <w:trPr>
          <w:trHeight w:val="551"/>
          <w:jc w:val="center"/>
        </w:trPr>
        <w:tc>
          <w:tcPr>
            <w:tcW w:w="1271" w:type="dxa"/>
            <w:vAlign w:val="center"/>
          </w:tcPr>
          <w:p w14:paraId="4133A36B" w14:textId="77777777" w:rsidR="00593A52" w:rsidRDefault="00000000">
            <w:pPr>
              <w:spacing w:after="0" w:line="360" w:lineRule="auto"/>
              <w:jc w:val="both"/>
              <w:rPr>
                <w:rFonts w:ascii="宋体" w:eastAsia="宋体" w:hAnsi="宋体" w:hint="eastAsia"/>
                <w:sz w:val="24"/>
              </w:rPr>
            </w:pPr>
            <w:r>
              <w:rPr>
                <w:rFonts w:ascii="宋体" w:eastAsia="宋体" w:hAnsi="宋体" w:hint="eastAsia"/>
                <w:sz w:val="24"/>
              </w:rPr>
              <w:t>地点</w:t>
            </w:r>
          </w:p>
        </w:tc>
        <w:tc>
          <w:tcPr>
            <w:tcW w:w="8363" w:type="dxa"/>
            <w:gridSpan w:val="3"/>
          </w:tcPr>
          <w:p w14:paraId="7511191C" w14:textId="77777777" w:rsidR="00593A52" w:rsidRDefault="00000000">
            <w:pPr>
              <w:spacing w:after="0" w:line="360" w:lineRule="auto"/>
              <w:rPr>
                <w:rFonts w:ascii="宋体" w:eastAsia="宋体" w:hAnsi="宋体" w:hint="eastAsia"/>
                <w:sz w:val="24"/>
              </w:rPr>
            </w:pPr>
            <w:r>
              <w:rPr>
                <w:rFonts w:ascii="宋体" w:eastAsia="宋体" w:hAnsi="宋体" w:hint="eastAsia"/>
                <w:sz w:val="24"/>
              </w:rPr>
              <w:t>公司二楼会议室</w:t>
            </w:r>
          </w:p>
        </w:tc>
      </w:tr>
      <w:tr w:rsidR="00593A52" w14:paraId="5DE89F1D" w14:textId="77777777" w:rsidTr="00D53994">
        <w:trPr>
          <w:trHeight w:val="551"/>
          <w:jc w:val="center"/>
        </w:trPr>
        <w:tc>
          <w:tcPr>
            <w:tcW w:w="1271" w:type="dxa"/>
            <w:vAlign w:val="center"/>
          </w:tcPr>
          <w:p w14:paraId="2AD3CBCC" w14:textId="77777777" w:rsidR="00593A52" w:rsidRDefault="00000000">
            <w:pPr>
              <w:spacing w:after="0" w:line="360" w:lineRule="auto"/>
              <w:jc w:val="both"/>
              <w:rPr>
                <w:rFonts w:ascii="宋体" w:eastAsia="宋体" w:hAnsi="宋体" w:hint="eastAsia"/>
                <w:sz w:val="24"/>
              </w:rPr>
            </w:pPr>
            <w:r>
              <w:rPr>
                <w:rFonts w:ascii="宋体" w:eastAsia="宋体" w:hAnsi="宋体" w:hint="eastAsia"/>
                <w:sz w:val="24"/>
              </w:rPr>
              <w:t>形式</w:t>
            </w:r>
          </w:p>
        </w:tc>
        <w:tc>
          <w:tcPr>
            <w:tcW w:w="8363" w:type="dxa"/>
            <w:gridSpan w:val="3"/>
          </w:tcPr>
          <w:p w14:paraId="1A3E2A47" w14:textId="77777777" w:rsidR="00593A52" w:rsidRDefault="00000000">
            <w:pPr>
              <w:spacing w:after="0" w:line="360" w:lineRule="auto"/>
              <w:rPr>
                <w:rFonts w:ascii="宋体" w:eastAsia="宋体" w:hAnsi="宋体" w:hint="eastAsia"/>
                <w:sz w:val="24"/>
              </w:rPr>
            </w:pPr>
            <w:r>
              <w:rPr>
                <w:rFonts w:ascii="宋体" w:eastAsia="宋体" w:hAnsi="宋体" w:hint="eastAsia"/>
                <w:sz w:val="24"/>
              </w:rPr>
              <w:t>现场调研座谈</w:t>
            </w:r>
          </w:p>
        </w:tc>
      </w:tr>
      <w:tr w:rsidR="00593A52" w14:paraId="5F4EE8A9" w14:textId="77777777" w:rsidTr="00D53994">
        <w:trPr>
          <w:trHeight w:val="1016"/>
          <w:jc w:val="center"/>
        </w:trPr>
        <w:tc>
          <w:tcPr>
            <w:tcW w:w="1271" w:type="dxa"/>
            <w:vAlign w:val="center"/>
          </w:tcPr>
          <w:p w14:paraId="402CF3A7" w14:textId="77777777" w:rsidR="00593A52" w:rsidRDefault="00000000">
            <w:pPr>
              <w:spacing w:after="0" w:line="360" w:lineRule="auto"/>
              <w:jc w:val="both"/>
              <w:rPr>
                <w:rFonts w:ascii="宋体" w:eastAsia="宋体" w:hAnsi="宋体" w:hint="eastAsia"/>
                <w:sz w:val="24"/>
              </w:rPr>
            </w:pPr>
            <w:r>
              <w:rPr>
                <w:rFonts w:ascii="宋体" w:eastAsia="宋体" w:hAnsi="宋体" w:hint="eastAsia"/>
                <w:sz w:val="24"/>
              </w:rPr>
              <w:t>上市公司参加人员姓名</w:t>
            </w:r>
          </w:p>
        </w:tc>
        <w:tc>
          <w:tcPr>
            <w:tcW w:w="8363" w:type="dxa"/>
            <w:gridSpan w:val="3"/>
          </w:tcPr>
          <w:p w14:paraId="178C1886" w14:textId="73D30927" w:rsidR="00593A52" w:rsidRDefault="00000000">
            <w:pPr>
              <w:spacing w:after="0" w:line="360" w:lineRule="auto"/>
              <w:rPr>
                <w:rFonts w:ascii="宋体" w:eastAsia="宋体" w:hAnsi="宋体" w:hint="eastAsia"/>
                <w:sz w:val="24"/>
              </w:rPr>
            </w:pPr>
            <w:r>
              <w:rPr>
                <w:rFonts w:ascii="宋体" w:eastAsia="宋体" w:hAnsi="宋体" w:hint="eastAsia"/>
                <w:sz w:val="24"/>
              </w:rPr>
              <w:t>董事会秘书冯丰</w:t>
            </w:r>
          </w:p>
          <w:p w14:paraId="749591C3" w14:textId="30694DB5" w:rsidR="00593A52" w:rsidRDefault="00000000">
            <w:pPr>
              <w:spacing w:after="0" w:line="360" w:lineRule="auto"/>
              <w:rPr>
                <w:rFonts w:ascii="宋体" w:eastAsia="宋体" w:hAnsi="宋体" w:hint="eastAsia"/>
                <w:sz w:val="24"/>
              </w:rPr>
            </w:pPr>
            <w:r>
              <w:rPr>
                <w:rFonts w:ascii="宋体" w:eastAsia="宋体" w:hAnsi="宋体" w:hint="eastAsia"/>
                <w:sz w:val="24"/>
              </w:rPr>
              <w:t>证券事务代表陈国林</w:t>
            </w:r>
          </w:p>
          <w:p w14:paraId="2905D1D0" w14:textId="52D6F01F" w:rsidR="00593A52" w:rsidRDefault="00000000">
            <w:pPr>
              <w:spacing w:after="0" w:line="360" w:lineRule="auto"/>
              <w:rPr>
                <w:rFonts w:ascii="宋体" w:eastAsia="宋体" w:hAnsi="宋体" w:hint="eastAsia"/>
                <w:sz w:val="24"/>
              </w:rPr>
            </w:pPr>
            <w:r>
              <w:rPr>
                <w:rFonts w:ascii="宋体" w:eastAsia="宋体" w:hAnsi="宋体" w:hint="eastAsia"/>
                <w:sz w:val="24"/>
              </w:rPr>
              <w:t>投资者关系专员文善镭、张乐</w:t>
            </w:r>
          </w:p>
        </w:tc>
      </w:tr>
      <w:tr w:rsidR="00593A52" w14:paraId="2D2301B5" w14:textId="77777777" w:rsidTr="00D53994">
        <w:trPr>
          <w:trHeight w:val="2258"/>
          <w:jc w:val="center"/>
        </w:trPr>
        <w:tc>
          <w:tcPr>
            <w:tcW w:w="1271" w:type="dxa"/>
            <w:vAlign w:val="center"/>
          </w:tcPr>
          <w:p w14:paraId="71407BE6" w14:textId="77777777" w:rsidR="00593A52" w:rsidRDefault="00000000">
            <w:pPr>
              <w:spacing w:after="0" w:line="360" w:lineRule="auto"/>
              <w:jc w:val="both"/>
              <w:rPr>
                <w:rFonts w:ascii="宋体" w:eastAsia="宋体" w:hAnsi="宋体" w:hint="eastAsia"/>
                <w:sz w:val="24"/>
              </w:rPr>
            </w:pPr>
            <w:r>
              <w:rPr>
                <w:rFonts w:ascii="宋体" w:eastAsia="宋体" w:hAnsi="宋体" w:hint="eastAsia"/>
                <w:sz w:val="24"/>
              </w:rPr>
              <w:t>交流内容及具体问答记录</w:t>
            </w:r>
          </w:p>
        </w:tc>
        <w:tc>
          <w:tcPr>
            <w:tcW w:w="8363" w:type="dxa"/>
            <w:gridSpan w:val="3"/>
          </w:tcPr>
          <w:p w14:paraId="7E0527AF" w14:textId="77777777" w:rsidR="00593A52" w:rsidRDefault="00000000">
            <w:pPr>
              <w:spacing w:after="0" w:line="420" w:lineRule="exact"/>
              <w:ind w:firstLineChars="200" w:firstLine="482"/>
              <w:contextualSpacing/>
              <w:rPr>
                <w:rFonts w:ascii="宋体" w:eastAsia="宋体" w:hAnsi="宋体" w:cs="Times New Roman" w:hint="eastAsia"/>
                <w:b/>
                <w:bCs/>
                <w:sz w:val="24"/>
              </w:rPr>
            </w:pPr>
            <w:r>
              <w:rPr>
                <w:rFonts w:ascii="宋体" w:eastAsia="宋体" w:hAnsi="宋体" w:cs="Times New Roman" w:hint="eastAsia"/>
                <w:b/>
                <w:bCs/>
                <w:sz w:val="24"/>
              </w:rPr>
              <w:t>问题1：贵金属价格大幅波动对公司业绩的影响？</w:t>
            </w:r>
          </w:p>
          <w:p w14:paraId="26D0726A" w14:textId="64481B9F" w:rsidR="00593A52" w:rsidRDefault="00000000" w:rsidP="001834A5">
            <w:pPr>
              <w:spacing w:after="0" w:line="420" w:lineRule="exact"/>
              <w:ind w:firstLineChars="200" w:firstLine="480"/>
              <w:contextualSpacing/>
              <w:jc w:val="both"/>
              <w:rPr>
                <w:rFonts w:ascii="宋体" w:eastAsia="宋体" w:hAnsi="宋体" w:cs="Times New Roman" w:hint="eastAsia"/>
                <w:sz w:val="24"/>
              </w:rPr>
            </w:pPr>
            <w:r>
              <w:rPr>
                <w:rFonts w:ascii="宋体" w:eastAsia="宋体" w:hAnsi="宋体" w:cs="Times New Roman" w:hint="eastAsia"/>
                <w:sz w:val="24"/>
              </w:rPr>
              <w:t>回答：公司始终高度重视贵金属价格波动风险，建立了全链条风险管控体系，</w:t>
            </w:r>
            <w:r w:rsidR="0059609A">
              <w:rPr>
                <w:rFonts w:ascii="宋体" w:eastAsia="宋体" w:hAnsi="宋体" w:cs="Times New Roman" w:hint="eastAsia"/>
                <w:sz w:val="24"/>
              </w:rPr>
              <w:t>有助于降低</w:t>
            </w:r>
            <w:r>
              <w:rPr>
                <w:rFonts w:ascii="宋体" w:eastAsia="宋体" w:hAnsi="宋体" w:cs="Times New Roman" w:hint="eastAsia"/>
                <w:sz w:val="24"/>
              </w:rPr>
              <w:t>贵金属价格大幅波动</w:t>
            </w:r>
            <w:r w:rsidR="0059609A">
              <w:rPr>
                <w:rFonts w:ascii="宋体" w:eastAsia="宋体" w:hAnsi="宋体" w:cs="Times New Roman" w:hint="eastAsia"/>
                <w:sz w:val="24"/>
              </w:rPr>
              <w:t>的影响</w:t>
            </w:r>
            <w:r>
              <w:rPr>
                <w:rFonts w:ascii="宋体" w:eastAsia="宋体" w:hAnsi="宋体" w:cs="Times New Roman" w:hint="eastAsia"/>
                <w:sz w:val="24"/>
              </w:rPr>
              <w:t>，</w:t>
            </w:r>
            <w:r w:rsidR="00404C15">
              <w:rPr>
                <w:rFonts w:ascii="宋体" w:eastAsia="宋体" w:hAnsi="宋体" w:cs="Times New Roman" w:hint="eastAsia"/>
                <w:sz w:val="24"/>
              </w:rPr>
              <w:t>努力保持</w:t>
            </w:r>
            <w:r>
              <w:rPr>
                <w:rFonts w:ascii="宋体" w:eastAsia="宋体" w:hAnsi="宋体" w:cs="Times New Roman" w:hint="eastAsia"/>
                <w:sz w:val="24"/>
              </w:rPr>
              <w:t>经营业绩的持续稳定。在原材料端，公司将</w:t>
            </w:r>
            <w:r w:rsidR="003C05BC">
              <w:rPr>
                <w:rFonts w:ascii="宋体" w:eastAsia="宋体" w:hAnsi="宋体" w:cs="Times New Roman" w:hint="eastAsia"/>
                <w:sz w:val="24"/>
              </w:rPr>
              <w:t>大多数</w:t>
            </w:r>
            <w:r>
              <w:rPr>
                <w:rFonts w:ascii="宋体" w:eastAsia="宋体" w:hAnsi="宋体" w:cs="Times New Roman" w:hint="eastAsia"/>
                <w:sz w:val="24"/>
              </w:rPr>
              <w:t>的生产用贵金属原材料纳入严格的套期保值管理，根据生产计划和库存情况动态调整套保比例，严格执行既定套保方案，不进行投机性交易，确保期货与现货匹配，实现价格风险的有效对冲。在产业链端，公司采用成熟的上下游联动定价与锁价模式，产品销售价格与原材料采购价格实行联动机制，能够将原材料价格的变动</w:t>
            </w:r>
            <w:r w:rsidR="003C4F0A" w:rsidRPr="003C4F0A">
              <w:rPr>
                <w:rFonts w:ascii="宋体" w:eastAsia="宋体" w:hAnsi="宋体" w:cs="Times New Roman" w:hint="eastAsia"/>
                <w:sz w:val="24"/>
              </w:rPr>
              <w:t>充分</w:t>
            </w:r>
            <w:r>
              <w:rPr>
                <w:rFonts w:ascii="宋体" w:eastAsia="宋体" w:hAnsi="宋体" w:cs="Times New Roman" w:hint="eastAsia"/>
                <w:sz w:val="24"/>
              </w:rPr>
              <w:t>传导至下游产品，同时也能在原材料价格下跌时同步降低产品成本，保持加工利润的稳定。因此，无论是贵金属价格上涨还是下跌，对公司主营业务盈利能力的影响均有限</w:t>
            </w:r>
            <w:r w:rsidRPr="00D66D3E">
              <w:rPr>
                <w:rFonts w:ascii="宋体" w:eastAsia="宋体" w:hAnsi="宋体" w:cs="Times New Roman" w:hint="eastAsia"/>
                <w:sz w:val="24"/>
              </w:rPr>
              <w:t>。当然，若贵金属价格长期维持在历史高位，将</w:t>
            </w:r>
            <w:r w:rsidRPr="00F728FC">
              <w:rPr>
                <w:rFonts w:ascii="宋体" w:eastAsia="宋体" w:hAnsi="宋体" w:cs="Times New Roman" w:hint="eastAsia"/>
                <w:sz w:val="24"/>
              </w:rPr>
              <w:t>不可避免地</w:t>
            </w:r>
            <w:r w:rsidRPr="00D66D3E">
              <w:rPr>
                <w:rFonts w:ascii="宋体" w:eastAsia="宋体" w:hAnsi="宋体" w:cs="Times New Roman" w:hint="eastAsia"/>
                <w:sz w:val="24"/>
              </w:rPr>
              <w:t>增加公司原材料采购的资</w:t>
            </w:r>
            <w:r>
              <w:rPr>
                <w:rFonts w:ascii="宋体" w:eastAsia="宋体" w:hAnsi="宋体" w:cs="Times New Roman" w:hint="eastAsia"/>
                <w:sz w:val="24"/>
              </w:rPr>
              <w:t>金占用</w:t>
            </w:r>
            <w:r w:rsidR="003C05BC">
              <w:rPr>
                <w:rFonts w:ascii="宋体" w:eastAsia="宋体" w:hAnsi="宋体" w:cs="Times New Roman" w:hint="eastAsia"/>
                <w:sz w:val="24"/>
              </w:rPr>
              <w:t>和存货</w:t>
            </w:r>
            <w:r>
              <w:rPr>
                <w:rFonts w:ascii="宋体" w:eastAsia="宋体" w:hAnsi="宋体" w:cs="Times New Roman" w:hint="eastAsia"/>
                <w:sz w:val="24"/>
              </w:rPr>
              <w:t>，进而</w:t>
            </w:r>
            <w:r w:rsidR="003C05BC">
              <w:rPr>
                <w:rFonts w:ascii="宋体" w:eastAsia="宋体" w:hAnsi="宋体" w:cs="Times New Roman" w:hint="eastAsia"/>
                <w:sz w:val="24"/>
              </w:rPr>
              <w:t>将</w:t>
            </w:r>
            <w:r>
              <w:rPr>
                <w:rFonts w:ascii="宋体" w:eastAsia="宋体" w:hAnsi="宋体" w:cs="Times New Roman" w:hint="eastAsia"/>
                <w:sz w:val="24"/>
              </w:rPr>
              <w:t>导致财务费用</w:t>
            </w:r>
            <w:r w:rsidR="003C05BC">
              <w:rPr>
                <w:rFonts w:ascii="宋体" w:eastAsia="宋体" w:hAnsi="宋体" w:cs="Times New Roman" w:hint="eastAsia"/>
                <w:sz w:val="24"/>
              </w:rPr>
              <w:t>对应</w:t>
            </w:r>
            <w:r>
              <w:rPr>
                <w:rFonts w:ascii="宋体" w:eastAsia="宋体" w:hAnsi="宋体" w:cs="Times New Roman" w:hint="eastAsia"/>
                <w:sz w:val="24"/>
              </w:rPr>
              <w:t>增加。公司将持续加强现金流管理和库存优化，合理控制资金成本，确保经营稳健运行。</w:t>
            </w:r>
          </w:p>
          <w:p w14:paraId="25C22081" w14:textId="77777777" w:rsidR="00593A52" w:rsidRDefault="00000000">
            <w:pPr>
              <w:spacing w:after="0" w:line="420" w:lineRule="exact"/>
              <w:ind w:firstLineChars="200" w:firstLine="482"/>
              <w:contextualSpacing/>
              <w:rPr>
                <w:rFonts w:ascii="宋体" w:eastAsia="宋体" w:hAnsi="宋体" w:cs="Times New Roman" w:hint="eastAsia"/>
                <w:b/>
                <w:bCs/>
                <w:sz w:val="24"/>
              </w:rPr>
            </w:pPr>
            <w:r>
              <w:rPr>
                <w:rFonts w:ascii="宋体" w:eastAsia="宋体" w:hAnsi="宋体" w:cs="Times New Roman" w:hint="eastAsia"/>
                <w:b/>
                <w:bCs/>
                <w:sz w:val="24"/>
              </w:rPr>
              <w:t>问题2：贵金属新材料制造板块合金材料产量大幅增长的原因</w:t>
            </w:r>
          </w:p>
          <w:p w14:paraId="7EF48976" w14:textId="359A8D30" w:rsidR="00593A52" w:rsidRDefault="00000000" w:rsidP="001834A5">
            <w:pPr>
              <w:spacing w:after="0" w:line="420" w:lineRule="exact"/>
              <w:ind w:firstLineChars="200" w:firstLine="480"/>
              <w:contextualSpacing/>
              <w:jc w:val="both"/>
              <w:rPr>
                <w:rFonts w:ascii="宋体" w:eastAsia="宋体" w:hAnsi="宋体" w:cs="Times New Roman" w:hint="eastAsia"/>
                <w:sz w:val="24"/>
              </w:rPr>
            </w:pPr>
            <w:r>
              <w:rPr>
                <w:rFonts w:ascii="宋体" w:eastAsia="宋体" w:hAnsi="宋体" w:cs="Times New Roman" w:hint="eastAsia"/>
                <w:sz w:val="24"/>
              </w:rPr>
              <w:lastRenderedPageBreak/>
              <w:t>回答：</w:t>
            </w:r>
            <w:r>
              <w:rPr>
                <w:rFonts w:ascii="宋体" w:eastAsia="宋体" w:hAnsi="宋体" w:cs="Times New Roman"/>
                <w:sz w:val="24"/>
              </w:rPr>
              <w:t>公司贵金属新材料制造板块合金材料产量实现大幅增长，是</w:t>
            </w:r>
            <w:r w:rsidRPr="001834A5">
              <w:rPr>
                <w:rFonts w:ascii="宋体" w:eastAsia="宋体" w:hAnsi="宋体" w:cs="Times New Roman"/>
                <w:sz w:val="24"/>
              </w:rPr>
              <w:t>产能主动升级与下游需求</w:t>
            </w:r>
            <w:r w:rsidR="003C05BC" w:rsidRPr="001834A5">
              <w:rPr>
                <w:rFonts w:ascii="宋体" w:eastAsia="宋体" w:hAnsi="宋体" w:cs="Times New Roman" w:hint="eastAsia"/>
                <w:sz w:val="24"/>
              </w:rPr>
              <w:t>增长</w:t>
            </w:r>
            <w:r>
              <w:rPr>
                <w:rFonts w:ascii="宋体" w:eastAsia="宋体" w:hAnsi="宋体" w:cs="Times New Roman"/>
                <w:sz w:val="24"/>
              </w:rPr>
              <w:t>共同驱动的结果</w:t>
            </w:r>
            <w:r>
              <w:rPr>
                <w:rFonts w:ascii="宋体" w:eastAsia="宋体" w:hAnsi="宋体" w:cs="Times New Roman" w:hint="eastAsia"/>
                <w:sz w:val="24"/>
              </w:rPr>
              <w:t>。</w:t>
            </w:r>
          </w:p>
          <w:p w14:paraId="717889C8" w14:textId="77777777" w:rsidR="00593A52" w:rsidRDefault="00000000" w:rsidP="001834A5">
            <w:pPr>
              <w:spacing w:after="0" w:line="420" w:lineRule="exact"/>
              <w:ind w:firstLineChars="200" w:firstLine="482"/>
              <w:contextualSpacing/>
              <w:jc w:val="both"/>
              <w:rPr>
                <w:rFonts w:ascii="宋体" w:eastAsia="宋体" w:hAnsi="宋体" w:cs="Times New Roman" w:hint="eastAsia"/>
                <w:sz w:val="24"/>
              </w:rPr>
            </w:pPr>
            <w:r>
              <w:rPr>
                <w:rFonts w:ascii="宋体" w:eastAsia="宋体" w:hAnsi="宋体" w:cs="Times New Roman"/>
                <w:b/>
                <w:bCs/>
                <w:sz w:val="24"/>
              </w:rPr>
              <w:t>供给端：产线改造升级成效显著，产能与产品结构双提升</w:t>
            </w:r>
          </w:p>
          <w:p w14:paraId="2365C018" w14:textId="4E95AD41" w:rsidR="00593A52" w:rsidRDefault="00000000" w:rsidP="001834A5">
            <w:pPr>
              <w:spacing w:after="0" w:line="420" w:lineRule="exact"/>
              <w:ind w:firstLineChars="200" w:firstLine="480"/>
              <w:contextualSpacing/>
              <w:jc w:val="both"/>
              <w:rPr>
                <w:rFonts w:ascii="宋体" w:eastAsia="宋体" w:hAnsi="宋体" w:cs="Times New Roman" w:hint="eastAsia"/>
                <w:sz w:val="24"/>
              </w:rPr>
            </w:pPr>
            <w:r>
              <w:rPr>
                <w:rFonts w:ascii="宋体" w:eastAsia="宋体" w:hAnsi="宋体" w:cs="Times New Roman"/>
                <w:sz w:val="24"/>
              </w:rPr>
              <w:t>公司近期已完成并逐步投产多轮产线智能化改造与工艺优化项目</w:t>
            </w:r>
            <w:r>
              <w:rPr>
                <w:rFonts w:ascii="宋体" w:eastAsia="宋体" w:hAnsi="宋体" w:cs="Times New Roman" w:hint="eastAsia"/>
                <w:sz w:val="24"/>
              </w:rPr>
              <w:t>，</w:t>
            </w:r>
            <w:r>
              <w:rPr>
                <w:rFonts w:ascii="宋体" w:eastAsia="宋体" w:hAnsi="宋体" w:cs="Times New Roman"/>
                <w:sz w:val="24"/>
              </w:rPr>
              <w:t>提升了生产效率和整体产能规模，进一步拓展了高附加值特种合金材料的产品矩阵，</w:t>
            </w:r>
            <w:r>
              <w:rPr>
                <w:rFonts w:ascii="宋体" w:eastAsia="宋体" w:hAnsi="宋体" w:cs="Times New Roman" w:hint="eastAsia"/>
                <w:sz w:val="24"/>
              </w:rPr>
              <w:t>并</w:t>
            </w:r>
            <w:r>
              <w:rPr>
                <w:rFonts w:ascii="宋体" w:eastAsia="宋体" w:hAnsi="宋体" w:cs="Times New Roman"/>
                <w:sz w:val="24"/>
              </w:rPr>
              <w:t>能够同时满足下游客户对标准化产品的批量需求和高端产品的定制化需求。</w:t>
            </w:r>
          </w:p>
          <w:p w14:paraId="7CD6A645" w14:textId="3A231DBC" w:rsidR="00593A52" w:rsidRDefault="00000000" w:rsidP="001834A5">
            <w:pPr>
              <w:spacing w:after="0" w:line="420" w:lineRule="exact"/>
              <w:ind w:firstLineChars="200" w:firstLine="482"/>
              <w:contextualSpacing/>
              <w:jc w:val="both"/>
              <w:rPr>
                <w:rFonts w:ascii="宋体" w:eastAsia="宋体" w:hAnsi="宋体" w:cs="Times New Roman" w:hint="eastAsia"/>
                <w:b/>
                <w:bCs/>
                <w:sz w:val="24"/>
              </w:rPr>
            </w:pPr>
            <w:r>
              <w:rPr>
                <w:rFonts w:ascii="宋体" w:eastAsia="宋体" w:hAnsi="宋体" w:cs="Times New Roman" w:hint="eastAsia"/>
                <w:b/>
                <w:bCs/>
                <w:sz w:val="24"/>
              </w:rPr>
              <w:t>需求端：下游多领域景气度</w:t>
            </w:r>
            <w:r w:rsidR="003C05BC">
              <w:rPr>
                <w:rFonts w:ascii="宋体" w:eastAsia="宋体" w:hAnsi="宋体" w:cs="Times New Roman" w:hint="eastAsia"/>
                <w:b/>
                <w:bCs/>
                <w:sz w:val="24"/>
              </w:rPr>
              <w:t>提高</w:t>
            </w:r>
            <w:r>
              <w:rPr>
                <w:rFonts w:ascii="宋体" w:eastAsia="宋体" w:hAnsi="宋体" w:cs="Times New Roman" w:hint="eastAsia"/>
                <w:b/>
                <w:bCs/>
                <w:sz w:val="24"/>
              </w:rPr>
              <w:t>，核心产品需求旺盛</w:t>
            </w:r>
          </w:p>
          <w:p w14:paraId="4F1CDD05" w14:textId="39A56156" w:rsidR="00593A52" w:rsidRDefault="00000000" w:rsidP="001834A5">
            <w:pPr>
              <w:spacing w:after="0" w:line="420" w:lineRule="exact"/>
              <w:ind w:firstLineChars="200" w:firstLine="480"/>
              <w:contextualSpacing/>
              <w:jc w:val="both"/>
              <w:rPr>
                <w:rFonts w:ascii="宋体" w:eastAsia="宋体" w:hAnsi="宋体" w:cs="Times New Roman" w:hint="eastAsia"/>
                <w:sz w:val="24"/>
              </w:rPr>
            </w:pPr>
            <w:r>
              <w:rPr>
                <w:rFonts w:ascii="宋体" w:eastAsia="宋体" w:hAnsi="宋体" w:cs="Times New Roman" w:hint="eastAsia"/>
                <w:sz w:val="24"/>
              </w:rPr>
              <w:t>受益于国家大基建持续推进、新型电力系统建设加速、新能源汽车销量稳步增长以及储能产业</w:t>
            </w:r>
            <w:r w:rsidR="003C05BC">
              <w:rPr>
                <w:rFonts w:ascii="宋体" w:eastAsia="宋体" w:hAnsi="宋体" w:cs="Times New Roman" w:hint="eastAsia"/>
                <w:sz w:val="24"/>
              </w:rPr>
              <w:t>加速</w:t>
            </w:r>
            <w:r>
              <w:rPr>
                <w:rFonts w:ascii="宋体" w:eastAsia="宋体" w:hAnsi="宋体" w:cs="Times New Roman" w:hint="eastAsia"/>
                <w:sz w:val="24"/>
              </w:rPr>
              <w:t>发展等多重利好因素，公司合金材料产品对应的下游市场需求呈现快速增长态势。其中，特高压输电、电网智能化改造所需的高强高导导电合金，新能源汽车所需的精密电接触合金，以及储能系统所需的高可靠性焊接合金等多款核心产品</w:t>
            </w:r>
            <w:r w:rsidR="00E84678">
              <w:rPr>
                <w:rFonts w:ascii="宋体" w:eastAsia="宋体" w:hAnsi="宋体" w:cs="Times New Roman" w:hint="eastAsia"/>
                <w:color w:val="000000" w:themeColor="text1"/>
                <w:sz w:val="24"/>
              </w:rPr>
              <w:t>销量稳定</w:t>
            </w:r>
            <w:r w:rsidRPr="00720D00">
              <w:rPr>
                <w:rFonts w:ascii="宋体" w:eastAsia="宋体" w:hAnsi="宋体" w:cs="Times New Roman" w:hint="eastAsia"/>
                <w:color w:val="000000" w:themeColor="text1"/>
                <w:sz w:val="24"/>
              </w:rPr>
              <w:t>，产</w:t>
            </w:r>
            <w:r>
              <w:rPr>
                <w:rFonts w:ascii="宋体" w:eastAsia="宋体" w:hAnsi="宋体" w:cs="Times New Roman" w:hint="eastAsia"/>
                <w:sz w:val="24"/>
              </w:rPr>
              <w:t>能利用率</w:t>
            </w:r>
            <w:r w:rsidR="00BB56B7">
              <w:rPr>
                <w:rFonts w:ascii="宋体" w:eastAsia="宋体" w:hAnsi="宋体" w:cs="Times New Roman" w:hint="eastAsia"/>
                <w:sz w:val="24"/>
              </w:rPr>
              <w:t>保持在合理区间</w:t>
            </w:r>
            <w:r>
              <w:rPr>
                <w:rFonts w:ascii="宋体" w:eastAsia="宋体" w:hAnsi="宋体" w:cs="Times New Roman" w:hint="eastAsia"/>
                <w:sz w:val="24"/>
              </w:rPr>
              <w:t>，部分定制化特种合金产品</w:t>
            </w:r>
            <w:r w:rsidR="003C05BC">
              <w:rPr>
                <w:rFonts w:ascii="宋体" w:eastAsia="宋体" w:hAnsi="宋体" w:cs="Times New Roman" w:hint="eastAsia"/>
                <w:sz w:val="24"/>
              </w:rPr>
              <w:t>需求同比增幅较大</w:t>
            </w:r>
            <w:r>
              <w:rPr>
                <w:rFonts w:ascii="宋体" w:eastAsia="宋体" w:hAnsi="宋体" w:cs="Times New Roman" w:hint="eastAsia"/>
                <w:sz w:val="24"/>
              </w:rPr>
              <w:t>。</w:t>
            </w:r>
            <w:r w:rsidR="00E84678" w:rsidRPr="00E84678">
              <w:rPr>
                <w:rFonts w:ascii="宋体" w:eastAsia="宋体" w:hAnsi="宋体" w:cs="Times New Roman" w:hint="eastAsia"/>
                <w:sz w:val="24"/>
              </w:rPr>
              <w:t>受下游行业周期波动及客户订单节奏影响，产能利用率存在阶段性波动，不构成对未来业绩的承诺。</w:t>
            </w:r>
          </w:p>
          <w:p w14:paraId="11871A49" w14:textId="46C95E50" w:rsidR="00593A52" w:rsidRDefault="00000000" w:rsidP="001834A5">
            <w:pPr>
              <w:spacing w:after="0" w:line="420" w:lineRule="exact"/>
              <w:ind w:firstLineChars="200" w:firstLine="482"/>
              <w:contextualSpacing/>
              <w:jc w:val="both"/>
              <w:rPr>
                <w:rFonts w:ascii="宋体" w:eastAsia="宋体" w:hAnsi="宋体" w:cs="Times New Roman" w:hint="eastAsia"/>
                <w:b/>
                <w:bCs/>
                <w:sz w:val="24"/>
              </w:rPr>
            </w:pPr>
            <w:r>
              <w:rPr>
                <w:rFonts w:ascii="宋体" w:eastAsia="宋体" w:hAnsi="宋体" w:cs="Times New Roman" w:hint="eastAsia"/>
                <w:b/>
                <w:bCs/>
                <w:sz w:val="24"/>
              </w:rPr>
              <w:t>问题3：半导体材料、电子浆料行业未来发展趋势和规划？</w:t>
            </w:r>
          </w:p>
          <w:p w14:paraId="564FF855" w14:textId="255082BA" w:rsidR="009547FB" w:rsidRPr="009547FB" w:rsidRDefault="00000000" w:rsidP="00225081">
            <w:pPr>
              <w:spacing w:after="0" w:line="420" w:lineRule="exact"/>
              <w:ind w:firstLineChars="200" w:firstLine="480"/>
              <w:contextualSpacing/>
              <w:jc w:val="both"/>
              <w:rPr>
                <w:rFonts w:ascii="宋体" w:eastAsia="宋体" w:hAnsi="宋体" w:cs="Times New Roman" w:hint="eastAsia"/>
                <w:sz w:val="24"/>
              </w:rPr>
            </w:pPr>
            <w:r>
              <w:rPr>
                <w:rFonts w:ascii="宋体" w:eastAsia="宋体" w:hAnsi="宋体" w:cs="Times New Roman" w:hint="eastAsia"/>
                <w:sz w:val="24"/>
              </w:rPr>
              <w:t>回答：</w:t>
            </w:r>
            <w:r w:rsidR="0059609A" w:rsidRPr="0059609A">
              <w:rPr>
                <w:rFonts w:ascii="宋体" w:eastAsia="宋体" w:hAnsi="宋体" w:cs="Times New Roman"/>
                <w:sz w:val="24"/>
              </w:rPr>
              <w:t>公司半导体材料‘十五五’期间将围绕</w:t>
            </w:r>
            <w:r w:rsidR="009109FC">
              <w:rPr>
                <w:rFonts w:ascii="宋体" w:eastAsia="宋体" w:hAnsi="宋体" w:cs="Times New Roman" w:hint="eastAsia"/>
                <w:sz w:val="24"/>
              </w:rPr>
              <w:t>重点</w:t>
            </w:r>
            <w:r w:rsidR="0059609A" w:rsidRPr="0059609A">
              <w:rPr>
                <w:rFonts w:ascii="宋体" w:eastAsia="宋体" w:hAnsi="宋体" w:cs="Times New Roman"/>
                <w:sz w:val="24"/>
              </w:rPr>
              <w:t>应用领域开展材料研发与产业化布局。</w:t>
            </w:r>
            <w:r w:rsidR="009547FB" w:rsidRPr="009547FB">
              <w:rPr>
                <w:rFonts w:ascii="宋体" w:eastAsia="宋体" w:hAnsi="宋体" w:cs="Times New Roman" w:hint="eastAsia"/>
                <w:sz w:val="24"/>
              </w:rPr>
              <w:t>在技术层面，公司将在蒸发材料、溅射靶材、键合金丝等传统优势领域持续突破，推动产品向更高纯度、更高性能、更大尺寸升级；同时集中资源攻克多金属材料以及</w:t>
            </w:r>
            <w:r w:rsidR="004F6274">
              <w:rPr>
                <w:rFonts w:ascii="宋体" w:eastAsia="宋体" w:hAnsi="宋体" w:cs="Times New Roman" w:hint="eastAsia"/>
                <w:sz w:val="24"/>
              </w:rPr>
              <w:t>相关</w:t>
            </w:r>
            <w:r w:rsidR="009547FB" w:rsidRPr="009547FB">
              <w:rPr>
                <w:rFonts w:ascii="宋体" w:eastAsia="宋体" w:hAnsi="宋体" w:cs="Times New Roman" w:hint="eastAsia"/>
                <w:sz w:val="24"/>
              </w:rPr>
              <w:t>高端封装材料的核心技术。在产业层面，公司将依托贵研铂业完整的贵金属产业链优势，构建从原料提纯、材料制备到性能评价的一体化产业体系，提升供应链稳定性和成本竞争力；同时深化与</w:t>
            </w:r>
            <w:r w:rsidR="00EE482E">
              <w:rPr>
                <w:rFonts w:ascii="宋体" w:eastAsia="宋体" w:hAnsi="宋体" w:cs="Times New Roman" w:hint="eastAsia"/>
                <w:sz w:val="24"/>
              </w:rPr>
              <w:t>下游厂家合作</w:t>
            </w:r>
            <w:r w:rsidR="009547FB" w:rsidRPr="009547FB">
              <w:rPr>
                <w:rFonts w:ascii="宋体" w:eastAsia="宋体" w:hAnsi="宋体" w:cs="Times New Roman" w:hint="eastAsia"/>
                <w:sz w:val="24"/>
              </w:rPr>
              <w:t>，建立联合研发机制，实现产品与下游工艺的深度适配。</w:t>
            </w:r>
          </w:p>
          <w:p w14:paraId="31947F62" w14:textId="3D9C5FAE" w:rsidR="009547FB" w:rsidRDefault="009547FB" w:rsidP="00D53994">
            <w:pPr>
              <w:spacing w:after="0" w:line="420" w:lineRule="exact"/>
              <w:ind w:firstLineChars="200" w:firstLine="480"/>
              <w:contextualSpacing/>
              <w:jc w:val="both"/>
              <w:rPr>
                <w:rFonts w:ascii="宋体" w:eastAsia="宋体" w:hAnsi="宋体" w:cs="Times New Roman" w:hint="eastAsia"/>
                <w:sz w:val="24"/>
              </w:rPr>
            </w:pPr>
            <w:r w:rsidRPr="009547FB">
              <w:rPr>
                <w:rFonts w:ascii="宋体" w:eastAsia="宋体" w:hAnsi="宋体" w:cs="Times New Roman" w:hint="eastAsia"/>
                <w:sz w:val="24"/>
              </w:rPr>
              <w:t>电子浆料行业下游集成电路、光伏、新能源汽车等战略领域市场需求持续扩容，行业整体呈现高端化、国产化、智能化、绿色化发展趋势</w:t>
            </w:r>
            <w:r w:rsidR="00D53994">
              <w:rPr>
                <w:rFonts w:ascii="宋体" w:eastAsia="宋体" w:hAnsi="宋体" w:cs="Times New Roman" w:hint="eastAsia"/>
                <w:sz w:val="24"/>
              </w:rPr>
              <w:t>。</w:t>
            </w:r>
            <w:r w:rsidR="00D53994" w:rsidRPr="00D53994">
              <w:rPr>
                <w:rFonts w:ascii="宋体" w:eastAsia="宋体" w:hAnsi="宋体" w:cs="Times New Roman"/>
                <w:sz w:val="24"/>
              </w:rPr>
              <w:t>国内半导体、光伏等领域对关键材料的</w:t>
            </w:r>
            <w:r w:rsidR="009109FC">
              <w:rPr>
                <w:rFonts w:ascii="宋体" w:eastAsia="宋体" w:hAnsi="宋体" w:cs="Times New Roman" w:hint="eastAsia"/>
                <w:sz w:val="24"/>
              </w:rPr>
              <w:t>区域</w:t>
            </w:r>
            <w:r w:rsidR="0059609A">
              <w:rPr>
                <w:rFonts w:ascii="宋体" w:eastAsia="宋体" w:hAnsi="宋体" w:cs="Times New Roman" w:hint="eastAsia"/>
                <w:sz w:val="24"/>
              </w:rPr>
              <w:t>供应</w:t>
            </w:r>
            <w:r w:rsidR="00D53994" w:rsidRPr="00D53994">
              <w:rPr>
                <w:rFonts w:ascii="宋体" w:eastAsia="宋体" w:hAnsi="宋体" w:cs="Times New Roman"/>
                <w:sz w:val="24"/>
              </w:rPr>
              <w:t>需求持续提升</w:t>
            </w:r>
            <w:r w:rsidRPr="009547FB">
              <w:rPr>
                <w:rFonts w:ascii="宋体" w:eastAsia="宋体" w:hAnsi="宋体" w:cs="Times New Roman" w:hint="eastAsia"/>
                <w:sz w:val="24"/>
              </w:rPr>
              <w:t>，</w:t>
            </w:r>
            <w:r w:rsidR="00D53994" w:rsidRPr="00D53994">
              <w:rPr>
                <w:rFonts w:ascii="宋体" w:eastAsia="宋体" w:hAnsi="宋体" w:cs="Times New Roman"/>
                <w:sz w:val="24"/>
              </w:rPr>
              <w:t>对供应链稳定性、安全性的要求</w:t>
            </w:r>
            <w:r w:rsidRPr="009547FB">
              <w:rPr>
                <w:rFonts w:ascii="宋体" w:eastAsia="宋体" w:hAnsi="宋体" w:cs="Times New Roman" w:hint="eastAsia"/>
                <w:sz w:val="24"/>
              </w:rPr>
              <w:t>持续</w:t>
            </w:r>
            <w:r w:rsidR="00D53994">
              <w:rPr>
                <w:rFonts w:ascii="宋体" w:eastAsia="宋体" w:hAnsi="宋体" w:cs="Times New Roman" w:hint="eastAsia"/>
                <w:sz w:val="24"/>
              </w:rPr>
              <w:t>加强</w:t>
            </w:r>
            <w:r w:rsidRPr="009547FB">
              <w:rPr>
                <w:rFonts w:ascii="宋体" w:eastAsia="宋体" w:hAnsi="宋体" w:cs="Times New Roman" w:hint="eastAsia"/>
                <w:sz w:val="24"/>
              </w:rPr>
              <w:t>。公司以微电子用粉体、浆料研发生产为核心，“十五五”期间将聚焦核心技术攻关</w:t>
            </w:r>
            <w:r w:rsidR="001834A5">
              <w:rPr>
                <w:rFonts w:ascii="宋体" w:eastAsia="宋体" w:hAnsi="宋体" w:cs="Times New Roman" w:hint="eastAsia"/>
                <w:sz w:val="24"/>
              </w:rPr>
              <w:t>、</w:t>
            </w:r>
            <w:r w:rsidRPr="009547FB">
              <w:rPr>
                <w:rFonts w:ascii="宋体" w:eastAsia="宋体" w:hAnsi="宋体" w:cs="Times New Roman" w:hint="eastAsia"/>
                <w:sz w:val="24"/>
              </w:rPr>
              <w:t>成果转化</w:t>
            </w:r>
            <w:r w:rsidR="001834A5">
              <w:rPr>
                <w:rFonts w:ascii="宋体" w:eastAsia="宋体" w:hAnsi="宋体" w:cs="Times New Roman" w:hint="eastAsia"/>
                <w:sz w:val="24"/>
              </w:rPr>
              <w:t>及</w:t>
            </w:r>
            <w:r w:rsidRPr="009547FB">
              <w:rPr>
                <w:rFonts w:ascii="宋体" w:eastAsia="宋体" w:hAnsi="宋体" w:cs="Times New Roman" w:hint="eastAsia"/>
                <w:sz w:val="24"/>
              </w:rPr>
              <w:t>产业化项目建设，完善国内研发布局、拓展海内外客户，深化数智化改造与精益管理，实现高质量可持续发展。</w:t>
            </w:r>
            <w:bookmarkStart w:id="1" w:name="OLE_LINK3"/>
            <w:bookmarkStart w:id="2" w:name="OLE_LINK2"/>
          </w:p>
          <w:p w14:paraId="00986EB3" w14:textId="58E70415" w:rsidR="00593A52" w:rsidRDefault="00000000" w:rsidP="001834A5">
            <w:pPr>
              <w:spacing w:after="0" w:line="420" w:lineRule="exact"/>
              <w:ind w:firstLineChars="200" w:firstLine="482"/>
              <w:contextualSpacing/>
              <w:jc w:val="both"/>
              <w:rPr>
                <w:rFonts w:ascii="宋体" w:eastAsia="宋体" w:hAnsi="宋体" w:cs="Times New Roman" w:hint="eastAsia"/>
                <w:b/>
                <w:bCs/>
                <w:sz w:val="24"/>
              </w:rPr>
            </w:pPr>
            <w:r>
              <w:rPr>
                <w:rFonts w:ascii="宋体" w:eastAsia="宋体" w:hAnsi="宋体" w:cs="Times New Roman" w:hint="eastAsia"/>
                <w:b/>
                <w:bCs/>
                <w:sz w:val="24"/>
              </w:rPr>
              <w:t>问题4：公司在半导体键合丝、溅射靶材等高端领域的新增订单和供货情况如何?</w:t>
            </w:r>
          </w:p>
          <w:p w14:paraId="0F5A6786" w14:textId="7D5448B3" w:rsidR="00593A52" w:rsidRDefault="00000000">
            <w:pPr>
              <w:spacing w:after="0" w:line="360" w:lineRule="auto"/>
              <w:ind w:firstLineChars="200" w:firstLine="480"/>
              <w:jc w:val="both"/>
              <w:rPr>
                <w:rFonts w:ascii="宋体" w:eastAsia="宋体" w:hAnsi="宋体" w:cs="Times New Roman" w:hint="eastAsia"/>
                <w:sz w:val="24"/>
              </w:rPr>
            </w:pPr>
            <w:r>
              <w:rPr>
                <w:rFonts w:ascii="宋体" w:eastAsia="宋体" w:hAnsi="宋体" w:cs="Times New Roman" w:hint="eastAsia"/>
                <w:sz w:val="24"/>
              </w:rPr>
              <w:t>回答：</w:t>
            </w:r>
            <w:r w:rsidR="009547FB" w:rsidRPr="009547FB">
              <w:rPr>
                <w:rFonts w:ascii="宋体" w:eastAsia="宋体" w:hAnsi="宋体" w:cs="Times New Roman"/>
                <w:sz w:val="24"/>
              </w:rPr>
              <w:t>公司半导体键合丝、溅射靶材业务近年订单及供货整体稳健。键合丝方面，公司金丝、银合金丝等产品与国内多家企业建立稳定合作，供货稳定</w:t>
            </w:r>
            <w:r w:rsidR="009547FB" w:rsidRPr="009547FB">
              <w:rPr>
                <w:rFonts w:ascii="宋体" w:eastAsia="宋体" w:hAnsi="宋体" w:cs="Times New Roman"/>
                <w:sz w:val="24"/>
              </w:rPr>
              <w:lastRenderedPageBreak/>
              <w:t>性获客户认可。溅射靶材方面，公司聚焦半导体芯片制造用贵金属靶材，产品纯度、致密度、晶粒结构等核心指标</w:t>
            </w:r>
            <w:r w:rsidR="00EE482E">
              <w:rPr>
                <w:rFonts w:ascii="宋体" w:eastAsia="宋体" w:hAnsi="宋体" w:cs="Times New Roman" w:hint="eastAsia"/>
                <w:sz w:val="24"/>
              </w:rPr>
              <w:t>不断提高</w:t>
            </w:r>
            <w:r w:rsidR="009547FB" w:rsidRPr="009547FB">
              <w:rPr>
                <w:rFonts w:ascii="宋体" w:eastAsia="宋体" w:hAnsi="宋体" w:cs="Times New Roman"/>
                <w:sz w:val="24"/>
              </w:rPr>
              <w:t>，部分产品已通过国内</w:t>
            </w:r>
            <w:r w:rsidR="00EE482E">
              <w:rPr>
                <w:rFonts w:ascii="宋体" w:eastAsia="宋体" w:hAnsi="宋体" w:cs="Times New Roman" w:hint="eastAsia"/>
                <w:sz w:val="24"/>
              </w:rPr>
              <w:t>相关</w:t>
            </w:r>
            <w:r w:rsidR="009547FB" w:rsidRPr="009547FB">
              <w:rPr>
                <w:rFonts w:ascii="宋体" w:eastAsia="宋体" w:hAnsi="宋体" w:cs="Times New Roman"/>
                <w:sz w:val="24"/>
              </w:rPr>
              <w:t>企业验证并实现小批量供货。随着国内半导体产业发展及国产替代加速，公司正推进更多客户的合作开发与产品认证。公司将持续加大高端领域研发与市场投入，提升产品竞争力，推动业务持续增长。</w:t>
            </w:r>
            <w:bookmarkEnd w:id="1"/>
            <w:bookmarkEnd w:id="2"/>
            <w:r w:rsidR="0008673A" w:rsidRPr="0008673A">
              <w:rPr>
                <w:rFonts w:ascii="宋体" w:eastAsia="宋体" w:hAnsi="宋体" w:cs="Times New Roman" w:hint="eastAsia"/>
                <w:sz w:val="24"/>
              </w:rPr>
              <w:t>相关业务当前收入占比较小，未来进展取决于客户验证节奏</w:t>
            </w:r>
            <w:r w:rsidR="0008673A">
              <w:rPr>
                <w:rFonts w:ascii="宋体" w:eastAsia="宋体" w:hAnsi="宋体" w:cs="Times New Roman" w:hint="eastAsia"/>
                <w:sz w:val="24"/>
              </w:rPr>
              <w:t>及市场环境等因素</w:t>
            </w:r>
            <w:r w:rsidR="0008673A" w:rsidRPr="0008673A">
              <w:rPr>
                <w:rFonts w:ascii="宋体" w:eastAsia="宋体" w:hAnsi="宋体" w:cs="Times New Roman" w:hint="eastAsia"/>
                <w:sz w:val="24"/>
              </w:rPr>
              <w:t>，存在不确定性。</w:t>
            </w:r>
          </w:p>
          <w:p w14:paraId="1A423CF9" w14:textId="22ED32CE" w:rsidR="00593A52" w:rsidRDefault="00000000">
            <w:pPr>
              <w:spacing w:after="0" w:line="420" w:lineRule="exact"/>
              <w:ind w:firstLineChars="200" w:firstLine="482"/>
              <w:contextualSpacing/>
              <w:rPr>
                <w:rFonts w:ascii="宋体" w:eastAsia="宋体" w:hAnsi="宋体" w:cs="Times New Roman" w:hint="eastAsia"/>
                <w:b/>
                <w:bCs/>
                <w:sz w:val="24"/>
              </w:rPr>
            </w:pPr>
            <w:r>
              <w:rPr>
                <w:rFonts w:ascii="宋体" w:eastAsia="宋体" w:hAnsi="宋体" w:cs="Times New Roman" w:hint="eastAsia"/>
                <w:b/>
                <w:bCs/>
                <w:sz w:val="24"/>
              </w:rPr>
              <w:t>问题</w:t>
            </w:r>
            <w:r w:rsidR="00941E59">
              <w:rPr>
                <w:rFonts w:ascii="宋体" w:eastAsia="宋体" w:hAnsi="宋体" w:cs="Times New Roman" w:hint="eastAsia"/>
                <w:b/>
                <w:bCs/>
                <w:sz w:val="24"/>
              </w:rPr>
              <w:t>5</w:t>
            </w:r>
            <w:r>
              <w:rPr>
                <w:rFonts w:ascii="宋体" w:eastAsia="宋体" w:hAnsi="宋体" w:cs="Times New Roman" w:hint="eastAsia"/>
                <w:b/>
                <w:bCs/>
                <w:sz w:val="24"/>
              </w:rPr>
              <w:t>：机动车尾气催化收入同比下降的原因和未来行业趋势是什么样?</w:t>
            </w:r>
          </w:p>
          <w:p w14:paraId="19BCFDDD" w14:textId="6CF812BE" w:rsidR="00720D00" w:rsidRPr="00720D00" w:rsidRDefault="00000000" w:rsidP="00720D00">
            <w:pPr>
              <w:spacing w:after="0" w:line="360" w:lineRule="auto"/>
              <w:ind w:firstLineChars="200" w:firstLine="480"/>
              <w:jc w:val="both"/>
              <w:rPr>
                <w:rFonts w:ascii="宋体" w:eastAsia="宋体" w:hAnsi="宋体" w:cs="Times New Roman" w:hint="eastAsia"/>
                <w:sz w:val="24"/>
              </w:rPr>
            </w:pPr>
            <w:r>
              <w:rPr>
                <w:rFonts w:ascii="宋体" w:eastAsia="宋体" w:hAnsi="宋体" w:cs="Times New Roman" w:hint="eastAsia"/>
                <w:sz w:val="24"/>
              </w:rPr>
              <w:t>回答：</w:t>
            </w:r>
            <w:r w:rsidR="00720D00" w:rsidRPr="00720D00">
              <w:rPr>
                <w:rFonts w:ascii="宋体" w:eastAsia="宋体" w:hAnsi="宋体" w:cs="Times New Roman" w:hint="eastAsia"/>
                <w:sz w:val="24"/>
              </w:rPr>
              <w:t>2025年从</w:t>
            </w:r>
            <w:r w:rsidR="00E255E1" w:rsidRPr="00E255E1">
              <w:rPr>
                <w:rFonts w:ascii="宋体" w:eastAsia="宋体" w:hAnsi="宋体" w:cs="Times New Roman"/>
                <w:sz w:val="24"/>
              </w:rPr>
              <w:t>中国汽车工业协会</w:t>
            </w:r>
            <w:r w:rsidR="00720D00" w:rsidRPr="00720D00">
              <w:rPr>
                <w:rFonts w:ascii="宋体" w:eastAsia="宋体" w:hAnsi="宋体" w:cs="Times New Roman" w:hint="eastAsia"/>
                <w:sz w:val="24"/>
              </w:rPr>
              <w:t>数据来看，全年汽车大盘保持稳健增长，</w:t>
            </w:r>
            <w:r w:rsidR="00E255E1">
              <w:rPr>
                <w:rFonts w:ascii="宋体" w:eastAsia="宋体" w:hAnsi="宋体" w:cs="Times New Roman" w:hint="eastAsia"/>
                <w:sz w:val="24"/>
              </w:rPr>
              <w:t>全年</w:t>
            </w:r>
            <w:r w:rsidR="00720D00" w:rsidRPr="00720D00">
              <w:rPr>
                <w:rFonts w:ascii="宋体" w:eastAsia="宋体" w:hAnsi="宋体" w:cs="Times New Roman" w:hint="eastAsia"/>
                <w:sz w:val="24"/>
              </w:rPr>
              <w:t>汽车产销同比增速</w:t>
            </w:r>
            <w:r w:rsidR="00E255E1">
              <w:rPr>
                <w:rFonts w:ascii="宋体" w:eastAsia="宋体" w:hAnsi="宋体" w:cs="Times New Roman" w:hint="eastAsia"/>
                <w:sz w:val="24"/>
              </w:rPr>
              <w:t>9.4%</w:t>
            </w:r>
            <w:r w:rsidR="00720D00" w:rsidRPr="00720D00">
              <w:rPr>
                <w:rFonts w:ascii="宋体" w:eastAsia="宋体" w:hAnsi="宋体" w:cs="Times New Roman" w:hint="eastAsia"/>
                <w:sz w:val="24"/>
              </w:rPr>
              <w:t>，柴油机市场也实现了5.6%的恢复性增长，但行业内部的结构性分化远超市场预期。核心变化在于，新能源汽车销量同比增速超</w:t>
            </w:r>
            <w:r w:rsidR="00E255E1">
              <w:rPr>
                <w:rFonts w:ascii="宋体" w:eastAsia="宋体" w:hAnsi="宋体" w:cs="Times New Roman" w:hint="eastAsia"/>
                <w:sz w:val="24"/>
              </w:rPr>
              <w:t>28.2</w:t>
            </w:r>
            <w:r w:rsidR="00720D00" w:rsidRPr="00720D00">
              <w:rPr>
                <w:rFonts w:ascii="宋体" w:eastAsia="宋体" w:hAnsi="宋体" w:cs="Times New Roman" w:hint="eastAsia"/>
                <w:sz w:val="24"/>
              </w:rPr>
              <w:t>%，其中插电混动、增程式车型销量接近500万辆。</w:t>
            </w:r>
          </w:p>
          <w:p w14:paraId="0263D4EA" w14:textId="002989C3" w:rsidR="00720D00" w:rsidRPr="00720D00" w:rsidRDefault="00720D00" w:rsidP="00720D00">
            <w:pPr>
              <w:spacing w:after="0" w:line="360" w:lineRule="auto"/>
              <w:ind w:firstLineChars="200" w:firstLine="480"/>
              <w:jc w:val="both"/>
              <w:rPr>
                <w:rFonts w:ascii="宋体" w:eastAsia="宋体" w:hAnsi="宋体" w:cs="Times New Roman" w:hint="eastAsia"/>
                <w:sz w:val="24"/>
              </w:rPr>
            </w:pPr>
            <w:r w:rsidRPr="00720D00">
              <w:rPr>
                <w:rFonts w:ascii="宋体" w:eastAsia="宋体" w:hAnsi="宋体" w:cs="Times New Roman" w:hint="eastAsia"/>
                <w:sz w:val="24"/>
              </w:rPr>
              <w:t>面对行业变革，公司始终坚持主动布局、积极应对。一方面，我们公司快速迭代混动车型专用的低贵金属用量、高转化效率催化剂产品，已与多家主流车企完成配套认证并逐步实现批量供货；另一方面，公司持续深化贵金属全生命周期管理，通过套期保值、贵金属循环回收利用两大体系，最大限度对冲原材料价格波动风险；同时，也在积极拓展海外市场。</w:t>
            </w:r>
          </w:p>
          <w:p w14:paraId="6772FCD0" w14:textId="77777777" w:rsidR="00593A52" w:rsidRDefault="00720D00" w:rsidP="009412A9">
            <w:pPr>
              <w:spacing w:after="0" w:line="360" w:lineRule="auto"/>
              <w:ind w:firstLineChars="200" w:firstLine="480"/>
              <w:jc w:val="both"/>
              <w:rPr>
                <w:rFonts w:ascii="宋体" w:eastAsia="宋体" w:hAnsi="宋体" w:cs="Times New Roman" w:hint="eastAsia"/>
                <w:sz w:val="24"/>
              </w:rPr>
            </w:pPr>
            <w:r w:rsidRPr="00720D00">
              <w:rPr>
                <w:rFonts w:ascii="宋体" w:eastAsia="宋体" w:hAnsi="宋体" w:cs="Times New Roman" w:hint="eastAsia"/>
                <w:sz w:val="24"/>
              </w:rPr>
              <w:t>长期来看，汽车尾气处理催化剂的刚性合规需求依然存在，无论是混动车型、传统燃油车还是商用车，均需匹配符合国家排放法规的催化剂产品，行业的核心竞争逻辑已从单纯的规模竞争，转向技术迭代、成本管控、全产业链布局的综合竞争。公司作为国内汽车催化剂行业的核心企业，有充足的技术储备和产业积淀应对行业变革</w:t>
            </w:r>
            <w:r>
              <w:rPr>
                <w:rFonts w:ascii="宋体" w:eastAsia="宋体" w:hAnsi="宋体" w:cs="Times New Roman"/>
                <w:sz w:val="24"/>
              </w:rPr>
              <w:t>。</w:t>
            </w:r>
          </w:p>
          <w:p w14:paraId="6B6C19B4" w14:textId="0E89F819" w:rsidR="00F76064" w:rsidRDefault="00C14EB9" w:rsidP="009412A9">
            <w:pPr>
              <w:spacing w:after="0" w:line="360" w:lineRule="auto"/>
              <w:ind w:firstLineChars="200" w:firstLine="480"/>
              <w:jc w:val="both"/>
              <w:rPr>
                <w:rFonts w:ascii="宋体" w:eastAsia="宋体" w:hAnsi="宋体" w:cs="Times New Roman" w:hint="eastAsia"/>
                <w:sz w:val="24"/>
              </w:rPr>
            </w:pPr>
            <w:r w:rsidRPr="00C14EB9">
              <w:rPr>
                <w:rFonts w:ascii="宋体" w:eastAsia="宋体" w:hAnsi="宋体" w:cs="Times New Roman" w:hint="eastAsia"/>
                <w:sz w:val="24"/>
              </w:rPr>
              <w:t>本次交流内容仅为公司当前业务进展的客观说明，不构成任何投资建议</w:t>
            </w:r>
            <w:r>
              <w:rPr>
                <w:rFonts w:ascii="宋体" w:eastAsia="宋体" w:hAnsi="宋体" w:cs="Times New Roman" w:hint="eastAsia"/>
                <w:sz w:val="24"/>
              </w:rPr>
              <w:t>，亦</w:t>
            </w:r>
            <w:r w:rsidR="00F76064" w:rsidRPr="00F76064">
              <w:rPr>
                <w:rFonts w:ascii="宋体" w:eastAsia="宋体" w:hAnsi="宋体" w:cs="Times New Roman" w:hint="eastAsia"/>
                <w:sz w:val="24"/>
              </w:rPr>
              <w:t>不构成公司对未来业绩的承诺，相关业务的进展受宏观经济、行业周期、客户需求等因素影响，存在不确定性。</w:t>
            </w:r>
          </w:p>
        </w:tc>
      </w:tr>
      <w:tr w:rsidR="00593A52" w14:paraId="798BCB95" w14:textId="77777777" w:rsidTr="00216EB3">
        <w:trPr>
          <w:trHeight w:val="551"/>
          <w:jc w:val="center"/>
        </w:trPr>
        <w:tc>
          <w:tcPr>
            <w:tcW w:w="7949" w:type="dxa"/>
            <w:gridSpan w:val="3"/>
          </w:tcPr>
          <w:p w14:paraId="33054536" w14:textId="77777777" w:rsidR="00593A52" w:rsidRDefault="00000000">
            <w:pPr>
              <w:spacing w:after="0" w:line="360" w:lineRule="auto"/>
              <w:rPr>
                <w:rFonts w:ascii="宋体" w:eastAsia="宋体" w:hAnsi="宋体" w:hint="eastAsia"/>
                <w:sz w:val="24"/>
              </w:rPr>
            </w:pPr>
            <w:r>
              <w:rPr>
                <w:rFonts w:ascii="宋体" w:eastAsia="宋体" w:hAnsi="宋体"/>
                <w:sz w:val="24"/>
              </w:rPr>
              <w:lastRenderedPageBreak/>
              <w:t>关于本次活动是否涉及应披露重大信息的说明</w:t>
            </w:r>
          </w:p>
        </w:tc>
        <w:tc>
          <w:tcPr>
            <w:tcW w:w="1685" w:type="dxa"/>
            <w:vAlign w:val="center"/>
          </w:tcPr>
          <w:p w14:paraId="6C3CF4E4" w14:textId="77777777" w:rsidR="00593A52" w:rsidRDefault="00000000">
            <w:pPr>
              <w:spacing w:after="0" w:line="240" w:lineRule="auto"/>
              <w:jc w:val="center"/>
              <w:rPr>
                <w:rFonts w:ascii="宋体" w:eastAsia="宋体" w:hAnsi="宋体" w:hint="eastAsia"/>
                <w:sz w:val="24"/>
              </w:rPr>
            </w:pPr>
            <w:r>
              <w:rPr>
                <w:rFonts w:ascii="宋体" w:eastAsia="宋体" w:hAnsi="宋体" w:hint="eastAsia"/>
                <w:sz w:val="24"/>
              </w:rPr>
              <w:t>否</w:t>
            </w:r>
          </w:p>
        </w:tc>
      </w:tr>
      <w:tr w:rsidR="00593A52" w14:paraId="49D16731" w14:textId="77777777" w:rsidTr="00216EB3">
        <w:trPr>
          <w:trHeight w:val="564"/>
          <w:jc w:val="center"/>
        </w:trPr>
        <w:tc>
          <w:tcPr>
            <w:tcW w:w="7949" w:type="dxa"/>
            <w:gridSpan w:val="3"/>
            <w:vAlign w:val="center"/>
          </w:tcPr>
          <w:p w14:paraId="030DFD9B" w14:textId="77777777" w:rsidR="00593A52" w:rsidRDefault="00000000">
            <w:pPr>
              <w:spacing w:after="0" w:line="360" w:lineRule="auto"/>
              <w:jc w:val="both"/>
              <w:rPr>
                <w:rFonts w:ascii="宋体" w:eastAsia="宋体" w:hAnsi="宋体" w:hint="eastAsia"/>
                <w:sz w:val="24"/>
              </w:rPr>
            </w:pPr>
            <w:r>
              <w:rPr>
                <w:rFonts w:ascii="宋体" w:eastAsia="宋体" w:hAnsi="宋体" w:hint="eastAsia"/>
                <w:sz w:val="24"/>
              </w:rPr>
              <w:t>活动过程中所使用的演示文稿、提供的文档等附件(如有，可作为附件)</w:t>
            </w:r>
          </w:p>
        </w:tc>
        <w:tc>
          <w:tcPr>
            <w:tcW w:w="1685" w:type="dxa"/>
            <w:vAlign w:val="center"/>
          </w:tcPr>
          <w:p w14:paraId="4AC6DB21" w14:textId="77777777" w:rsidR="00593A52" w:rsidRDefault="00000000">
            <w:pPr>
              <w:spacing w:after="0" w:line="240" w:lineRule="auto"/>
              <w:jc w:val="center"/>
              <w:rPr>
                <w:rFonts w:ascii="宋体" w:eastAsia="宋体" w:hAnsi="宋体" w:hint="eastAsia"/>
                <w:sz w:val="24"/>
              </w:rPr>
            </w:pPr>
            <w:r>
              <w:rPr>
                <w:rFonts w:ascii="宋体" w:eastAsia="宋体" w:hAnsi="宋体" w:hint="eastAsia"/>
                <w:sz w:val="24"/>
              </w:rPr>
              <w:t>无</w:t>
            </w:r>
          </w:p>
        </w:tc>
      </w:tr>
      <w:tr w:rsidR="00593A52" w14:paraId="01964FA3" w14:textId="77777777" w:rsidTr="00216EB3">
        <w:trPr>
          <w:trHeight w:val="551"/>
          <w:jc w:val="center"/>
        </w:trPr>
        <w:tc>
          <w:tcPr>
            <w:tcW w:w="6337" w:type="dxa"/>
            <w:gridSpan w:val="2"/>
            <w:vAlign w:val="center"/>
          </w:tcPr>
          <w:p w14:paraId="0170AA5B" w14:textId="77777777" w:rsidR="00593A52" w:rsidRDefault="00000000">
            <w:pPr>
              <w:spacing w:after="0" w:line="360" w:lineRule="auto"/>
              <w:jc w:val="center"/>
              <w:rPr>
                <w:rFonts w:ascii="宋体" w:eastAsia="宋体" w:hAnsi="宋体" w:hint="eastAsia"/>
                <w:sz w:val="24"/>
              </w:rPr>
            </w:pPr>
            <w:r>
              <w:rPr>
                <w:rFonts w:ascii="宋体" w:eastAsia="宋体" w:hAnsi="宋体" w:hint="eastAsia"/>
                <w:sz w:val="24"/>
              </w:rPr>
              <w:t>日期</w:t>
            </w:r>
          </w:p>
        </w:tc>
        <w:tc>
          <w:tcPr>
            <w:tcW w:w="3297" w:type="dxa"/>
            <w:gridSpan w:val="2"/>
            <w:vAlign w:val="center"/>
          </w:tcPr>
          <w:p w14:paraId="5A441995" w14:textId="58DEB1C8" w:rsidR="00593A52" w:rsidRDefault="009760D7">
            <w:pPr>
              <w:spacing w:after="0" w:line="240" w:lineRule="auto"/>
              <w:jc w:val="center"/>
              <w:rPr>
                <w:rFonts w:ascii="宋体" w:eastAsia="宋体" w:hAnsi="宋体" w:hint="eastAsia"/>
                <w:sz w:val="24"/>
              </w:rPr>
            </w:pPr>
            <w:r>
              <w:rPr>
                <w:rFonts w:ascii="宋体" w:eastAsia="宋体" w:hAnsi="宋体" w:hint="eastAsia"/>
                <w:sz w:val="24"/>
              </w:rPr>
              <w:t>2026年5月2</w:t>
            </w:r>
            <w:r w:rsidR="00353EB5">
              <w:rPr>
                <w:rFonts w:ascii="宋体" w:eastAsia="宋体" w:hAnsi="宋体" w:hint="eastAsia"/>
                <w:sz w:val="24"/>
              </w:rPr>
              <w:t>9</w:t>
            </w:r>
            <w:r>
              <w:rPr>
                <w:rFonts w:ascii="宋体" w:eastAsia="宋体" w:hAnsi="宋体" w:hint="eastAsia"/>
                <w:sz w:val="24"/>
              </w:rPr>
              <w:t>日</w:t>
            </w:r>
          </w:p>
        </w:tc>
      </w:tr>
    </w:tbl>
    <w:p w14:paraId="217BED55" w14:textId="77777777" w:rsidR="00593A52" w:rsidRDefault="00593A52"/>
    <w:sectPr w:rsidR="00593A52">
      <w:headerReference w:type="even" r:id="rId6"/>
      <w:footerReference w:type="even" r:id="rId7"/>
      <w:footerReference w:type="default" r:id="rId8"/>
      <w:headerReference w:type="first" r:id="rId9"/>
      <w:footerReference w:type="first" r:id="rId10"/>
      <w:pgSz w:w="11906" w:h="16838"/>
      <w:pgMar w:top="1143"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582E" w14:textId="77777777" w:rsidR="00287094" w:rsidRDefault="00287094">
      <w:pPr>
        <w:spacing w:line="240" w:lineRule="auto"/>
      </w:pPr>
      <w:r>
        <w:separator/>
      </w:r>
    </w:p>
  </w:endnote>
  <w:endnote w:type="continuationSeparator" w:id="0">
    <w:p w14:paraId="327DEAB1" w14:textId="77777777" w:rsidR="00287094" w:rsidRDefault="00287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AE68" w14:textId="77777777" w:rsidR="00593A52" w:rsidRDefault="00000000">
    <w:pPr>
      <w:pStyle w:val="a4"/>
    </w:pP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129382"/>
    </w:sdtPr>
    <w:sdtContent>
      <w:p w14:paraId="77C8BAC1" w14:textId="77777777" w:rsidR="00593A52" w:rsidRDefault="00000000">
        <w:pPr>
          <w:pStyle w:val="a4"/>
          <w:jc w:val="center"/>
        </w:pPr>
        <w:r>
          <w:fldChar w:fldCharType="begin"/>
        </w:r>
        <w:r>
          <w:instrText>PAGE   \* MERGEFORMAT</w:instrText>
        </w:r>
        <w:r>
          <w:fldChar w:fldCharType="separate"/>
        </w:r>
        <w:r>
          <w:rPr>
            <w:lang w:val="zh-CN"/>
          </w:rPr>
          <w:t>5</w:t>
        </w:r>
        <w:r>
          <w:fldChar w:fldCharType="end"/>
        </w:r>
      </w:p>
    </w:sdtContent>
  </w:sdt>
  <w:p w14:paraId="6AB17E50" w14:textId="77777777" w:rsidR="00593A52" w:rsidRDefault="00593A5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561B" w14:textId="77777777" w:rsidR="00593A52" w:rsidRDefault="00000000">
    <w:pPr>
      <w:pStyle w:val="a4"/>
    </w:pP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5952" w14:textId="77777777" w:rsidR="00287094" w:rsidRDefault="00287094">
      <w:pPr>
        <w:spacing w:after="0"/>
      </w:pPr>
      <w:r>
        <w:separator/>
      </w:r>
    </w:p>
  </w:footnote>
  <w:footnote w:type="continuationSeparator" w:id="0">
    <w:p w14:paraId="5419372A" w14:textId="77777777" w:rsidR="00287094" w:rsidRDefault="002870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20B5" w14:textId="77777777" w:rsidR="00593A52" w:rsidRDefault="00000000">
    <w:pPr>
      <w:pStyle w:val="a5"/>
    </w:pP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6757" w14:textId="77777777" w:rsidR="00593A52" w:rsidRDefault="00000000">
    <w:pPr>
      <w:pStyle w:val="a5"/>
    </w:pP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6F55BF"/>
    <w:rsid w:val="00017CAB"/>
    <w:rsid w:val="00043BF7"/>
    <w:rsid w:val="000545B6"/>
    <w:rsid w:val="000663B1"/>
    <w:rsid w:val="00070CD7"/>
    <w:rsid w:val="000751B4"/>
    <w:rsid w:val="0008673A"/>
    <w:rsid w:val="000B35F2"/>
    <w:rsid w:val="000C350D"/>
    <w:rsid w:val="00116D7C"/>
    <w:rsid w:val="001834A5"/>
    <w:rsid w:val="00185045"/>
    <w:rsid w:val="00191530"/>
    <w:rsid w:val="001A2FD1"/>
    <w:rsid w:val="00216EB3"/>
    <w:rsid w:val="00225081"/>
    <w:rsid w:val="00270E0F"/>
    <w:rsid w:val="00283A91"/>
    <w:rsid w:val="00287094"/>
    <w:rsid w:val="002F6AFA"/>
    <w:rsid w:val="00316F4D"/>
    <w:rsid w:val="00353EB5"/>
    <w:rsid w:val="003C05BC"/>
    <w:rsid w:val="003C3187"/>
    <w:rsid w:val="003C4F0A"/>
    <w:rsid w:val="00404C15"/>
    <w:rsid w:val="004055EA"/>
    <w:rsid w:val="0041458B"/>
    <w:rsid w:val="00417EF8"/>
    <w:rsid w:val="0042778A"/>
    <w:rsid w:val="004F6274"/>
    <w:rsid w:val="005231D0"/>
    <w:rsid w:val="0053322E"/>
    <w:rsid w:val="00585A0B"/>
    <w:rsid w:val="00593A52"/>
    <w:rsid w:val="0059609A"/>
    <w:rsid w:val="005F02CC"/>
    <w:rsid w:val="006637B8"/>
    <w:rsid w:val="006650E8"/>
    <w:rsid w:val="00674669"/>
    <w:rsid w:val="00694A8D"/>
    <w:rsid w:val="006A7E0E"/>
    <w:rsid w:val="00720D00"/>
    <w:rsid w:val="00737A7A"/>
    <w:rsid w:val="00751C54"/>
    <w:rsid w:val="00752D5B"/>
    <w:rsid w:val="00765B4C"/>
    <w:rsid w:val="00791CB0"/>
    <w:rsid w:val="00796B09"/>
    <w:rsid w:val="007F2191"/>
    <w:rsid w:val="0080203D"/>
    <w:rsid w:val="0083595A"/>
    <w:rsid w:val="008B0D5C"/>
    <w:rsid w:val="008C1BD3"/>
    <w:rsid w:val="008E252A"/>
    <w:rsid w:val="008F704D"/>
    <w:rsid w:val="009031F1"/>
    <w:rsid w:val="009109FC"/>
    <w:rsid w:val="009151DE"/>
    <w:rsid w:val="009412A9"/>
    <w:rsid w:val="00941E59"/>
    <w:rsid w:val="0095232C"/>
    <w:rsid w:val="009547FB"/>
    <w:rsid w:val="00974279"/>
    <w:rsid w:val="009760D7"/>
    <w:rsid w:val="00990CB4"/>
    <w:rsid w:val="00A50575"/>
    <w:rsid w:val="00A50999"/>
    <w:rsid w:val="00A6027D"/>
    <w:rsid w:val="00A80E13"/>
    <w:rsid w:val="00B507E2"/>
    <w:rsid w:val="00BB56B7"/>
    <w:rsid w:val="00BD6031"/>
    <w:rsid w:val="00BD7157"/>
    <w:rsid w:val="00C14EB9"/>
    <w:rsid w:val="00C32F56"/>
    <w:rsid w:val="00D27E46"/>
    <w:rsid w:val="00D30DCA"/>
    <w:rsid w:val="00D53994"/>
    <w:rsid w:val="00D66D3E"/>
    <w:rsid w:val="00DA2421"/>
    <w:rsid w:val="00DA428C"/>
    <w:rsid w:val="00DE2009"/>
    <w:rsid w:val="00E21C74"/>
    <w:rsid w:val="00E255E1"/>
    <w:rsid w:val="00E369C3"/>
    <w:rsid w:val="00E84678"/>
    <w:rsid w:val="00EB420F"/>
    <w:rsid w:val="00EE482E"/>
    <w:rsid w:val="00F0229F"/>
    <w:rsid w:val="00F15469"/>
    <w:rsid w:val="00F6568D"/>
    <w:rsid w:val="00F704BA"/>
    <w:rsid w:val="00F728FC"/>
    <w:rsid w:val="00F76064"/>
    <w:rsid w:val="00FA033D"/>
    <w:rsid w:val="00FB380E"/>
    <w:rsid w:val="00FC21F0"/>
    <w:rsid w:val="00FD12D0"/>
    <w:rsid w:val="2CDE1E9E"/>
    <w:rsid w:val="3D8C41EC"/>
    <w:rsid w:val="556F55BF"/>
    <w:rsid w:val="699E5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46969"/>
  <w15:docId w15:val="{3BC5FFCA-E044-496A-9477-7B785270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4">
    <w:name w:val="heading 4"/>
    <w:basedOn w:val="a"/>
    <w:next w:val="a"/>
    <w:uiPriority w:val="9"/>
    <w:unhideWhenUsed/>
    <w:qFormat/>
    <w:pPr>
      <w:keepNext/>
      <w:keepLines/>
      <w:spacing w:before="80" w:after="40"/>
      <w:outlineLvl w:val="3"/>
    </w:pPr>
    <w:rPr>
      <w:rFonts w:cstheme="majorBidi"/>
      <w:color w:val="2D53A0"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footer"/>
    <w:basedOn w:val="a"/>
    <w:uiPriority w:val="99"/>
    <w:unhideWhenUsed/>
    <w:qFormat/>
    <w:pPr>
      <w:tabs>
        <w:tab w:val="center" w:pos="4153"/>
        <w:tab w:val="right" w:pos="8306"/>
      </w:tabs>
      <w:snapToGrid w:val="0"/>
      <w:spacing w:line="240" w:lineRule="auto"/>
    </w:pPr>
    <w:rPr>
      <w:sz w:val="18"/>
      <w:szCs w:val="18"/>
    </w:rPr>
  </w:style>
  <w:style w:type="paragraph" w:styleId="a5">
    <w:name w:val="header"/>
    <w:basedOn w:val="a"/>
    <w:uiPriority w:val="99"/>
    <w:unhideWhenUsed/>
    <w:qFormat/>
    <w:pPr>
      <w:tabs>
        <w:tab w:val="center" w:pos="4153"/>
        <w:tab w:val="right" w:pos="8306"/>
      </w:tabs>
      <w:snapToGrid w:val="0"/>
      <w:spacing w:line="240" w:lineRule="auto"/>
      <w:jc w:val="center"/>
    </w:pPr>
    <w:rPr>
      <w:sz w:val="18"/>
      <w:szCs w:val="18"/>
    </w:rPr>
  </w:style>
  <w:style w:type="paragraph" w:styleId="a6">
    <w:name w:val="Normal (Web)"/>
    <w:basedOn w:val="a"/>
    <w:unhideWhenUsed/>
    <w:qFormat/>
    <w:pPr>
      <w:widowControl/>
      <w:spacing w:before="100" w:beforeAutospacing="1" w:after="100" w:afterAutospacing="1" w:line="240" w:lineRule="auto"/>
    </w:pPr>
    <w:rPr>
      <w:rFonts w:ascii="宋体" w:eastAsia="宋体" w:hAnsi="宋体" w:cs="宋体"/>
      <w:kern w:val="0"/>
      <w:sz w:val="24"/>
      <w14:ligatures w14:val="none"/>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Pr>
      <w:sz w:val="21"/>
      <w:szCs w:val="21"/>
    </w:rPr>
  </w:style>
  <w:style w:type="paragraph" w:styleId="a9">
    <w:name w:val="Revision"/>
    <w:hidden/>
    <w:uiPriority w:val="99"/>
    <w:unhideWhenUsed/>
    <w:rsid w:val="002F6AFA"/>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张乐</dc:creator>
  <cp:lastModifiedBy>SPM-cgl</cp:lastModifiedBy>
  <cp:revision>30</cp:revision>
  <cp:lastPrinted>2026-05-25T02:43:00Z</cp:lastPrinted>
  <dcterms:created xsi:type="dcterms:W3CDTF">2026-05-25T02:40:00Z</dcterms:created>
  <dcterms:modified xsi:type="dcterms:W3CDTF">2026-06-02T10:42:00Z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905CBCF914F84AA29B020CFC2BDC814D_13</vt:lpwstr>
  </property>
  <property fmtid="{D5CDD505-2E9C-101B-9397-08002B2CF9AE}" pid="4" name="KSOTemplateDocerSaveRecord">
    <vt:lpwstr>eyJoZGlkIjoiNTk5ODE2YmVlYzU1NTIxYmVmYmY2MTIxNDEyZGZiMmIiLCJ1c2VySWQiOiI0MDg1NzM5OTYifQ==</vt:lpwstr>
  </property>
</Properties>
</file>