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DEAD" w14:textId="77777777" w:rsidR="009F1F81" w:rsidRDefault="00C61157">
      <w:pPr>
        <w:spacing w:after="240"/>
        <w:jc w:val="center"/>
        <w:rPr>
          <w:rFonts w:ascii="黑体" w:eastAsia="黑体" w:hAnsi="黑体"/>
          <w:color w:val="FF0000"/>
          <w:sz w:val="30"/>
          <w:szCs w:val="30"/>
        </w:rPr>
      </w:pPr>
      <w:r>
        <w:rPr>
          <w:rFonts w:ascii="黑体" w:eastAsia="黑体" w:hAnsi="黑体" w:hint="eastAsia"/>
          <w:color w:val="FF0000"/>
          <w:sz w:val="30"/>
          <w:szCs w:val="30"/>
        </w:rPr>
        <w:t>广西五洲交通股份有限投资者关系活动记录表</w:t>
      </w:r>
    </w:p>
    <w:tbl>
      <w:tblPr>
        <w:tblStyle w:val="a9"/>
        <w:tblW w:w="0" w:type="auto"/>
        <w:jc w:val="center"/>
        <w:tblLook w:val="04A0" w:firstRow="1" w:lastRow="0" w:firstColumn="1" w:lastColumn="0" w:noHBand="0" w:noVBand="1"/>
      </w:tblPr>
      <w:tblGrid>
        <w:gridCol w:w="1217"/>
        <w:gridCol w:w="7255"/>
      </w:tblGrid>
      <w:tr w:rsidR="009F1F81" w14:paraId="552AE9ED" w14:textId="77777777">
        <w:trPr>
          <w:jc w:val="center"/>
        </w:trPr>
        <w:tc>
          <w:tcPr>
            <w:tcW w:w="1217" w:type="dxa"/>
            <w:vAlign w:val="center"/>
          </w:tcPr>
          <w:p w14:paraId="4D3B5BAD" w14:textId="77777777" w:rsidR="009F1F81" w:rsidRDefault="00C61157">
            <w:pPr>
              <w:jc w:val="center"/>
              <w:rPr>
                <w:rFonts w:asciiTheme="minorEastAsia" w:hAnsiTheme="minorEastAsia"/>
                <w:sz w:val="24"/>
                <w:szCs w:val="24"/>
              </w:rPr>
            </w:pPr>
            <w:r>
              <w:rPr>
                <w:rFonts w:asciiTheme="minorEastAsia" w:hAnsiTheme="minorEastAsia" w:hint="eastAsia"/>
                <w:sz w:val="24"/>
                <w:szCs w:val="24"/>
              </w:rPr>
              <w:t>投资者活动关系类别</w:t>
            </w:r>
          </w:p>
        </w:tc>
        <w:tc>
          <w:tcPr>
            <w:tcW w:w="7255" w:type="dxa"/>
            <w:vAlign w:val="center"/>
          </w:tcPr>
          <w:p w14:paraId="10561C12" w14:textId="77777777" w:rsidR="009F1F81" w:rsidRDefault="00C61157">
            <w:pPr>
              <w:spacing w:line="600" w:lineRule="auto"/>
              <w:jc w:val="left"/>
              <w:rPr>
                <w:rFonts w:asciiTheme="minorEastAsia" w:hAnsiTheme="minorEastAsia"/>
                <w:sz w:val="24"/>
                <w:szCs w:val="24"/>
              </w:rPr>
            </w:pPr>
            <w:r>
              <w:rPr>
                <w:rFonts w:asciiTheme="minorEastAsia" w:hAnsiTheme="minorEastAsia" w:hint="eastAsia"/>
                <w:sz w:val="24"/>
                <w:szCs w:val="24"/>
              </w:rPr>
              <w:sym w:font="Wingdings 2" w:char="F052"/>
            </w:r>
            <w:r>
              <w:rPr>
                <w:rFonts w:asciiTheme="minorEastAsia" w:hAnsiTheme="minorEastAsia" w:hint="eastAsia"/>
                <w:sz w:val="24"/>
                <w:szCs w:val="24"/>
              </w:rPr>
              <w:t xml:space="preserve">特定对象调研 </w:t>
            </w:r>
            <w:r>
              <w:rPr>
                <w:rFonts w:asciiTheme="minorEastAsia" w:hAnsiTheme="minorEastAsia" w:hint="eastAsia"/>
                <w:sz w:val="24"/>
                <w:szCs w:val="24"/>
              </w:rPr>
              <w:sym w:font="Wingdings 2" w:char="F02A"/>
            </w:r>
            <w:r>
              <w:rPr>
                <w:rFonts w:asciiTheme="minorEastAsia" w:hAnsiTheme="minorEastAsia" w:hint="eastAsia"/>
                <w:sz w:val="24"/>
                <w:szCs w:val="24"/>
              </w:rPr>
              <w:t>分析</w:t>
            </w:r>
            <w:proofErr w:type="gramStart"/>
            <w:r>
              <w:rPr>
                <w:rFonts w:asciiTheme="minorEastAsia" w:hAnsiTheme="minorEastAsia" w:hint="eastAsia"/>
                <w:sz w:val="24"/>
                <w:szCs w:val="24"/>
              </w:rPr>
              <w:t>师会议</w:t>
            </w:r>
            <w:proofErr w:type="gramEnd"/>
            <w:r>
              <w:rPr>
                <w:rFonts w:asciiTheme="minorEastAsia" w:hAnsiTheme="minorEastAsia" w:hint="eastAsia"/>
                <w:sz w:val="24"/>
                <w:szCs w:val="24"/>
              </w:rPr>
              <w:t xml:space="preserve"> </w:t>
            </w:r>
            <w:r>
              <w:rPr>
                <w:rFonts w:asciiTheme="minorEastAsia" w:hAnsiTheme="minorEastAsia" w:hint="eastAsia"/>
                <w:sz w:val="24"/>
                <w:szCs w:val="24"/>
              </w:rPr>
              <w:sym w:font="Wingdings 2" w:char="F02A"/>
            </w:r>
            <w:r>
              <w:rPr>
                <w:rFonts w:asciiTheme="minorEastAsia" w:hAnsiTheme="minorEastAsia" w:hint="eastAsia"/>
                <w:sz w:val="24"/>
                <w:szCs w:val="24"/>
              </w:rPr>
              <w:t xml:space="preserve">媒体采访 </w:t>
            </w:r>
            <w:r>
              <w:rPr>
                <w:rFonts w:asciiTheme="minorEastAsia" w:hAnsiTheme="minorEastAsia" w:hint="eastAsia"/>
                <w:sz w:val="24"/>
                <w:szCs w:val="24"/>
              </w:rPr>
              <w:sym w:font="Wingdings 2" w:char="F02A"/>
            </w:r>
            <w:r>
              <w:rPr>
                <w:rFonts w:asciiTheme="minorEastAsia" w:hAnsiTheme="minorEastAsia" w:hint="eastAsia"/>
                <w:sz w:val="24"/>
                <w:szCs w:val="24"/>
              </w:rPr>
              <w:t>业绩说明会</w:t>
            </w:r>
          </w:p>
          <w:p w14:paraId="7C96EAD5" w14:textId="77777777" w:rsidR="009F1F81" w:rsidRDefault="00C61157">
            <w:pPr>
              <w:spacing w:line="600" w:lineRule="auto"/>
              <w:jc w:val="left"/>
              <w:rPr>
                <w:rFonts w:asciiTheme="minorEastAsia" w:hAnsiTheme="minorEastAsia"/>
                <w:sz w:val="24"/>
                <w:szCs w:val="24"/>
                <w:u w:val="single"/>
              </w:rPr>
            </w:pPr>
            <w:r>
              <w:rPr>
                <w:rFonts w:asciiTheme="minorEastAsia" w:hAnsiTheme="minorEastAsia" w:hint="eastAsia"/>
                <w:sz w:val="24"/>
                <w:szCs w:val="24"/>
              </w:rPr>
              <w:sym w:font="Wingdings 2" w:char="F02A"/>
            </w:r>
            <w:r>
              <w:rPr>
                <w:rFonts w:asciiTheme="minorEastAsia" w:hAnsiTheme="minorEastAsia" w:hint="eastAsia"/>
                <w:sz w:val="24"/>
                <w:szCs w:val="24"/>
              </w:rPr>
              <w:t xml:space="preserve">新闻发布会 </w:t>
            </w:r>
            <w:r>
              <w:rPr>
                <w:rFonts w:asciiTheme="minorEastAsia" w:hAnsiTheme="minorEastAsia" w:hint="eastAsia"/>
                <w:sz w:val="24"/>
                <w:szCs w:val="24"/>
              </w:rPr>
              <w:sym w:font="Wingdings 2" w:char="F02A"/>
            </w:r>
            <w:r>
              <w:rPr>
                <w:rFonts w:asciiTheme="minorEastAsia" w:hAnsiTheme="minorEastAsia" w:hint="eastAsia"/>
                <w:sz w:val="24"/>
                <w:szCs w:val="24"/>
              </w:rPr>
              <w:t xml:space="preserve">路演活动 </w:t>
            </w:r>
            <w:r>
              <w:rPr>
                <w:rFonts w:asciiTheme="minorEastAsia" w:hAnsiTheme="minorEastAsia" w:hint="eastAsia"/>
                <w:sz w:val="24"/>
                <w:szCs w:val="24"/>
              </w:rPr>
              <w:sym w:font="Wingdings 2" w:char="F02A"/>
            </w:r>
            <w:r>
              <w:rPr>
                <w:rFonts w:asciiTheme="minorEastAsia" w:hAnsiTheme="minorEastAsia" w:hint="eastAsia"/>
                <w:sz w:val="24"/>
                <w:szCs w:val="24"/>
              </w:rPr>
              <w:t xml:space="preserve">现场参观 </w:t>
            </w:r>
            <w:r>
              <w:rPr>
                <w:rFonts w:asciiTheme="minorEastAsia" w:hAnsiTheme="minorEastAsia" w:hint="eastAsia"/>
                <w:sz w:val="24"/>
                <w:szCs w:val="24"/>
              </w:rPr>
              <w:sym w:font="Wingdings 2" w:char="F02A"/>
            </w:r>
            <w:r>
              <w:rPr>
                <w:rFonts w:asciiTheme="minorEastAsia" w:hAnsiTheme="minorEastAsia" w:hint="eastAsia"/>
                <w:sz w:val="24"/>
                <w:szCs w:val="24"/>
              </w:rPr>
              <w:t>其他:投资者在线交流</w:t>
            </w:r>
          </w:p>
        </w:tc>
      </w:tr>
      <w:tr w:rsidR="009F1F81" w14:paraId="422AB173" w14:textId="77777777">
        <w:trPr>
          <w:trHeight w:val="936"/>
          <w:jc w:val="center"/>
        </w:trPr>
        <w:tc>
          <w:tcPr>
            <w:tcW w:w="1217" w:type="dxa"/>
            <w:vAlign w:val="center"/>
          </w:tcPr>
          <w:p w14:paraId="12B23638" w14:textId="77777777" w:rsidR="009F1F81" w:rsidRDefault="00C61157">
            <w:pPr>
              <w:spacing w:line="720" w:lineRule="auto"/>
              <w:jc w:val="center"/>
              <w:rPr>
                <w:rFonts w:asciiTheme="minorEastAsia" w:hAnsiTheme="minorEastAsia"/>
                <w:sz w:val="24"/>
                <w:szCs w:val="24"/>
              </w:rPr>
            </w:pPr>
            <w:r>
              <w:rPr>
                <w:rFonts w:asciiTheme="minorEastAsia" w:hAnsiTheme="minorEastAsia" w:hint="eastAsia"/>
                <w:sz w:val="24"/>
                <w:szCs w:val="24"/>
              </w:rPr>
              <w:t xml:space="preserve">时 </w:t>
            </w:r>
            <w:r>
              <w:rPr>
                <w:rFonts w:asciiTheme="minorEastAsia" w:hAnsiTheme="minorEastAsia"/>
                <w:sz w:val="24"/>
                <w:szCs w:val="24"/>
              </w:rPr>
              <w:t xml:space="preserve">  </w:t>
            </w:r>
            <w:r>
              <w:rPr>
                <w:rFonts w:asciiTheme="minorEastAsia" w:hAnsiTheme="minorEastAsia" w:hint="eastAsia"/>
                <w:sz w:val="24"/>
                <w:szCs w:val="24"/>
              </w:rPr>
              <w:t>间</w:t>
            </w:r>
          </w:p>
        </w:tc>
        <w:tc>
          <w:tcPr>
            <w:tcW w:w="7255" w:type="dxa"/>
            <w:vAlign w:val="center"/>
          </w:tcPr>
          <w:p w14:paraId="365186E3" w14:textId="77777777" w:rsidR="009F1F81" w:rsidRDefault="00C61157">
            <w:pPr>
              <w:spacing w:line="720" w:lineRule="auto"/>
              <w:rPr>
                <w:rFonts w:asciiTheme="minorEastAsia" w:hAnsiTheme="minorEastAsia"/>
                <w:sz w:val="24"/>
                <w:szCs w:val="24"/>
              </w:rPr>
            </w:pPr>
            <w:r>
              <w:rPr>
                <w:rFonts w:ascii="宋体" w:hAnsi="宋体" w:hint="eastAsia"/>
                <w:sz w:val="24"/>
                <w:szCs w:val="24"/>
              </w:rPr>
              <w:t>2026年6月2日(星期二)10:00-11:00</w:t>
            </w:r>
          </w:p>
        </w:tc>
      </w:tr>
      <w:tr w:rsidR="009F1F81" w14:paraId="29111082" w14:textId="77777777">
        <w:trPr>
          <w:trHeight w:val="936"/>
          <w:jc w:val="center"/>
        </w:trPr>
        <w:tc>
          <w:tcPr>
            <w:tcW w:w="1217" w:type="dxa"/>
            <w:vAlign w:val="center"/>
          </w:tcPr>
          <w:p w14:paraId="452C48C2" w14:textId="77777777" w:rsidR="009F1F81" w:rsidRDefault="00C61157">
            <w:pPr>
              <w:spacing w:line="720" w:lineRule="auto"/>
              <w:jc w:val="center"/>
              <w:rPr>
                <w:rFonts w:asciiTheme="minorEastAsia" w:hAnsiTheme="minorEastAsia"/>
                <w:sz w:val="24"/>
                <w:szCs w:val="24"/>
              </w:rPr>
            </w:pPr>
            <w:r>
              <w:rPr>
                <w:rFonts w:asciiTheme="minorEastAsia" w:hAnsiTheme="minorEastAsia" w:hint="eastAsia"/>
                <w:sz w:val="24"/>
                <w:szCs w:val="24"/>
              </w:rPr>
              <w:t xml:space="preserve">地 </w:t>
            </w:r>
            <w:r>
              <w:rPr>
                <w:rFonts w:asciiTheme="minorEastAsia" w:hAnsiTheme="minorEastAsia"/>
                <w:sz w:val="24"/>
                <w:szCs w:val="24"/>
              </w:rPr>
              <w:t xml:space="preserve">  </w:t>
            </w:r>
            <w:r>
              <w:rPr>
                <w:rFonts w:asciiTheme="minorEastAsia" w:hAnsiTheme="minorEastAsia" w:hint="eastAsia"/>
                <w:sz w:val="24"/>
                <w:szCs w:val="24"/>
              </w:rPr>
              <w:t>点</w:t>
            </w:r>
          </w:p>
        </w:tc>
        <w:tc>
          <w:tcPr>
            <w:tcW w:w="7255" w:type="dxa"/>
            <w:vAlign w:val="center"/>
          </w:tcPr>
          <w:p w14:paraId="622C7C9C" w14:textId="77777777" w:rsidR="009F1F81" w:rsidRDefault="00C61157">
            <w:pPr>
              <w:adjustRightInd w:val="0"/>
              <w:snapToGrid w:val="0"/>
              <w:spacing w:afterLines="50" w:after="156" w:line="400" w:lineRule="exact"/>
              <w:rPr>
                <w:rFonts w:asciiTheme="minorEastAsia" w:hAnsiTheme="minorEastAsia"/>
                <w:color w:val="000000"/>
                <w:sz w:val="24"/>
                <w:szCs w:val="24"/>
              </w:rPr>
            </w:pPr>
            <w:r>
              <w:rPr>
                <w:rFonts w:asciiTheme="minorEastAsia" w:hAnsiTheme="minorEastAsia" w:hint="eastAsia"/>
                <w:color w:val="000000"/>
                <w:sz w:val="24"/>
                <w:szCs w:val="24"/>
              </w:rPr>
              <w:t>五洲交通大厦43楼会议室</w:t>
            </w:r>
          </w:p>
        </w:tc>
      </w:tr>
      <w:tr w:rsidR="009F1F81" w14:paraId="19E88A87" w14:textId="77777777">
        <w:trPr>
          <w:trHeight w:val="1313"/>
          <w:jc w:val="center"/>
        </w:trPr>
        <w:tc>
          <w:tcPr>
            <w:tcW w:w="1217" w:type="dxa"/>
            <w:vAlign w:val="center"/>
          </w:tcPr>
          <w:p w14:paraId="1732AFB3" w14:textId="77777777" w:rsidR="009F1F81" w:rsidRDefault="00C61157">
            <w:pPr>
              <w:spacing w:line="360" w:lineRule="auto"/>
              <w:jc w:val="center"/>
              <w:rPr>
                <w:rFonts w:asciiTheme="minorEastAsia" w:hAnsiTheme="minorEastAsia"/>
                <w:sz w:val="24"/>
                <w:szCs w:val="24"/>
              </w:rPr>
            </w:pPr>
            <w:r>
              <w:rPr>
                <w:rFonts w:asciiTheme="minorEastAsia" w:hAnsiTheme="minorEastAsia" w:hint="eastAsia"/>
                <w:sz w:val="24"/>
                <w:szCs w:val="24"/>
              </w:rPr>
              <w:t>参与机构名称</w:t>
            </w:r>
          </w:p>
        </w:tc>
        <w:tc>
          <w:tcPr>
            <w:tcW w:w="7255" w:type="dxa"/>
            <w:vAlign w:val="center"/>
          </w:tcPr>
          <w:p w14:paraId="33803226" w14:textId="77777777" w:rsidR="009F1F81" w:rsidRDefault="00C61157">
            <w:pPr>
              <w:adjustRightInd w:val="0"/>
              <w:snapToGrid w:val="0"/>
              <w:spacing w:afterLines="50" w:after="156" w:line="400" w:lineRule="exact"/>
              <w:rPr>
                <w:rFonts w:ascii="宋体" w:hAnsi="宋体"/>
                <w:sz w:val="24"/>
                <w:szCs w:val="24"/>
              </w:rPr>
            </w:pPr>
            <w:r>
              <w:rPr>
                <w:rFonts w:ascii="宋体" w:hAnsi="宋体" w:hint="eastAsia"/>
                <w:sz w:val="24"/>
                <w:szCs w:val="24"/>
              </w:rPr>
              <w:t>南方基金、国海证券</w:t>
            </w:r>
          </w:p>
        </w:tc>
      </w:tr>
      <w:tr w:rsidR="009F1F81" w14:paraId="2A95F463" w14:textId="77777777">
        <w:trPr>
          <w:jc w:val="center"/>
        </w:trPr>
        <w:tc>
          <w:tcPr>
            <w:tcW w:w="1217" w:type="dxa"/>
            <w:vAlign w:val="center"/>
          </w:tcPr>
          <w:p w14:paraId="195EB079" w14:textId="77777777" w:rsidR="009F1F81" w:rsidRDefault="00C61157">
            <w:pPr>
              <w:jc w:val="center"/>
              <w:rPr>
                <w:rFonts w:asciiTheme="minorEastAsia" w:hAnsiTheme="minorEastAsia"/>
                <w:sz w:val="24"/>
                <w:szCs w:val="24"/>
              </w:rPr>
            </w:pPr>
            <w:r>
              <w:rPr>
                <w:rFonts w:asciiTheme="minorEastAsia" w:hAnsiTheme="minorEastAsia" w:hint="eastAsia"/>
                <w:sz w:val="24"/>
                <w:szCs w:val="24"/>
              </w:rPr>
              <w:t>公司接待人员</w:t>
            </w:r>
          </w:p>
        </w:tc>
        <w:tc>
          <w:tcPr>
            <w:tcW w:w="7255" w:type="dxa"/>
            <w:vAlign w:val="center"/>
          </w:tcPr>
          <w:p w14:paraId="74E4EC3D" w14:textId="77777777" w:rsidR="009F1F81" w:rsidRDefault="00C61157">
            <w:pPr>
              <w:adjustRightInd w:val="0"/>
              <w:spacing w:line="460" w:lineRule="exact"/>
              <w:jc w:val="left"/>
              <w:rPr>
                <w:rFonts w:ascii="宋体" w:hAnsi="宋体"/>
                <w:sz w:val="24"/>
                <w:szCs w:val="24"/>
              </w:rPr>
            </w:pPr>
            <w:r>
              <w:rPr>
                <w:rFonts w:ascii="宋体" w:hAnsi="宋体" w:hint="eastAsia"/>
                <w:sz w:val="24"/>
                <w:szCs w:val="24"/>
              </w:rPr>
              <w:t>董事、副总经理、董事会秘书、总会计师:玉</w:t>
            </w:r>
            <w:proofErr w:type="gramStart"/>
            <w:r>
              <w:rPr>
                <w:rFonts w:ascii="宋体" w:hAnsi="宋体" w:hint="eastAsia"/>
                <w:sz w:val="24"/>
                <w:szCs w:val="24"/>
              </w:rPr>
              <w:t>莉</w:t>
            </w:r>
            <w:proofErr w:type="gramEnd"/>
          </w:p>
          <w:p w14:paraId="7297C77A" w14:textId="77777777" w:rsidR="009F1F81" w:rsidRDefault="00C61157">
            <w:pPr>
              <w:adjustRightInd w:val="0"/>
              <w:spacing w:line="460" w:lineRule="exact"/>
              <w:jc w:val="left"/>
              <w:rPr>
                <w:rFonts w:ascii="宋体" w:hAnsi="宋体"/>
                <w:sz w:val="24"/>
                <w:szCs w:val="24"/>
              </w:rPr>
            </w:pPr>
            <w:r>
              <w:rPr>
                <w:rFonts w:ascii="宋体" w:hAnsi="宋体" w:hint="eastAsia"/>
                <w:sz w:val="24"/>
                <w:szCs w:val="24"/>
              </w:rPr>
              <w:t>公司证券部相关人员</w:t>
            </w:r>
          </w:p>
        </w:tc>
      </w:tr>
      <w:tr w:rsidR="009F1F81" w14:paraId="6DD8E7D3" w14:textId="77777777">
        <w:trPr>
          <w:jc w:val="center"/>
        </w:trPr>
        <w:tc>
          <w:tcPr>
            <w:tcW w:w="1217" w:type="dxa"/>
            <w:vAlign w:val="center"/>
          </w:tcPr>
          <w:p w14:paraId="36CC9C33" w14:textId="77777777" w:rsidR="009F1F81" w:rsidRDefault="00C61157">
            <w:pPr>
              <w:jc w:val="center"/>
              <w:rPr>
                <w:rFonts w:asciiTheme="minorEastAsia" w:hAnsiTheme="minorEastAsia"/>
                <w:sz w:val="24"/>
                <w:szCs w:val="24"/>
              </w:rPr>
            </w:pPr>
            <w:r>
              <w:rPr>
                <w:rFonts w:asciiTheme="minorEastAsia" w:hAnsiTheme="minorEastAsia" w:hint="eastAsia"/>
                <w:sz w:val="24"/>
                <w:szCs w:val="24"/>
              </w:rPr>
              <w:t>投资者关系活动主要内容介绍</w:t>
            </w:r>
          </w:p>
        </w:tc>
        <w:tc>
          <w:tcPr>
            <w:tcW w:w="7255" w:type="dxa"/>
            <w:vAlign w:val="center"/>
          </w:tcPr>
          <w:p w14:paraId="538C911E" w14:textId="77777777" w:rsidR="009F1F81" w:rsidRDefault="00C61157" w:rsidP="002229D9">
            <w:pPr>
              <w:pStyle w:val="a7"/>
            </w:pPr>
            <w:r>
              <w:t>投资者提问及公司答复</w:t>
            </w:r>
          </w:p>
          <w:p w14:paraId="35091878" w14:textId="77777777" w:rsidR="009F1F81" w:rsidRPr="002229D9" w:rsidRDefault="00C61157" w:rsidP="002229D9">
            <w:pPr>
              <w:pStyle w:val="a7"/>
              <w:rPr>
                <w:b/>
              </w:rPr>
            </w:pPr>
            <w:r w:rsidRPr="002229D9">
              <w:rPr>
                <w:b/>
              </w:rPr>
              <w:t>问题</w:t>
            </w:r>
            <w:proofErr w:type="gramStart"/>
            <w:r w:rsidRPr="002229D9">
              <w:rPr>
                <w:b/>
              </w:rPr>
              <w:t>一</w:t>
            </w:r>
            <w:proofErr w:type="gramEnd"/>
            <w:r w:rsidRPr="002229D9">
              <w:rPr>
                <w:b/>
              </w:rPr>
              <w:t>：</w:t>
            </w:r>
            <w:r w:rsidRPr="002229D9">
              <w:rPr>
                <w:rFonts w:hint="eastAsia"/>
                <w:b/>
              </w:rPr>
              <w:t>关于公司可转</w:t>
            </w:r>
            <w:proofErr w:type="gramStart"/>
            <w:r w:rsidRPr="002229D9">
              <w:rPr>
                <w:rFonts w:hint="eastAsia"/>
                <w:b/>
              </w:rPr>
              <w:t>债进展</w:t>
            </w:r>
            <w:proofErr w:type="gramEnd"/>
            <w:r w:rsidRPr="002229D9">
              <w:rPr>
                <w:rFonts w:hint="eastAsia"/>
                <w:b/>
              </w:rPr>
              <w:t>问题</w:t>
            </w:r>
          </w:p>
          <w:p w14:paraId="205F04A4" w14:textId="77777777" w:rsidR="009F1F81" w:rsidRDefault="00C61157" w:rsidP="002229D9">
            <w:pPr>
              <w:pStyle w:val="a7"/>
            </w:pPr>
            <w:r>
              <w:t>投资者问</w:t>
            </w:r>
            <w:r>
              <w:rPr>
                <w:rFonts w:hint="eastAsia"/>
              </w:rPr>
              <w:t>：请问公司30亿元可转</w:t>
            </w:r>
            <w:proofErr w:type="gramStart"/>
            <w:r>
              <w:rPr>
                <w:rFonts w:hint="eastAsia"/>
              </w:rPr>
              <w:t>债推进</w:t>
            </w:r>
            <w:proofErr w:type="gramEnd"/>
            <w:r>
              <w:rPr>
                <w:rFonts w:hint="eastAsia"/>
              </w:rPr>
              <w:t>进度如何？</w:t>
            </w:r>
          </w:p>
          <w:p w14:paraId="670FD7FE" w14:textId="77777777" w:rsidR="009F1F81" w:rsidRDefault="00C61157" w:rsidP="002229D9">
            <w:pPr>
              <w:pStyle w:val="a7"/>
            </w:pPr>
            <w:r>
              <w:t>公司答：</w:t>
            </w:r>
            <w:r>
              <w:rPr>
                <w:rFonts w:hint="eastAsia"/>
              </w:rPr>
              <w:t>公司于2026年5月21日收到上海证券交易所《关于受理广西五洲交通股份有限公司</w:t>
            </w:r>
            <w:r>
              <w:t>沪市主板上市公司发行证券申请的通知</w:t>
            </w:r>
            <w:r>
              <w:rPr>
                <w:rFonts w:hint="eastAsia"/>
              </w:rPr>
              <w:t>》，公司可转债发行申请已获上交所受理，具体内容详见公司2026年5月23日披露的《</w:t>
            </w:r>
            <w:r>
              <w:t>关于向不特定对象发行可转换公司债券申请获得上海证券交易所受理的公告</w:t>
            </w:r>
            <w:r>
              <w:rPr>
                <w:rFonts w:hint="eastAsia"/>
              </w:rPr>
              <w:t>》。</w:t>
            </w:r>
          </w:p>
          <w:p w14:paraId="452DCDFE" w14:textId="77777777" w:rsidR="009F1F81" w:rsidRPr="002229D9" w:rsidRDefault="00C61157" w:rsidP="002229D9">
            <w:pPr>
              <w:pStyle w:val="a7"/>
              <w:rPr>
                <w:b/>
              </w:rPr>
            </w:pPr>
            <w:r w:rsidRPr="002229D9">
              <w:rPr>
                <w:b/>
              </w:rPr>
              <w:t>问题二：关于</w:t>
            </w:r>
            <w:r w:rsidRPr="002229D9">
              <w:rPr>
                <w:rFonts w:hint="eastAsia"/>
                <w:b/>
              </w:rPr>
              <w:t>公司2025年融资成本同比2024年变化情况？</w:t>
            </w:r>
          </w:p>
          <w:p w14:paraId="62ACB5A8" w14:textId="77777777" w:rsidR="009F1F81" w:rsidRDefault="00C61157" w:rsidP="002229D9">
            <w:pPr>
              <w:pStyle w:val="a7"/>
            </w:pPr>
            <w:r>
              <w:t>投资者问：</w:t>
            </w:r>
            <w:r>
              <w:rPr>
                <w:rFonts w:hint="eastAsia"/>
              </w:rPr>
              <w:t>公司所在高速公路行业属于重资产行业，在当前社会融资成本呈现下降趋势的大背景下，公司2025年平均融资成本较2024年同期变化情况</w:t>
            </w:r>
          </w:p>
          <w:p w14:paraId="7F774541" w14:textId="77777777" w:rsidR="009F1F81" w:rsidRDefault="00C61157" w:rsidP="002229D9">
            <w:pPr>
              <w:pStyle w:val="a7"/>
            </w:pPr>
            <w:r>
              <w:t>公司答：</w:t>
            </w:r>
            <w:r>
              <w:rPr>
                <w:rFonts w:hint="eastAsia"/>
              </w:rPr>
              <w:t>公司2025年平均融资成本是3.34%，较2024年的4.41%，下降107BP。</w:t>
            </w:r>
          </w:p>
          <w:p w14:paraId="77B96E12" w14:textId="77777777" w:rsidR="009F1F81" w:rsidRDefault="00C61157" w:rsidP="002229D9">
            <w:pPr>
              <w:pStyle w:val="a7"/>
            </w:pPr>
            <w:r w:rsidRPr="002229D9">
              <w:rPr>
                <w:b/>
              </w:rPr>
              <w:t>问题三：关于坛百路与岑罗路客货车比例</w:t>
            </w:r>
          </w:p>
          <w:p w14:paraId="7A0CD49C" w14:textId="77777777" w:rsidR="009F1F81" w:rsidRDefault="00C61157" w:rsidP="002229D9">
            <w:pPr>
              <w:pStyle w:val="a7"/>
            </w:pPr>
            <w:r>
              <w:lastRenderedPageBreak/>
              <w:t>投资者问：请介绍</w:t>
            </w:r>
            <w:proofErr w:type="gramStart"/>
            <w:r>
              <w:t>坛百路和岑罗路</w:t>
            </w:r>
            <w:proofErr w:type="gramEnd"/>
            <w:r>
              <w:t>目前客车与货车的收费比例情况。</w:t>
            </w:r>
          </w:p>
          <w:p w14:paraId="5B11FE63" w14:textId="2FDD8B34" w:rsidR="009F1F81" w:rsidRDefault="00C61157" w:rsidP="002229D9">
            <w:pPr>
              <w:pStyle w:val="a7"/>
            </w:pPr>
            <w:r>
              <w:t>公司答：</w:t>
            </w:r>
            <w:r>
              <w:rPr>
                <w:rFonts w:hint="eastAsia"/>
              </w:rPr>
              <w:t>坛百路2025年度货车与客车收费</w:t>
            </w:r>
            <w:r>
              <w:t>比例约为</w:t>
            </w:r>
            <w:r w:rsidR="00B64C21">
              <w:rPr>
                <w:rFonts w:hint="eastAsia"/>
              </w:rPr>
              <w:t>5:5</w:t>
            </w:r>
            <w:r>
              <w:rPr>
                <w:rFonts w:hint="eastAsia"/>
              </w:rPr>
              <w:t>，</w:t>
            </w:r>
            <w:r>
              <w:t>岑罗路</w:t>
            </w:r>
            <w:r>
              <w:rPr>
                <w:rFonts w:hint="eastAsia"/>
              </w:rPr>
              <w:t>2025年度货车与客车收费比例约</w:t>
            </w:r>
            <w:r w:rsidR="00B64C21">
              <w:rPr>
                <w:rFonts w:hint="eastAsia"/>
              </w:rPr>
              <w:t>5:5</w:t>
            </w:r>
            <w:r>
              <w:rPr>
                <w:rFonts w:hint="eastAsia"/>
              </w:rPr>
              <w:t>。</w:t>
            </w:r>
          </w:p>
          <w:p w14:paraId="44CEBE69" w14:textId="77777777" w:rsidR="009F1F81" w:rsidRDefault="00C61157" w:rsidP="002229D9">
            <w:pPr>
              <w:pStyle w:val="a7"/>
            </w:pPr>
            <w:r w:rsidRPr="002229D9">
              <w:rPr>
                <w:b/>
              </w:rPr>
              <w:t>问题四：关于坛百段改扩建工程进展</w:t>
            </w:r>
          </w:p>
          <w:p w14:paraId="74546EE8" w14:textId="77777777" w:rsidR="009F1F81" w:rsidRDefault="00C61157" w:rsidP="002229D9">
            <w:pPr>
              <w:pStyle w:val="a7"/>
            </w:pPr>
            <w:r>
              <w:t>投资者问：坛百段改扩建项目目前进展情况如何？</w:t>
            </w:r>
          </w:p>
          <w:p w14:paraId="1AAB470D" w14:textId="77777777" w:rsidR="009F1F81" w:rsidRDefault="00C61157" w:rsidP="002229D9">
            <w:pPr>
              <w:pStyle w:val="a7"/>
            </w:pPr>
            <w:r>
              <w:t>公司答：</w:t>
            </w:r>
            <w:r>
              <w:rPr>
                <w:rFonts w:hint="eastAsia"/>
              </w:rPr>
              <w:t>截至2026年一季度末，坛百路</w:t>
            </w:r>
            <w:r>
              <w:t>财务投</w:t>
            </w:r>
            <w:r w:rsidRPr="00B64C21">
              <w:t>资累计已达约</w:t>
            </w:r>
            <w:r w:rsidRPr="00B64C21">
              <w:rPr>
                <w:rFonts w:hint="eastAsia"/>
              </w:rPr>
              <w:t>25</w:t>
            </w:r>
            <w:r w:rsidRPr="00B64C21">
              <w:t>亿元。</w:t>
            </w:r>
            <w:r>
              <w:t>征地工作已正式启动并进入计量阶段，土建工程（如边坡施工等）已同步展开</w:t>
            </w:r>
            <w:r>
              <w:rPr>
                <w:rFonts w:hint="eastAsia"/>
              </w:rPr>
              <w:t>，目前工程进度总体符合预期</w:t>
            </w:r>
            <w:r>
              <w:t>。</w:t>
            </w:r>
          </w:p>
          <w:p w14:paraId="0863C3EF" w14:textId="77777777" w:rsidR="009F1F81" w:rsidRDefault="00C61157" w:rsidP="002229D9">
            <w:pPr>
              <w:pStyle w:val="a7"/>
            </w:pPr>
            <w:r w:rsidRPr="002229D9">
              <w:rPr>
                <w:b/>
              </w:rPr>
              <w:t>问题五：关于坛百路收费标准及改扩建后预期调整</w:t>
            </w:r>
          </w:p>
          <w:p w14:paraId="1D10437C" w14:textId="77777777" w:rsidR="009F1F81" w:rsidRDefault="00C61157" w:rsidP="002229D9">
            <w:pPr>
              <w:pStyle w:val="a7"/>
            </w:pPr>
            <w:r>
              <w:t>投资者问：坛百路现行收费标准如何？改扩建完成后预计可调整至何等水平？</w:t>
            </w:r>
          </w:p>
          <w:p w14:paraId="7C494191" w14:textId="655C5D46" w:rsidR="009F1F81" w:rsidRDefault="00C61157" w:rsidP="002229D9">
            <w:pPr>
              <w:pStyle w:val="a7"/>
            </w:pPr>
            <w:r>
              <w:t>公司答</w:t>
            </w:r>
            <w:r w:rsidRPr="00B64C21">
              <w:t>：坛百路现行费率为</w:t>
            </w:r>
            <w:r w:rsidR="00B64C21">
              <w:rPr>
                <w:rFonts w:hint="eastAsia"/>
              </w:rPr>
              <w:t>一类车</w:t>
            </w:r>
            <w:r w:rsidRPr="00B64C21">
              <w:t>0.4元/公里。根据历</w:t>
            </w:r>
            <w:r>
              <w:t>史经验，通常在通车后一至两年内，</w:t>
            </w:r>
            <w:r w:rsidR="005546BA">
              <w:rPr>
                <w:rFonts w:hint="eastAsia"/>
              </w:rPr>
              <w:t>政府主办部门</w:t>
            </w:r>
            <w:r>
              <w:t>依据投资额及</w:t>
            </w:r>
            <w:r w:rsidR="005546BA">
              <w:rPr>
                <w:rFonts w:hint="eastAsia"/>
              </w:rPr>
              <w:t>车流量情况</w:t>
            </w:r>
            <w:r>
              <w:t>进行测算，</w:t>
            </w:r>
            <w:r w:rsidR="005546BA">
              <w:rPr>
                <w:rFonts w:hint="eastAsia"/>
              </w:rPr>
              <w:t>核</w:t>
            </w:r>
            <w:r>
              <w:t>定收费年限及新</w:t>
            </w:r>
            <w:r>
              <w:rPr>
                <w:rFonts w:hint="eastAsia"/>
              </w:rPr>
              <w:t>收费标准</w:t>
            </w:r>
            <w:r>
              <w:t>。</w:t>
            </w:r>
          </w:p>
          <w:p w14:paraId="6BBD8035" w14:textId="77777777" w:rsidR="009F1F81" w:rsidRDefault="00C61157" w:rsidP="002229D9">
            <w:pPr>
              <w:pStyle w:val="a7"/>
            </w:pPr>
            <w:r w:rsidRPr="002229D9">
              <w:rPr>
                <w:b/>
              </w:rPr>
              <w:t>问题六：关于坛百段改扩建通车时间</w:t>
            </w:r>
          </w:p>
          <w:p w14:paraId="3D7D008B" w14:textId="77777777" w:rsidR="009F1F81" w:rsidRDefault="00C61157" w:rsidP="002229D9">
            <w:pPr>
              <w:pStyle w:val="a7"/>
            </w:pPr>
            <w:r>
              <w:t>投资者问：项目是否计划于2028年底通车？是否有提前通车的安排？</w:t>
            </w:r>
          </w:p>
          <w:p w14:paraId="6697DECB" w14:textId="2C357D72" w:rsidR="009F1F81" w:rsidRDefault="00C61157" w:rsidP="002229D9">
            <w:pPr>
              <w:pStyle w:val="a7"/>
            </w:pPr>
            <w:r>
              <w:t>公司答：</w:t>
            </w:r>
            <w:r w:rsidR="005546BA">
              <w:rPr>
                <w:rFonts w:hint="eastAsia"/>
              </w:rPr>
              <w:t>根据计划，坛百路改扩建建设期为4年</w:t>
            </w:r>
            <w:r w:rsidR="003B48A5">
              <w:rPr>
                <w:rFonts w:hint="eastAsia"/>
              </w:rPr>
              <w:t>（2025-2028年）</w:t>
            </w:r>
            <w:r w:rsidR="005546BA">
              <w:rPr>
                <w:rFonts w:hint="eastAsia"/>
              </w:rPr>
              <w:t>，</w:t>
            </w:r>
            <w:r>
              <w:t>公司目前暂无提前通车的计划。</w:t>
            </w:r>
          </w:p>
          <w:p w14:paraId="0029C9A9" w14:textId="77777777" w:rsidR="009F1F81" w:rsidRDefault="00C61157" w:rsidP="002229D9">
            <w:pPr>
              <w:pStyle w:val="a7"/>
            </w:pPr>
            <w:r w:rsidRPr="002229D9">
              <w:rPr>
                <w:b/>
              </w:rPr>
              <w:t>问题七：关于岑罗路收费期限及改扩建规划</w:t>
            </w:r>
          </w:p>
          <w:p w14:paraId="7E220A04" w14:textId="77777777" w:rsidR="009F1F81" w:rsidRDefault="00C61157" w:rsidP="002229D9">
            <w:pPr>
              <w:pStyle w:val="a7"/>
            </w:pPr>
            <w:r>
              <w:t>投资者问：岑罗路收费期限至何年？是否有改扩建计划？</w:t>
            </w:r>
          </w:p>
          <w:p w14:paraId="5991AC30" w14:textId="2F49668B" w:rsidR="009F1F81" w:rsidRDefault="00C61157" w:rsidP="002229D9">
            <w:pPr>
              <w:pStyle w:val="a7"/>
            </w:pPr>
            <w:r>
              <w:t>公司答：</w:t>
            </w:r>
            <w:r w:rsidRPr="00B64C21">
              <w:t>岑罗路收费期限至2039年</w:t>
            </w:r>
            <w:r w:rsidRPr="00B64C21">
              <w:rPr>
                <w:rFonts w:hint="eastAsia"/>
              </w:rPr>
              <w:t>。</w:t>
            </w:r>
            <w:r w:rsidR="003B48A5">
              <w:rPr>
                <w:rFonts w:hint="eastAsia"/>
              </w:rPr>
              <w:t>岑罗路十五五规划期内会提高安全韧性，但</w:t>
            </w:r>
            <w:r w:rsidR="003B48A5">
              <w:t>无</w:t>
            </w:r>
            <w:r>
              <w:t>改扩建规划。</w:t>
            </w:r>
            <w:bookmarkStart w:id="0" w:name="_GoBack"/>
            <w:bookmarkEnd w:id="0"/>
          </w:p>
          <w:p w14:paraId="5E4823FF" w14:textId="77777777" w:rsidR="009F1F81" w:rsidRDefault="00C61157" w:rsidP="002229D9">
            <w:pPr>
              <w:pStyle w:val="a7"/>
            </w:pPr>
            <w:r w:rsidRPr="002229D9">
              <w:rPr>
                <w:b/>
              </w:rPr>
              <w:t>问题八：关于集团路产资源整合及潜在收购</w:t>
            </w:r>
          </w:p>
          <w:p w14:paraId="34A8D3ED" w14:textId="77777777" w:rsidR="009F1F81" w:rsidRDefault="00C61157" w:rsidP="002229D9">
            <w:pPr>
              <w:pStyle w:val="a7"/>
            </w:pPr>
            <w:r>
              <w:t>投资者问：市场持续关注公司控股股东的路产资源。公司后续是否有收购优质资产的计划？例如集团旗下现有优质路产？</w:t>
            </w:r>
          </w:p>
          <w:p w14:paraId="748E8CB6" w14:textId="4F3928C5" w:rsidR="009F1F81" w:rsidRPr="002229D9" w:rsidRDefault="00C61157" w:rsidP="002229D9">
            <w:pPr>
              <w:pStyle w:val="a7"/>
            </w:pPr>
            <w:r>
              <w:t>公司答：</w:t>
            </w:r>
            <w:r w:rsidRPr="002229D9">
              <w:rPr>
                <w:rFonts w:hint="eastAsia"/>
              </w:rPr>
              <w:t>公司控股股东广西交通投资集团有限公司高度重视上市公司的发展平台作用，关于具体资产注入计划，公司一直在积极研究优质资产注入上市公司的可行性，如有明确进展，公司将严格按照</w:t>
            </w:r>
            <w:r w:rsidRPr="002229D9">
              <w:rPr>
                <w:rFonts w:hint="eastAsia"/>
              </w:rPr>
              <w:lastRenderedPageBreak/>
              <w:t>信息披露要求及时公告。</w:t>
            </w:r>
          </w:p>
          <w:p w14:paraId="5C3671D2" w14:textId="77777777" w:rsidR="009F1F81" w:rsidRDefault="009F1F81" w:rsidP="002229D9">
            <w:pPr>
              <w:pStyle w:val="a7"/>
            </w:pPr>
          </w:p>
        </w:tc>
      </w:tr>
      <w:tr w:rsidR="009F1F81" w14:paraId="501EE40E" w14:textId="77777777">
        <w:trPr>
          <w:jc w:val="center"/>
        </w:trPr>
        <w:tc>
          <w:tcPr>
            <w:tcW w:w="1217" w:type="dxa"/>
            <w:vAlign w:val="center"/>
          </w:tcPr>
          <w:p w14:paraId="3B007AB0" w14:textId="77777777" w:rsidR="009F1F81" w:rsidRDefault="00C61157">
            <w:pPr>
              <w:jc w:val="center"/>
              <w:rPr>
                <w:rFonts w:asciiTheme="minorEastAsia" w:hAnsiTheme="minorEastAsia"/>
                <w:sz w:val="24"/>
                <w:szCs w:val="24"/>
              </w:rPr>
            </w:pPr>
            <w:r>
              <w:rPr>
                <w:rFonts w:asciiTheme="minorEastAsia" w:hAnsiTheme="minorEastAsia" w:hint="eastAsia"/>
                <w:sz w:val="24"/>
                <w:szCs w:val="24"/>
              </w:rPr>
              <w:lastRenderedPageBreak/>
              <w:t>附件清单</w:t>
            </w:r>
          </w:p>
        </w:tc>
        <w:tc>
          <w:tcPr>
            <w:tcW w:w="7255" w:type="dxa"/>
            <w:vAlign w:val="center"/>
          </w:tcPr>
          <w:p w14:paraId="7A696C74" w14:textId="77777777" w:rsidR="009F1F81" w:rsidRDefault="00C61157">
            <w:pPr>
              <w:snapToGrid w:val="0"/>
              <w:spacing w:afterLines="50" w:after="156" w:line="400" w:lineRule="exact"/>
              <w:rPr>
                <w:rFonts w:asciiTheme="minorEastAsia" w:hAnsiTheme="minorEastAsia"/>
                <w:b/>
                <w:bCs/>
                <w:sz w:val="24"/>
                <w:szCs w:val="24"/>
              </w:rPr>
            </w:pPr>
            <w:r>
              <w:rPr>
                <w:rFonts w:asciiTheme="minorEastAsia" w:hAnsiTheme="minorEastAsia"/>
                <w:b/>
                <w:bCs/>
                <w:sz w:val="24"/>
                <w:szCs w:val="24"/>
              </w:rPr>
              <w:t>无</w:t>
            </w:r>
          </w:p>
        </w:tc>
      </w:tr>
    </w:tbl>
    <w:p w14:paraId="51189023" w14:textId="77777777" w:rsidR="009F1F81" w:rsidRDefault="009F1F81">
      <w:pPr>
        <w:jc w:val="left"/>
        <w:rPr>
          <w:rFonts w:asciiTheme="minorEastAsia" w:hAnsiTheme="minorEastAsia"/>
          <w:sz w:val="24"/>
          <w:szCs w:val="24"/>
        </w:rPr>
      </w:pPr>
    </w:p>
    <w:p w14:paraId="47B18719" w14:textId="77777777" w:rsidR="009F1F81" w:rsidRDefault="009F1F81">
      <w:pPr>
        <w:jc w:val="left"/>
        <w:rPr>
          <w:rFonts w:asciiTheme="minorEastAsia" w:hAnsiTheme="minorEastAsia"/>
          <w:sz w:val="24"/>
          <w:szCs w:val="24"/>
        </w:rPr>
      </w:pPr>
    </w:p>
    <w:sectPr w:rsidR="009F1F8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20089" w14:textId="77777777" w:rsidR="00317970" w:rsidRDefault="00317970">
      <w:r>
        <w:separator/>
      </w:r>
    </w:p>
  </w:endnote>
  <w:endnote w:type="continuationSeparator" w:id="0">
    <w:p w14:paraId="421845D9" w14:textId="77777777" w:rsidR="00317970" w:rsidRDefault="0031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3354"/>
    </w:sdtPr>
    <w:sdtEndPr/>
    <w:sdtContent>
      <w:p w14:paraId="522BF4B8" w14:textId="77777777" w:rsidR="009F1F81" w:rsidRDefault="00C61157">
        <w:pPr>
          <w:pStyle w:val="a5"/>
          <w:jc w:val="center"/>
        </w:pPr>
        <w:r>
          <w:fldChar w:fldCharType="begin"/>
        </w:r>
        <w:r>
          <w:instrText>PAGE   \* MERGEFORMAT</w:instrText>
        </w:r>
        <w:r>
          <w:fldChar w:fldCharType="separate"/>
        </w:r>
        <w:r w:rsidR="0088145F" w:rsidRPr="0088145F">
          <w:rPr>
            <w:noProof/>
            <w:lang w:val="zh-CN"/>
          </w:rPr>
          <w:t>2</w:t>
        </w:r>
        <w:r>
          <w:fldChar w:fldCharType="end"/>
        </w:r>
      </w:p>
    </w:sdtContent>
  </w:sdt>
  <w:p w14:paraId="69B3D9B4" w14:textId="77777777" w:rsidR="009F1F81" w:rsidRDefault="009F1F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B5235" w14:textId="77777777" w:rsidR="00317970" w:rsidRDefault="00317970">
      <w:r>
        <w:separator/>
      </w:r>
    </w:p>
  </w:footnote>
  <w:footnote w:type="continuationSeparator" w:id="0">
    <w:p w14:paraId="69B1F71A" w14:textId="77777777" w:rsidR="00317970" w:rsidRDefault="00317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D7FB" w14:textId="77777777" w:rsidR="009F1F81" w:rsidRDefault="00C61157">
    <w:pPr>
      <w:pStyle w:val="a6"/>
      <w:rPr>
        <w:sz w:val="21"/>
        <w:szCs w:val="21"/>
      </w:rPr>
    </w:pPr>
    <w:r>
      <w:rPr>
        <w:rFonts w:hint="eastAsia"/>
        <w:sz w:val="21"/>
        <w:szCs w:val="21"/>
      </w:rPr>
      <w:t>证券代码：</w:t>
    </w:r>
    <w:r>
      <w:rPr>
        <w:rFonts w:hint="eastAsia"/>
        <w:sz w:val="21"/>
        <w:szCs w:val="21"/>
      </w:rPr>
      <w:t>600368</w:t>
    </w:r>
    <w:r>
      <w:ptab w:relativeTo="margin" w:alignment="center" w:leader="none"/>
    </w:r>
    <w:r>
      <w:ptab w:relativeTo="margin" w:alignment="right" w:leader="none"/>
    </w:r>
    <w:r>
      <w:rPr>
        <w:rFonts w:hint="eastAsia"/>
        <w:sz w:val="21"/>
        <w:szCs w:val="21"/>
      </w:rPr>
      <w:t>证券简称：五洲交通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ZTg0YWY4NjBlYjk4MjU4OGM4NmUzYzIyYTZmY2IifQ=="/>
  </w:docVars>
  <w:rsids>
    <w:rsidRoot w:val="008A705E"/>
    <w:rsid w:val="00003570"/>
    <w:rsid w:val="00006469"/>
    <w:rsid w:val="0001342D"/>
    <w:rsid w:val="000138CC"/>
    <w:rsid w:val="00013B25"/>
    <w:rsid w:val="00014976"/>
    <w:rsid w:val="00014BEA"/>
    <w:rsid w:val="00015FAD"/>
    <w:rsid w:val="0001633F"/>
    <w:rsid w:val="00016440"/>
    <w:rsid w:val="00017BF6"/>
    <w:rsid w:val="00020E1B"/>
    <w:rsid w:val="00020EFA"/>
    <w:rsid w:val="000224F5"/>
    <w:rsid w:val="00022E5C"/>
    <w:rsid w:val="00026088"/>
    <w:rsid w:val="000264FA"/>
    <w:rsid w:val="000267BD"/>
    <w:rsid w:val="00027F10"/>
    <w:rsid w:val="00035102"/>
    <w:rsid w:val="00035699"/>
    <w:rsid w:val="00040E17"/>
    <w:rsid w:val="00042530"/>
    <w:rsid w:val="000430B2"/>
    <w:rsid w:val="0004373C"/>
    <w:rsid w:val="000443E5"/>
    <w:rsid w:val="00046436"/>
    <w:rsid w:val="00047163"/>
    <w:rsid w:val="0005483E"/>
    <w:rsid w:val="0005642D"/>
    <w:rsid w:val="00057AED"/>
    <w:rsid w:val="00057DD7"/>
    <w:rsid w:val="0006017C"/>
    <w:rsid w:val="00061E88"/>
    <w:rsid w:val="0006213C"/>
    <w:rsid w:val="00062186"/>
    <w:rsid w:val="0006354F"/>
    <w:rsid w:val="000658C6"/>
    <w:rsid w:val="000664F5"/>
    <w:rsid w:val="00066A78"/>
    <w:rsid w:val="000705E4"/>
    <w:rsid w:val="00071A12"/>
    <w:rsid w:val="0007207A"/>
    <w:rsid w:val="00072291"/>
    <w:rsid w:val="00073F37"/>
    <w:rsid w:val="000743B2"/>
    <w:rsid w:val="000747CD"/>
    <w:rsid w:val="00076089"/>
    <w:rsid w:val="00076DE9"/>
    <w:rsid w:val="000821A1"/>
    <w:rsid w:val="00082E42"/>
    <w:rsid w:val="00084BB2"/>
    <w:rsid w:val="00086579"/>
    <w:rsid w:val="00086BEA"/>
    <w:rsid w:val="00093F4D"/>
    <w:rsid w:val="00097C9D"/>
    <w:rsid w:val="00097D50"/>
    <w:rsid w:val="00097E4C"/>
    <w:rsid w:val="000A03B0"/>
    <w:rsid w:val="000A078D"/>
    <w:rsid w:val="000A55E7"/>
    <w:rsid w:val="000A6065"/>
    <w:rsid w:val="000A6FBC"/>
    <w:rsid w:val="000A778C"/>
    <w:rsid w:val="000B1966"/>
    <w:rsid w:val="000B1E32"/>
    <w:rsid w:val="000B4292"/>
    <w:rsid w:val="000B45A6"/>
    <w:rsid w:val="000B57D5"/>
    <w:rsid w:val="000B71D3"/>
    <w:rsid w:val="000C261C"/>
    <w:rsid w:val="000C3ABC"/>
    <w:rsid w:val="000C41D4"/>
    <w:rsid w:val="000C4D3A"/>
    <w:rsid w:val="000C4D3F"/>
    <w:rsid w:val="000C5A09"/>
    <w:rsid w:val="000C5DDD"/>
    <w:rsid w:val="000C6556"/>
    <w:rsid w:val="000C7068"/>
    <w:rsid w:val="000C7667"/>
    <w:rsid w:val="000D6BEC"/>
    <w:rsid w:val="000D6FFC"/>
    <w:rsid w:val="000D7B2B"/>
    <w:rsid w:val="000E1AA6"/>
    <w:rsid w:val="000E5A24"/>
    <w:rsid w:val="000E652F"/>
    <w:rsid w:val="000E6838"/>
    <w:rsid w:val="000E7525"/>
    <w:rsid w:val="000F0CE6"/>
    <w:rsid w:val="000F15E5"/>
    <w:rsid w:val="000F222C"/>
    <w:rsid w:val="000F2AD3"/>
    <w:rsid w:val="000F3428"/>
    <w:rsid w:val="000F66BE"/>
    <w:rsid w:val="000F6DBA"/>
    <w:rsid w:val="000F7324"/>
    <w:rsid w:val="000F76DC"/>
    <w:rsid w:val="000F7CDE"/>
    <w:rsid w:val="00100BF8"/>
    <w:rsid w:val="001012D5"/>
    <w:rsid w:val="00101ACC"/>
    <w:rsid w:val="00103E8B"/>
    <w:rsid w:val="001070C6"/>
    <w:rsid w:val="00112DAC"/>
    <w:rsid w:val="001130B6"/>
    <w:rsid w:val="00113EB8"/>
    <w:rsid w:val="001155A1"/>
    <w:rsid w:val="001159D8"/>
    <w:rsid w:val="00117C89"/>
    <w:rsid w:val="0012510F"/>
    <w:rsid w:val="001270DF"/>
    <w:rsid w:val="001270F7"/>
    <w:rsid w:val="00131823"/>
    <w:rsid w:val="00132300"/>
    <w:rsid w:val="00132628"/>
    <w:rsid w:val="00134786"/>
    <w:rsid w:val="00134CD2"/>
    <w:rsid w:val="00135213"/>
    <w:rsid w:val="001354BB"/>
    <w:rsid w:val="00140F33"/>
    <w:rsid w:val="001412B0"/>
    <w:rsid w:val="00141682"/>
    <w:rsid w:val="0014186F"/>
    <w:rsid w:val="00142D9E"/>
    <w:rsid w:val="00145BDF"/>
    <w:rsid w:val="00146A43"/>
    <w:rsid w:val="001524CA"/>
    <w:rsid w:val="00152F23"/>
    <w:rsid w:val="00156964"/>
    <w:rsid w:val="00156B40"/>
    <w:rsid w:val="0015798F"/>
    <w:rsid w:val="00157FFC"/>
    <w:rsid w:val="00160353"/>
    <w:rsid w:val="00160550"/>
    <w:rsid w:val="00160755"/>
    <w:rsid w:val="00160E99"/>
    <w:rsid w:val="001615AE"/>
    <w:rsid w:val="00161BD9"/>
    <w:rsid w:val="0016369F"/>
    <w:rsid w:val="00164F88"/>
    <w:rsid w:val="00165AE9"/>
    <w:rsid w:val="00165C80"/>
    <w:rsid w:val="00166C4F"/>
    <w:rsid w:val="00167BCF"/>
    <w:rsid w:val="0017071E"/>
    <w:rsid w:val="00171378"/>
    <w:rsid w:val="00171687"/>
    <w:rsid w:val="00172277"/>
    <w:rsid w:val="00172EDF"/>
    <w:rsid w:val="00176309"/>
    <w:rsid w:val="00176B47"/>
    <w:rsid w:val="00176F71"/>
    <w:rsid w:val="0018172E"/>
    <w:rsid w:val="001828A1"/>
    <w:rsid w:val="001837A4"/>
    <w:rsid w:val="00183C71"/>
    <w:rsid w:val="00183FD0"/>
    <w:rsid w:val="00184249"/>
    <w:rsid w:val="001846A2"/>
    <w:rsid w:val="00184A47"/>
    <w:rsid w:val="00191AD3"/>
    <w:rsid w:val="00192025"/>
    <w:rsid w:val="0019264E"/>
    <w:rsid w:val="00192F21"/>
    <w:rsid w:val="001940BE"/>
    <w:rsid w:val="0019424C"/>
    <w:rsid w:val="00195078"/>
    <w:rsid w:val="001951C8"/>
    <w:rsid w:val="00195982"/>
    <w:rsid w:val="00195E02"/>
    <w:rsid w:val="001A06D5"/>
    <w:rsid w:val="001A306D"/>
    <w:rsid w:val="001A56E5"/>
    <w:rsid w:val="001A6734"/>
    <w:rsid w:val="001A7359"/>
    <w:rsid w:val="001B02B0"/>
    <w:rsid w:val="001B066E"/>
    <w:rsid w:val="001B2A24"/>
    <w:rsid w:val="001B2F49"/>
    <w:rsid w:val="001B3988"/>
    <w:rsid w:val="001B4157"/>
    <w:rsid w:val="001B4415"/>
    <w:rsid w:val="001B6084"/>
    <w:rsid w:val="001B7F94"/>
    <w:rsid w:val="001C0292"/>
    <w:rsid w:val="001C2B7A"/>
    <w:rsid w:val="001C4ABB"/>
    <w:rsid w:val="001C5B62"/>
    <w:rsid w:val="001C74D4"/>
    <w:rsid w:val="001C7620"/>
    <w:rsid w:val="001C7D32"/>
    <w:rsid w:val="001D0492"/>
    <w:rsid w:val="001D0EDD"/>
    <w:rsid w:val="001D25DB"/>
    <w:rsid w:val="001D300A"/>
    <w:rsid w:val="001D51D2"/>
    <w:rsid w:val="001D567F"/>
    <w:rsid w:val="001E1BC1"/>
    <w:rsid w:val="001E2EF5"/>
    <w:rsid w:val="001E3235"/>
    <w:rsid w:val="001E4B83"/>
    <w:rsid w:val="001E4CFB"/>
    <w:rsid w:val="001E56C7"/>
    <w:rsid w:val="001F0425"/>
    <w:rsid w:val="001F3CAC"/>
    <w:rsid w:val="001F3E9E"/>
    <w:rsid w:val="001F59E8"/>
    <w:rsid w:val="001F5D51"/>
    <w:rsid w:val="001F61AE"/>
    <w:rsid w:val="001F7AB7"/>
    <w:rsid w:val="001F7BF8"/>
    <w:rsid w:val="0020058C"/>
    <w:rsid w:val="00201CD8"/>
    <w:rsid w:val="002033F6"/>
    <w:rsid w:val="00205520"/>
    <w:rsid w:val="0020573E"/>
    <w:rsid w:val="00205C00"/>
    <w:rsid w:val="00207251"/>
    <w:rsid w:val="0020774A"/>
    <w:rsid w:val="0021389A"/>
    <w:rsid w:val="00216E5E"/>
    <w:rsid w:val="0022002F"/>
    <w:rsid w:val="002219CD"/>
    <w:rsid w:val="002229D9"/>
    <w:rsid w:val="00224EFF"/>
    <w:rsid w:val="00231F78"/>
    <w:rsid w:val="00233218"/>
    <w:rsid w:val="00233BB6"/>
    <w:rsid w:val="002341A0"/>
    <w:rsid w:val="00234C8A"/>
    <w:rsid w:val="00234DC5"/>
    <w:rsid w:val="002374C8"/>
    <w:rsid w:val="00237CD4"/>
    <w:rsid w:val="00237F1A"/>
    <w:rsid w:val="0024029A"/>
    <w:rsid w:val="002407B0"/>
    <w:rsid w:val="00240E71"/>
    <w:rsid w:val="00242600"/>
    <w:rsid w:val="00246193"/>
    <w:rsid w:val="0024644D"/>
    <w:rsid w:val="00247066"/>
    <w:rsid w:val="0024773C"/>
    <w:rsid w:val="00250164"/>
    <w:rsid w:val="002508D5"/>
    <w:rsid w:val="002508F4"/>
    <w:rsid w:val="0025141B"/>
    <w:rsid w:val="00252422"/>
    <w:rsid w:val="00253FC7"/>
    <w:rsid w:val="002558EA"/>
    <w:rsid w:val="002562C2"/>
    <w:rsid w:val="002567EB"/>
    <w:rsid w:val="00257E30"/>
    <w:rsid w:val="002604AA"/>
    <w:rsid w:val="0026112A"/>
    <w:rsid w:val="00261185"/>
    <w:rsid w:val="00261CFA"/>
    <w:rsid w:val="00261FFA"/>
    <w:rsid w:val="00262690"/>
    <w:rsid w:val="0026294C"/>
    <w:rsid w:val="002632D5"/>
    <w:rsid w:val="00263951"/>
    <w:rsid w:val="00263B20"/>
    <w:rsid w:val="00263B56"/>
    <w:rsid w:val="002646CA"/>
    <w:rsid w:val="00264D86"/>
    <w:rsid w:val="00265F87"/>
    <w:rsid w:val="002703B4"/>
    <w:rsid w:val="0027183D"/>
    <w:rsid w:val="0027349D"/>
    <w:rsid w:val="00273CCA"/>
    <w:rsid w:val="0027617D"/>
    <w:rsid w:val="00277F03"/>
    <w:rsid w:val="00280DC1"/>
    <w:rsid w:val="00280F2E"/>
    <w:rsid w:val="0028301B"/>
    <w:rsid w:val="002844B9"/>
    <w:rsid w:val="00284E44"/>
    <w:rsid w:val="00285031"/>
    <w:rsid w:val="00294004"/>
    <w:rsid w:val="002949A6"/>
    <w:rsid w:val="00294FEA"/>
    <w:rsid w:val="00296D2E"/>
    <w:rsid w:val="002A090C"/>
    <w:rsid w:val="002A5B59"/>
    <w:rsid w:val="002A6CC9"/>
    <w:rsid w:val="002A7581"/>
    <w:rsid w:val="002B13C2"/>
    <w:rsid w:val="002B150B"/>
    <w:rsid w:val="002B3775"/>
    <w:rsid w:val="002B393E"/>
    <w:rsid w:val="002C1925"/>
    <w:rsid w:val="002C3B9C"/>
    <w:rsid w:val="002C5BC5"/>
    <w:rsid w:val="002C71B4"/>
    <w:rsid w:val="002C78F8"/>
    <w:rsid w:val="002C7B55"/>
    <w:rsid w:val="002D067E"/>
    <w:rsid w:val="002D0CA7"/>
    <w:rsid w:val="002D27A4"/>
    <w:rsid w:val="002D4CC1"/>
    <w:rsid w:val="002D7380"/>
    <w:rsid w:val="002E01FB"/>
    <w:rsid w:val="002E13E9"/>
    <w:rsid w:val="002E16DA"/>
    <w:rsid w:val="002E2A75"/>
    <w:rsid w:val="002E3432"/>
    <w:rsid w:val="002E352F"/>
    <w:rsid w:val="002E49CD"/>
    <w:rsid w:val="002E4E39"/>
    <w:rsid w:val="002E5166"/>
    <w:rsid w:val="002E640D"/>
    <w:rsid w:val="002E737C"/>
    <w:rsid w:val="002E7452"/>
    <w:rsid w:val="002E7EA1"/>
    <w:rsid w:val="002F6051"/>
    <w:rsid w:val="00303CF4"/>
    <w:rsid w:val="00303F1E"/>
    <w:rsid w:val="00304D7F"/>
    <w:rsid w:val="00305AE9"/>
    <w:rsid w:val="003110AD"/>
    <w:rsid w:val="00311D29"/>
    <w:rsid w:val="00315A88"/>
    <w:rsid w:val="00317970"/>
    <w:rsid w:val="00317F6C"/>
    <w:rsid w:val="00320B6A"/>
    <w:rsid w:val="00320C1F"/>
    <w:rsid w:val="003224A8"/>
    <w:rsid w:val="003234A8"/>
    <w:rsid w:val="00323D3D"/>
    <w:rsid w:val="00325BB8"/>
    <w:rsid w:val="00327B75"/>
    <w:rsid w:val="00330384"/>
    <w:rsid w:val="003311D3"/>
    <w:rsid w:val="00331975"/>
    <w:rsid w:val="00331B02"/>
    <w:rsid w:val="00332DE6"/>
    <w:rsid w:val="00333283"/>
    <w:rsid w:val="00334002"/>
    <w:rsid w:val="00336DDA"/>
    <w:rsid w:val="00337515"/>
    <w:rsid w:val="00337B32"/>
    <w:rsid w:val="00340E5D"/>
    <w:rsid w:val="0034226A"/>
    <w:rsid w:val="003430CB"/>
    <w:rsid w:val="0034452D"/>
    <w:rsid w:val="00345F40"/>
    <w:rsid w:val="0035655A"/>
    <w:rsid w:val="00356AEF"/>
    <w:rsid w:val="00357A42"/>
    <w:rsid w:val="00360EB4"/>
    <w:rsid w:val="00361CDC"/>
    <w:rsid w:val="00363F56"/>
    <w:rsid w:val="0037006D"/>
    <w:rsid w:val="003709D5"/>
    <w:rsid w:val="00370EBA"/>
    <w:rsid w:val="003729A7"/>
    <w:rsid w:val="0037527E"/>
    <w:rsid w:val="00380E20"/>
    <w:rsid w:val="003814A3"/>
    <w:rsid w:val="00383ACE"/>
    <w:rsid w:val="00384A42"/>
    <w:rsid w:val="003867DE"/>
    <w:rsid w:val="00386B45"/>
    <w:rsid w:val="003878FF"/>
    <w:rsid w:val="00390D49"/>
    <w:rsid w:val="003962B6"/>
    <w:rsid w:val="0039789D"/>
    <w:rsid w:val="003A0F1F"/>
    <w:rsid w:val="003A1325"/>
    <w:rsid w:val="003A24F2"/>
    <w:rsid w:val="003A46E6"/>
    <w:rsid w:val="003A490E"/>
    <w:rsid w:val="003A5352"/>
    <w:rsid w:val="003A5E6F"/>
    <w:rsid w:val="003A796F"/>
    <w:rsid w:val="003B0D03"/>
    <w:rsid w:val="003B1A8D"/>
    <w:rsid w:val="003B220D"/>
    <w:rsid w:val="003B321F"/>
    <w:rsid w:val="003B48A5"/>
    <w:rsid w:val="003B509F"/>
    <w:rsid w:val="003B54D8"/>
    <w:rsid w:val="003B599E"/>
    <w:rsid w:val="003B65A6"/>
    <w:rsid w:val="003B7917"/>
    <w:rsid w:val="003C29CA"/>
    <w:rsid w:val="003C3156"/>
    <w:rsid w:val="003C4136"/>
    <w:rsid w:val="003C62FE"/>
    <w:rsid w:val="003D052F"/>
    <w:rsid w:val="003D06FA"/>
    <w:rsid w:val="003D1475"/>
    <w:rsid w:val="003D249C"/>
    <w:rsid w:val="003D418F"/>
    <w:rsid w:val="003E112D"/>
    <w:rsid w:val="003E1C86"/>
    <w:rsid w:val="003E1CFE"/>
    <w:rsid w:val="003E2129"/>
    <w:rsid w:val="003E2F62"/>
    <w:rsid w:val="003E38CF"/>
    <w:rsid w:val="003E3995"/>
    <w:rsid w:val="003E5BAF"/>
    <w:rsid w:val="003F4E9A"/>
    <w:rsid w:val="003F598E"/>
    <w:rsid w:val="003F755C"/>
    <w:rsid w:val="003F7B5A"/>
    <w:rsid w:val="00400700"/>
    <w:rsid w:val="00400E62"/>
    <w:rsid w:val="0040548E"/>
    <w:rsid w:val="00405AC8"/>
    <w:rsid w:val="00406FF6"/>
    <w:rsid w:val="00410DB8"/>
    <w:rsid w:val="00411B64"/>
    <w:rsid w:val="00411FF7"/>
    <w:rsid w:val="00412363"/>
    <w:rsid w:val="00414CD7"/>
    <w:rsid w:val="004151B0"/>
    <w:rsid w:val="00415EA9"/>
    <w:rsid w:val="004172E2"/>
    <w:rsid w:val="004205DF"/>
    <w:rsid w:val="004206CB"/>
    <w:rsid w:val="004224E9"/>
    <w:rsid w:val="00422A20"/>
    <w:rsid w:val="00422BB0"/>
    <w:rsid w:val="004266A2"/>
    <w:rsid w:val="00427E78"/>
    <w:rsid w:val="004317A2"/>
    <w:rsid w:val="00433F06"/>
    <w:rsid w:val="00434ECE"/>
    <w:rsid w:val="00436EFC"/>
    <w:rsid w:val="00436FF2"/>
    <w:rsid w:val="0043741B"/>
    <w:rsid w:val="004446DD"/>
    <w:rsid w:val="00445151"/>
    <w:rsid w:val="00445858"/>
    <w:rsid w:val="00450060"/>
    <w:rsid w:val="0045069C"/>
    <w:rsid w:val="00450D1D"/>
    <w:rsid w:val="004516A7"/>
    <w:rsid w:val="004526F2"/>
    <w:rsid w:val="0045577E"/>
    <w:rsid w:val="004557A4"/>
    <w:rsid w:val="00455D45"/>
    <w:rsid w:val="00457774"/>
    <w:rsid w:val="004577F8"/>
    <w:rsid w:val="0046043B"/>
    <w:rsid w:val="00460498"/>
    <w:rsid w:val="004617F4"/>
    <w:rsid w:val="00462427"/>
    <w:rsid w:val="004631C4"/>
    <w:rsid w:val="004642FE"/>
    <w:rsid w:val="00466E1C"/>
    <w:rsid w:val="00466E42"/>
    <w:rsid w:val="00466F82"/>
    <w:rsid w:val="00467CA0"/>
    <w:rsid w:val="004707B5"/>
    <w:rsid w:val="00471474"/>
    <w:rsid w:val="004716DB"/>
    <w:rsid w:val="00472465"/>
    <w:rsid w:val="00472B66"/>
    <w:rsid w:val="00472C0D"/>
    <w:rsid w:val="00473BE0"/>
    <w:rsid w:val="00474B72"/>
    <w:rsid w:val="00477501"/>
    <w:rsid w:val="00477F44"/>
    <w:rsid w:val="00480542"/>
    <w:rsid w:val="004813ED"/>
    <w:rsid w:val="00482E51"/>
    <w:rsid w:val="00483F15"/>
    <w:rsid w:val="00484E65"/>
    <w:rsid w:val="00486C0C"/>
    <w:rsid w:val="00486C2D"/>
    <w:rsid w:val="004918BF"/>
    <w:rsid w:val="0049223D"/>
    <w:rsid w:val="00492635"/>
    <w:rsid w:val="00493AC8"/>
    <w:rsid w:val="004972BE"/>
    <w:rsid w:val="004A015D"/>
    <w:rsid w:val="004A0D7A"/>
    <w:rsid w:val="004A14AF"/>
    <w:rsid w:val="004A351F"/>
    <w:rsid w:val="004A42C3"/>
    <w:rsid w:val="004A7834"/>
    <w:rsid w:val="004A7AD4"/>
    <w:rsid w:val="004A7DC4"/>
    <w:rsid w:val="004B0A16"/>
    <w:rsid w:val="004B677D"/>
    <w:rsid w:val="004C002E"/>
    <w:rsid w:val="004C39B8"/>
    <w:rsid w:val="004C433F"/>
    <w:rsid w:val="004D032F"/>
    <w:rsid w:val="004D054A"/>
    <w:rsid w:val="004D1AC0"/>
    <w:rsid w:val="004D3DFB"/>
    <w:rsid w:val="004D5D8F"/>
    <w:rsid w:val="004D77F4"/>
    <w:rsid w:val="004E379E"/>
    <w:rsid w:val="004E46CD"/>
    <w:rsid w:val="004E4C0C"/>
    <w:rsid w:val="004E7DD0"/>
    <w:rsid w:val="004F1AA7"/>
    <w:rsid w:val="004F1D93"/>
    <w:rsid w:val="004F2CAE"/>
    <w:rsid w:val="004F4531"/>
    <w:rsid w:val="004F4DE9"/>
    <w:rsid w:val="004F5B67"/>
    <w:rsid w:val="004F5B82"/>
    <w:rsid w:val="004F7AF4"/>
    <w:rsid w:val="004F7B33"/>
    <w:rsid w:val="00501D16"/>
    <w:rsid w:val="00512D05"/>
    <w:rsid w:val="00513FBF"/>
    <w:rsid w:val="0051538B"/>
    <w:rsid w:val="00515E7F"/>
    <w:rsid w:val="00520D6F"/>
    <w:rsid w:val="005212FA"/>
    <w:rsid w:val="005217BA"/>
    <w:rsid w:val="005218AF"/>
    <w:rsid w:val="00522F21"/>
    <w:rsid w:val="00524122"/>
    <w:rsid w:val="00524163"/>
    <w:rsid w:val="00524903"/>
    <w:rsid w:val="005252CD"/>
    <w:rsid w:val="0052651F"/>
    <w:rsid w:val="005265EC"/>
    <w:rsid w:val="0052684C"/>
    <w:rsid w:val="00526E36"/>
    <w:rsid w:val="005300E3"/>
    <w:rsid w:val="00530F4C"/>
    <w:rsid w:val="00532022"/>
    <w:rsid w:val="005336E2"/>
    <w:rsid w:val="005347A0"/>
    <w:rsid w:val="0053534B"/>
    <w:rsid w:val="005354E5"/>
    <w:rsid w:val="00536A67"/>
    <w:rsid w:val="0054240E"/>
    <w:rsid w:val="00542815"/>
    <w:rsid w:val="00542B68"/>
    <w:rsid w:val="00547BA7"/>
    <w:rsid w:val="005516CC"/>
    <w:rsid w:val="00552F13"/>
    <w:rsid w:val="005546BA"/>
    <w:rsid w:val="0055566C"/>
    <w:rsid w:val="005565BB"/>
    <w:rsid w:val="00562769"/>
    <w:rsid w:val="00562A4A"/>
    <w:rsid w:val="00562EC1"/>
    <w:rsid w:val="005637C0"/>
    <w:rsid w:val="00565344"/>
    <w:rsid w:val="00565FC5"/>
    <w:rsid w:val="005662D8"/>
    <w:rsid w:val="005666E4"/>
    <w:rsid w:val="00566CC2"/>
    <w:rsid w:val="00570258"/>
    <w:rsid w:val="00572138"/>
    <w:rsid w:val="00572FD0"/>
    <w:rsid w:val="005804F5"/>
    <w:rsid w:val="005804FC"/>
    <w:rsid w:val="0058099D"/>
    <w:rsid w:val="00580AE7"/>
    <w:rsid w:val="005816BA"/>
    <w:rsid w:val="00582522"/>
    <w:rsid w:val="00582B67"/>
    <w:rsid w:val="005831EC"/>
    <w:rsid w:val="0058403F"/>
    <w:rsid w:val="00585506"/>
    <w:rsid w:val="00585ACC"/>
    <w:rsid w:val="005901E1"/>
    <w:rsid w:val="00590A38"/>
    <w:rsid w:val="00593288"/>
    <w:rsid w:val="005933A0"/>
    <w:rsid w:val="005940D1"/>
    <w:rsid w:val="00596959"/>
    <w:rsid w:val="00596AC1"/>
    <w:rsid w:val="005978E2"/>
    <w:rsid w:val="00597F8B"/>
    <w:rsid w:val="005A15E6"/>
    <w:rsid w:val="005A1847"/>
    <w:rsid w:val="005A20CE"/>
    <w:rsid w:val="005A30E1"/>
    <w:rsid w:val="005A3995"/>
    <w:rsid w:val="005A5D9D"/>
    <w:rsid w:val="005B0B15"/>
    <w:rsid w:val="005B15AA"/>
    <w:rsid w:val="005B1874"/>
    <w:rsid w:val="005B33DB"/>
    <w:rsid w:val="005B3EC8"/>
    <w:rsid w:val="005B74AE"/>
    <w:rsid w:val="005B7B92"/>
    <w:rsid w:val="005B7C4E"/>
    <w:rsid w:val="005C04E0"/>
    <w:rsid w:val="005C12DA"/>
    <w:rsid w:val="005C1F58"/>
    <w:rsid w:val="005C2104"/>
    <w:rsid w:val="005C24C4"/>
    <w:rsid w:val="005C4853"/>
    <w:rsid w:val="005C6A35"/>
    <w:rsid w:val="005D2135"/>
    <w:rsid w:val="005D381C"/>
    <w:rsid w:val="005D4392"/>
    <w:rsid w:val="005D5F63"/>
    <w:rsid w:val="005D6128"/>
    <w:rsid w:val="005E1AA3"/>
    <w:rsid w:val="005E2717"/>
    <w:rsid w:val="005E5880"/>
    <w:rsid w:val="005E5B93"/>
    <w:rsid w:val="005E6364"/>
    <w:rsid w:val="005E64C6"/>
    <w:rsid w:val="005E6EC0"/>
    <w:rsid w:val="005E6F7D"/>
    <w:rsid w:val="005F1855"/>
    <w:rsid w:val="005F2037"/>
    <w:rsid w:val="005F2506"/>
    <w:rsid w:val="005F369A"/>
    <w:rsid w:val="005F75C9"/>
    <w:rsid w:val="005F76EB"/>
    <w:rsid w:val="006015A7"/>
    <w:rsid w:val="00601D36"/>
    <w:rsid w:val="00602617"/>
    <w:rsid w:val="00603FA5"/>
    <w:rsid w:val="00604DB0"/>
    <w:rsid w:val="00605326"/>
    <w:rsid w:val="00605A05"/>
    <w:rsid w:val="00610244"/>
    <w:rsid w:val="0061253E"/>
    <w:rsid w:val="00612F94"/>
    <w:rsid w:val="00615283"/>
    <w:rsid w:val="00616B71"/>
    <w:rsid w:val="0061796A"/>
    <w:rsid w:val="00620B74"/>
    <w:rsid w:val="0062279A"/>
    <w:rsid w:val="00623EA3"/>
    <w:rsid w:val="006263F1"/>
    <w:rsid w:val="00626B37"/>
    <w:rsid w:val="0063134A"/>
    <w:rsid w:val="006319E4"/>
    <w:rsid w:val="00633585"/>
    <w:rsid w:val="00633945"/>
    <w:rsid w:val="00634241"/>
    <w:rsid w:val="0063447C"/>
    <w:rsid w:val="006351B0"/>
    <w:rsid w:val="00635463"/>
    <w:rsid w:val="006373BF"/>
    <w:rsid w:val="0064199A"/>
    <w:rsid w:val="00642E8F"/>
    <w:rsid w:val="00642F52"/>
    <w:rsid w:val="0064447C"/>
    <w:rsid w:val="00644A7F"/>
    <w:rsid w:val="0064770F"/>
    <w:rsid w:val="00651051"/>
    <w:rsid w:val="00651997"/>
    <w:rsid w:val="00652D58"/>
    <w:rsid w:val="00654148"/>
    <w:rsid w:val="006545A5"/>
    <w:rsid w:val="00654E03"/>
    <w:rsid w:val="0065597B"/>
    <w:rsid w:val="00657327"/>
    <w:rsid w:val="0066298E"/>
    <w:rsid w:val="006648EE"/>
    <w:rsid w:val="0066636A"/>
    <w:rsid w:val="006732BC"/>
    <w:rsid w:val="006739FC"/>
    <w:rsid w:val="006762FA"/>
    <w:rsid w:val="00676A97"/>
    <w:rsid w:val="006820C5"/>
    <w:rsid w:val="0068302A"/>
    <w:rsid w:val="00683A20"/>
    <w:rsid w:val="006855CA"/>
    <w:rsid w:val="00685A91"/>
    <w:rsid w:val="006867CE"/>
    <w:rsid w:val="00686E98"/>
    <w:rsid w:val="00686F6F"/>
    <w:rsid w:val="00687DF7"/>
    <w:rsid w:val="00687ED0"/>
    <w:rsid w:val="0069249B"/>
    <w:rsid w:val="00692BF3"/>
    <w:rsid w:val="006942E2"/>
    <w:rsid w:val="00694ACC"/>
    <w:rsid w:val="006972CF"/>
    <w:rsid w:val="00697C0D"/>
    <w:rsid w:val="006A0E11"/>
    <w:rsid w:val="006A179A"/>
    <w:rsid w:val="006A22E1"/>
    <w:rsid w:val="006A44F4"/>
    <w:rsid w:val="006A44FD"/>
    <w:rsid w:val="006A4D1C"/>
    <w:rsid w:val="006A4FDC"/>
    <w:rsid w:val="006A6E77"/>
    <w:rsid w:val="006B02A5"/>
    <w:rsid w:val="006B2D47"/>
    <w:rsid w:val="006B5374"/>
    <w:rsid w:val="006B592B"/>
    <w:rsid w:val="006B6505"/>
    <w:rsid w:val="006B7F08"/>
    <w:rsid w:val="006C0DB5"/>
    <w:rsid w:val="006C144F"/>
    <w:rsid w:val="006C5016"/>
    <w:rsid w:val="006C5910"/>
    <w:rsid w:val="006C63D1"/>
    <w:rsid w:val="006C6B01"/>
    <w:rsid w:val="006D38AB"/>
    <w:rsid w:val="006D3D56"/>
    <w:rsid w:val="006D456B"/>
    <w:rsid w:val="006D63D3"/>
    <w:rsid w:val="006E20D8"/>
    <w:rsid w:val="006E3C15"/>
    <w:rsid w:val="006E4F9A"/>
    <w:rsid w:val="006E6774"/>
    <w:rsid w:val="006E6E74"/>
    <w:rsid w:val="006F1156"/>
    <w:rsid w:val="006F12AF"/>
    <w:rsid w:val="006F2F6F"/>
    <w:rsid w:val="007024AF"/>
    <w:rsid w:val="007026AD"/>
    <w:rsid w:val="0070318A"/>
    <w:rsid w:val="00704554"/>
    <w:rsid w:val="00706D6E"/>
    <w:rsid w:val="00706E09"/>
    <w:rsid w:val="00710A40"/>
    <w:rsid w:val="0071244F"/>
    <w:rsid w:val="00712DA7"/>
    <w:rsid w:val="007152E9"/>
    <w:rsid w:val="00715479"/>
    <w:rsid w:val="00715B6E"/>
    <w:rsid w:val="00716358"/>
    <w:rsid w:val="00716603"/>
    <w:rsid w:val="00716626"/>
    <w:rsid w:val="00720074"/>
    <w:rsid w:val="00721BB8"/>
    <w:rsid w:val="00722718"/>
    <w:rsid w:val="0072283E"/>
    <w:rsid w:val="00722FD1"/>
    <w:rsid w:val="0072560C"/>
    <w:rsid w:val="0072632F"/>
    <w:rsid w:val="007314A8"/>
    <w:rsid w:val="007324A5"/>
    <w:rsid w:val="00734E57"/>
    <w:rsid w:val="00736869"/>
    <w:rsid w:val="0073772B"/>
    <w:rsid w:val="00741200"/>
    <w:rsid w:val="0074291B"/>
    <w:rsid w:val="00743649"/>
    <w:rsid w:val="00743B46"/>
    <w:rsid w:val="00745AE2"/>
    <w:rsid w:val="00746164"/>
    <w:rsid w:val="00750C30"/>
    <w:rsid w:val="0075108C"/>
    <w:rsid w:val="00751558"/>
    <w:rsid w:val="007516A1"/>
    <w:rsid w:val="00753A66"/>
    <w:rsid w:val="0075408C"/>
    <w:rsid w:val="00754812"/>
    <w:rsid w:val="0075598F"/>
    <w:rsid w:val="00755B4E"/>
    <w:rsid w:val="00761E37"/>
    <w:rsid w:val="007747F6"/>
    <w:rsid w:val="00774B4C"/>
    <w:rsid w:val="00774E8B"/>
    <w:rsid w:val="007750A2"/>
    <w:rsid w:val="007760BF"/>
    <w:rsid w:val="00780D5C"/>
    <w:rsid w:val="00780E04"/>
    <w:rsid w:val="0078450B"/>
    <w:rsid w:val="00790A91"/>
    <w:rsid w:val="00790B8B"/>
    <w:rsid w:val="00790FD6"/>
    <w:rsid w:val="00791D4B"/>
    <w:rsid w:val="00792D1A"/>
    <w:rsid w:val="00793255"/>
    <w:rsid w:val="00794642"/>
    <w:rsid w:val="00795403"/>
    <w:rsid w:val="007955FC"/>
    <w:rsid w:val="00795B01"/>
    <w:rsid w:val="0079619C"/>
    <w:rsid w:val="00796426"/>
    <w:rsid w:val="007978E4"/>
    <w:rsid w:val="007A3CEC"/>
    <w:rsid w:val="007A4C74"/>
    <w:rsid w:val="007A658C"/>
    <w:rsid w:val="007A6F11"/>
    <w:rsid w:val="007A7D4A"/>
    <w:rsid w:val="007B1256"/>
    <w:rsid w:val="007B3A9D"/>
    <w:rsid w:val="007B3DC7"/>
    <w:rsid w:val="007B4176"/>
    <w:rsid w:val="007B7B2D"/>
    <w:rsid w:val="007B7C4A"/>
    <w:rsid w:val="007B7CC6"/>
    <w:rsid w:val="007C0A78"/>
    <w:rsid w:val="007C1AD9"/>
    <w:rsid w:val="007C1C90"/>
    <w:rsid w:val="007C31B8"/>
    <w:rsid w:val="007C4D46"/>
    <w:rsid w:val="007C6E3D"/>
    <w:rsid w:val="007C710C"/>
    <w:rsid w:val="007D098A"/>
    <w:rsid w:val="007D1C39"/>
    <w:rsid w:val="007D2160"/>
    <w:rsid w:val="007D5D53"/>
    <w:rsid w:val="007D5E84"/>
    <w:rsid w:val="007D6F9D"/>
    <w:rsid w:val="007E1A71"/>
    <w:rsid w:val="007E1BE5"/>
    <w:rsid w:val="007E1F15"/>
    <w:rsid w:val="007E28D3"/>
    <w:rsid w:val="007E303B"/>
    <w:rsid w:val="007E3580"/>
    <w:rsid w:val="007E405F"/>
    <w:rsid w:val="007E4900"/>
    <w:rsid w:val="007E4A8F"/>
    <w:rsid w:val="007E52C3"/>
    <w:rsid w:val="007F1CE3"/>
    <w:rsid w:val="007F2D48"/>
    <w:rsid w:val="007F34CF"/>
    <w:rsid w:val="007F3B18"/>
    <w:rsid w:val="007F505E"/>
    <w:rsid w:val="007F5EEE"/>
    <w:rsid w:val="00800142"/>
    <w:rsid w:val="00802A17"/>
    <w:rsid w:val="00802DEC"/>
    <w:rsid w:val="008050FE"/>
    <w:rsid w:val="00805565"/>
    <w:rsid w:val="00805E74"/>
    <w:rsid w:val="008060A6"/>
    <w:rsid w:val="008062EF"/>
    <w:rsid w:val="00807592"/>
    <w:rsid w:val="008078DF"/>
    <w:rsid w:val="00813138"/>
    <w:rsid w:val="00815893"/>
    <w:rsid w:val="00816D38"/>
    <w:rsid w:val="00817518"/>
    <w:rsid w:val="00817AB1"/>
    <w:rsid w:val="00821A0F"/>
    <w:rsid w:val="00822541"/>
    <w:rsid w:val="0082402D"/>
    <w:rsid w:val="00824819"/>
    <w:rsid w:val="00826586"/>
    <w:rsid w:val="00826ED2"/>
    <w:rsid w:val="008301D9"/>
    <w:rsid w:val="008323BF"/>
    <w:rsid w:val="008364E9"/>
    <w:rsid w:val="008408AD"/>
    <w:rsid w:val="00844E65"/>
    <w:rsid w:val="008472A8"/>
    <w:rsid w:val="008472B9"/>
    <w:rsid w:val="00847767"/>
    <w:rsid w:val="00852BBA"/>
    <w:rsid w:val="00853B19"/>
    <w:rsid w:val="00855496"/>
    <w:rsid w:val="008556D5"/>
    <w:rsid w:val="0086043C"/>
    <w:rsid w:val="00860736"/>
    <w:rsid w:val="00860BB8"/>
    <w:rsid w:val="0086168D"/>
    <w:rsid w:val="00861D67"/>
    <w:rsid w:val="00863ED0"/>
    <w:rsid w:val="0086444C"/>
    <w:rsid w:val="0086570B"/>
    <w:rsid w:val="00865787"/>
    <w:rsid w:val="008660DD"/>
    <w:rsid w:val="00870EA8"/>
    <w:rsid w:val="00872458"/>
    <w:rsid w:val="00872F3D"/>
    <w:rsid w:val="00873743"/>
    <w:rsid w:val="00873886"/>
    <w:rsid w:val="00873F0D"/>
    <w:rsid w:val="00876CF0"/>
    <w:rsid w:val="0087718C"/>
    <w:rsid w:val="00877220"/>
    <w:rsid w:val="00877A88"/>
    <w:rsid w:val="00877D2F"/>
    <w:rsid w:val="0088145F"/>
    <w:rsid w:val="008814FF"/>
    <w:rsid w:val="0088297E"/>
    <w:rsid w:val="00886634"/>
    <w:rsid w:val="00890BF2"/>
    <w:rsid w:val="00890CFB"/>
    <w:rsid w:val="00891E99"/>
    <w:rsid w:val="00892869"/>
    <w:rsid w:val="00892BF3"/>
    <w:rsid w:val="00893FEE"/>
    <w:rsid w:val="00895FD7"/>
    <w:rsid w:val="008A0287"/>
    <w:rsid w:val="008A02A9"/>
    <w:rsid w:val="008A0474"/>
    <w:rsid w:val="008A4935"/>
    <w:rsid w:val="008A705E"/>
    <w:rsid w:val="008B24BE"/>
    <w:rsid w:val="008B4653"/>
    <w:rsid w:val="008B5EC1"/>
    <w:rsid w:val="008B64F1"/>
    <w:rsid w:val="008B67E8"/>
    <w:rsid w:val="008B7BA3"/>
    <w:rsid w:val="008B7C1B"/>
    <w:rsid w:val="008B7F8C"/>
    <w:rsid w:val="008C0910"/>
    <w:rsid w:val="008C10F6"/>
    <w:rsid w:val="008C151E"/>
    <w:rsid w:val="008C2E51"/>
    <w:rsid w:val="008C408F"/>
    <w:rsid w:val="008C5875"/>
    <w:rsid w:val="008C5E87"/>
    <w:rsid w:val="008D3209"/>
    <w:rsid w:val="008D565D"/>
    <w:rsid w:val="008D5967"/>
    <w:rsid w:val="008D702C"/>
    <w:rsid w:val="008D7129"/>
    <w:rsid w:val="008D7BFE"/>
    <w:rsid w:val="008D7E2D"/>
    <w:rsid w:val="008E0DD5"/>
    <w:rsid w:val="008E410C"/>
    <w:rsid w:val="008E485A"/>
    <w:rsid w:val="008E4FFF"/>
    <w:rsid w:val="008E5056"/>
    <w:rsid w:val="008E7607"/>
    <w:rsid w:val="008F06F5"/>
    <w:rsid w:val="008F31F2"/>
    <w:rsid w:val="008F441B"/>
    <w:rsid w:val="008F5A09"/>
    <w:rsid w:val="008F5B87"/>
    <w:rsid w:val="008F7A14"/>
    <w:rsid w:val="0090040B"/>
    <w:rsid w:val="00900BEF"/>
    <w:rsid w:val="009011ED"/>
    <w:rsid w:val="00902485"/>
    <w:rsid w:val="00903357"/>
    <w:rsid w:val="00904F5D"/>
    <w:rsid w:val="00911744"/>
    <w:rsid w:val="009145B9"/>
    <w:rsid w:val="009159E9"/>
    <w:rsid w:val="009163C4"/>
    <w:rsid w:val="00917FF2"/>
    <w:rsid w:val="009204BE"/>
    <w:rsid w:val="00921ABD"/>
    <w:rsid w:val="00921CE8"/>
    <w:rsid w:val="009220CC"/>
    <w:rsid w:val="009220EB"/>
    <w:rsid w:val="009238EE"/>
    <w:rsid w:val="0092612E"/>
    <w:rsid w:val="009274A4"/>
    <w:rsid w:val="00932210"/>
    <w:rsid w:val="00932294"/>
    <w:rsid w:val="009334FF"/>
    <w:rsid w:val="00935531"/>
    <w:rsid w:val="0093599C"/>
    <w:rsid w:val="0093656D"/>
    <w:rsid w:val="00942E9C"/>
    <w:rsid w:val="0094373A"/>
    <w:rsid w:val="00943BA5"/>
    <w:rsid w:val="00946E15"/>
    <w:rsid w:val="009476DB"/>
    <w:rsid w:val="00950B92"/>
    <w:rsid w:val="00950C66"/>
    <w:rsid w:val="0095246B"/>
    <w:rsid w:val="009527B7"/>
    <w:rsid w:val="009531A4"/>
    <w:rsid w:val="00953299"/>
    <w:rsid w:val="00953893"/>
    <w:rsid w:val="00954061"/>
    <w:rsid w:val="009550FC"/>
    <w:rsid w:val="00955A30"/>
    <w:rsid w:val="0096156C"/>
    <w:rsid w:val="00962288"/>
    <w:rsid w:val="00962394"/>
    <w:rsid w:val="00962E6B"/>
    <w:rsid w:val="0096320D"/>
    <w:rsid w:val="009635CD"/>
    <w:rsid w:val="00964CD4"/>
    <w:rsid w:val="00970088"/>
    <w:rsid w:val="00972DDB"/>
    <w:rsid w:val="00974C81"/>
    <w:rsid w:val="00974FCA"/>
    <w:rsid w:val="0097636F"/>
    <w:rsid w:val="0097768E"/>
    <w:rsid w:val="00980214"/>
    <w:rsid w:val="00981849"/>
    <w:rsid w:val="009818B7"/>
    <w:rsid w:val="00981D2E"/>
    <w:rsid w:val="0098241A"/>
    <w:rsid w:val="00982541"/>
    <w:rsid w:val="00983699"/>
    <w:rsid w:val="00984DCA"/>
    <w:rsid w:val="00985F4D"/>
    <w:rsid w:val="0098606C"/>
    <w:rsid w:val="00986C3C"/>
    <w:rsid w:val="00987483"/>
    <w:rsid w:val="00990888"/>
    <w:rsid w:val="009918DE"/>
    <w:rsid w:val="00991B6E"/>
    <w:rsid w:val="00991D67"/>
    <w:rsid w:val="00993296"/>
    <w:rsid w:val="00994E0C"/>
    <w:rsid w:val="00995E41"/>
    <w:rsid w:val="0099748A"/>
    <w:rsid w:val="009A017E"/>
    <w:rsid w:val="009A5994"/>
    <w:rsid w:val="009A6816"/>
    <w:rsid w:val="009A687F"/>
    <w:rsid w:val="009A78E0"/>
    <w:rsid w:val="009B06E4"/>
    <w:rsid w:val="009B079F"/>
    <w:rsid w:val="009B1FB8"/>
    <w:rsid w:val="009B249B"/>
    <w:rsid w:val="009B2FBF"/>
    <w:rsid w:val="009B412F"/>
    <w:rsid w:val="009B495E"/>
    <w:rsid w:val="009B4979"/>
    <w:rsid w:val="009B6B23"/>
    <w:rsid w:val="009B752D"/>
    <w:rsid w:val="009C0EDD"/>
    <w:rsid w:val="009C30A4"/>
    <w:rsid w:val="009C729A"/>
    <w:rsid w:val="009C78BE"/>
    <w:rsid w:val="009C7E64"/>
    <w:rsid w:val="009D00C3"/>
    <w:rsid w:val="009D3007"/>
    <w:rsid w:val="009D437C"/>
    <w:rsid w:val="009D46BC"/>
    <w:rsid w:val="009D4878"/>
    <w:rsid w:val="009D4B7C"/>
    <w:rsid w:val="009D5914"/>
    <w:rsid w:val="009D5A41"/>
    <w:rsid w:val="009E2741"/>
    <w:rsid w:val="009E288B"/>
    <w:rsid w:val="009E3141"/>
    <w:rsid w:val="009E35FB"/>
    <w:rsid w:val="009E3893"/>
    <w:rsid w:val="009E6F4B"/>
    <w:rsid w:val="009E7AB7"/>
    <w:rsid w:val="009E7AC0"/>
    <w:rsid w:val="009F064E"/>
    <w:rsid w:val="009F06B0"/>
    <w:rsid w:val="009F06E9"/>
    <w:rsid w:val="009F08F5"/>
    <w:rsid w:val="009F095D"/>
    <w:rsid w:val="009F13F7"/>
    <w:rsid w:val="009F1472"/>
    <w:rsid w:val="009F17EB"/>
    <w:rsid w:val="009F1F81"/>
    <w:rsid w:val="009F2149"/>
    <w:rsid w:val="009F304D"/>
    <w:rsid w:val="009F54BD"/>
    <w:rsid w:val="009F5887"/>
    <w:rsid w:val="009F5ED5"/>
    <w:rsid w:val="009F5F46"/>
    <w:rsid w:val="009F6442"/>
    <w:rsid w:val="009F6A2B"/>
    <w:rsid w:val="00A00F94"/>
    <w:rsid w:val="00A01586"/>
    <w:rsid w:val="00A0180A"/>
    <w:rsid w:val="00A02B98"/>
    <w:rsid w:val="00A066AA"/>
    <w:rsid w:val="00A07D3B"/>
    <w:rsid w:val="00A10CF6"/>
    <w:rsid w:val="00A11BAF"/>
    <w:rsid w:val="00A14C76"/>
    <w:rsid w:val="00A16011"/>
    <w:rsid w:val="00A1772E"/>
    <w:rsid w:val="00A229B8"/>
    <w:rsid w:val="00A229E8"/>
    <w:rsid w:val="00A239E4"/>
    <w:rsid w:val="00A257F3"/>
    <w:rsid w:val="00A25A06"/>
    <w:rsid w:val="00A25CE1"/>
    <w:rsid w:val="00A3253F"/>
    <w:rsid w:val="00A3381D"/>
    <w:rsid w:val="00A37234"/>
    <w:rsid w:val="00A37799"/>
    <w:rsid w:val="00A37C37"/>
    <w:rsid w:val="00A37F2C"/>
    <w:rsid w:val="00A40439"/>
    <w:rsid w:val="00A40ACF"/>
    <w:rsid w:val="00A42205"/>
    <w:rsid w:val="00A42C77"/>
    <w:rsid w:val="00A43026"/>
    <w:rsid w:val="00A44BAB"/>
    <w:rsid w:val="00A4744F"/>
    <w:rsid w:val="00A47F0E"/>
    <w:rsid w:val="00A51BC9"/>
    <w:rsid w:val="00A524F1"/>
    <w:rsid w:val="00A55618"/>
    <w:rsid w:val="00A569E4"/>
    <w:rsid w:val="00A57225"/>
    <w:rsid w:val="00A60925"/>
    <w:rsid w:val="00A614B0"/>
    <w:rsid w:val="00A61A66"/>
    <w:rsid w:val="00A6266F"/>
    <w:rsid w:val="00A62D32"/>
    <w:rsid w:val="00A63612"/>
    <w:rsid w:val="00A64586"/>
    <w:rsid w:val="00A647B6"/>
    <w:rsid w:val="00A658E1"/>
    <w:rsid w:val="00A66D2C"/>
    <w:rsid w:val="00A70E68"/>
    <w:rsid w:val="00A729C7"/>
    <w:rsid w:val="00A730E4"/>
    <w:rsid w:val="00A73FB8"/>
    <w:rsid w:val="00A749E2"/>
    <w:rsid w:val="00A77492"/>
    <w:rsid w:val="00A77BD3"/>
    <w:rsid w:val="00A77C07"/>
    <w:rsid w:val="00A82841"/>
    <w:rsid w:val="00A836AD"/>
    <w:rsid w:val="00A837D8"/>
    <w:rsid w:val="00A8473E"/>
    <w:rsid w:val="00A84865"/>
    <w:rsid w:val="00A86809"/>
    <w:rsid w:val="00A90025"/>
    <w:rsid w:val="00A90440"/>
    <w:rsid w:val="00A92260"/>
    <w:rsid w:val="00A939D0"/>
    <w:rsid w:val="00A94922"/>
    <w:rsid w:val="00A9617C"/>
    <w:rsid w:val="00A9763B"/>
    <w:rsid w:val="00A97BDD"/>
    <w:rsid w:val="00AA20DD"/>
    <w:rsid w:val="00AA2767"/>
    <w:rsid w:val="00AA2CD0"/>
    <w:rsid w:val="00AA440D"/>
    <w:rsid w:val="00AA46DE"/>
    <w:rsid w:val="00AB10A5"/>
    <w:rsid w:val="00AB1D5B"/>
    <w:rsid w:val="00AB32E7"/>
    <w:rsid w:val="00AB3B8B"/>
    <w:rsid w:val="00AB42EF"/>
    <w:rsid w:val="00AB46A4"/>
    <w:rsid w:val="00AC0F76"/>
    <w:rsid w:val="00AC13E0"/>
    <w:rsid w:val="00AC1CB9"/>
    <w:rsid w:val="00AC56F8"/>
    <w:rsid w:val="00AC5EC2"/>
    <w:rsid w:val="00AC6EE9"/>
    <w:rsid w:val="00AC70A5"/>
    <w:rsid w:val="00AC7C50"/>
    <w:rsid w:val="00AC7E2D"/>
    <w:rsid w:val="00AD001E"/>
    <w:rsid w:val="00AD4EB2"/>
    <w:rsid w:val="00AD5367"/>
    <w:rsid w:val="00AD5976"/>
    <w:rsid w:val="00AD66B3"/>
    <w:rsid w:val="00AD6AC5"/>
    <w:rsid w:val="00AE0315"/>
    <w:rsid w:val="00AE387E"/>
    <w:rsid w:val="00AE3BE4"/>
    <w:rsid w:val="00AE521D"/>
    <w:rsid w:val="00AE678D"/>
    <w:rsid w:val="00AE78FC"/>
    <w:rsid w:val="00AF04FF"/>
    <w:rsid w:val="00AF2419"/>
    <w:rsid w:val="00AF379E"/>
    <w:rsid w:val="00AF41D5"/>
    <w:rsid w:val="00AF4887"/>
    <w:rsid w:val="00AF531F"/>
    <w:rsid w:val="00B0152E"/>
    <w:rsid w:val="00B0633D"/>
    <w:rsid w:val="00B07156"/>
    <w:rsid w:val="00B117F1"/>
    <w:rsid w:val="00B13E68"/>
    <w:rsid w:val="00B15C3F"/>
    <w:rsid w:val="00B16683"/>
    <w:rsid w:val="00B16E01"/>
    <w:rsid w:val="00B1731E"/>
    <w:rsid w:val="00B20588"/>
    <w:rsid w:val="00B20E6A"/>
    <w:rsid w:val="00B21C77"/>
    <w:rsid w:val="00B22CD6"/>
    <w:rsid w:val="00B24995"/>
    <w:rsid w:val="00B25636"/>
    <w:rsid w:val="00B25B45"/>
    <w:rsid w:val="00B26A86"/>
    <w:rsid w:val="00B26FC4"/>
    <w:rsid w:val="00B27FCE"/>
    <w:rsid w:val="00B31124"/>
    <w:rsid w:val="00B317B4"/>
    <w:rsid w:val="00B32044"/>
    <w:rsid w:val="00B32404"/>
    <w:rsid w:val="00B32B3C"/>
    <w:rsid w:val="00B33815"/>
    <w:rsid w:val="00B33AA4"/>
    <w:rsid w:val="00B3403C"/>
    <w:rsid w:val="00B34EE2"/>
    <w:rsid w:val="00B35F22"/>
    <w:rsid w:val="00B35F46"/>
    <w:rsid w:val="00B400EE"/>
    <w:rsid w:val="00B4095A"/>
    <w:rsid w:val="00B40DA8"/>
    <w:rsid w:val="00B41D29"/>
    <w:rsid w:val="00B452BA"/>
    <w:rsid w:val="00B45784"/>
    <w:rsid w:val="00B46D75"/>
    <w:rsid w:val="00B47E46"/>
    <w:rsid w:val="00B5023C"/>
    <w:rsid w:val="00B5252D"/>
    <w:rsid w:val="00B53E6A"/>
    <w:rsid w:val="00B54136"/>
    <w:rsid w:val="00B561EC"/>
    <w:rsid w:val="00B56367"/>
    <w:rsid w:val="00B56B4F"/>
    <w:rsid w:val="00B57653"/>
    <w:rsid w:val="00B61840"/>
    <w:rsid w:val="00B63E71"/>
    <w:rsid w:val="00B64C21"/>
    <w:rsid w:val="00B64D9E"/>
    <w:rsid w:val="00B71897"/>
    <w:rsid w:val="00B71A43"/>
    <w:rsid w:val="00B71FE9"/>
    <w:rsid w:val="00B72641"/>
    <w:rsid w:val="00B72C56"/>
    <w:rsid w:val="00B75117"/>
    <w:rsid w:val="00B7555A"/>
    <w:rsid w:val="00B75A12"/>
    <w:rsid w:val="00B769C2"/>
    <w:rsid w:val="00B819C6"/>
    <w:rsid w:val="00B83961"/>
    <w:rsid w:val="00B83D68"/>
    <w:rsid w:val="00B844C4"/>
    <w:rsid w:val="00B84A3C"/>
    <w:rsid w:val="00B8529A"/>
    <w:rsid w:val="00B85407"/>
    <w:rsid w:val="00B85419"/>
    <w:rsid w:val="00B858BC"/>
    <w:rsid w:val="00B87840"/>
    <w:rsid w:val="00B903A3"/>
    <w:rsid w:val="00B9071B"/>
    <w:rsid w:val="00B91DF3"/>
    <w:rsid w:val="00B928CD"/>
    <w:rsid w:val="00B93210"/>
    <w:rsid w:val="00B93837"/>
    <w:rsid w:val="00B93CE4"/>
    <w:rsid w:val="00BA142C"/>
    <w:rsid w:val="00BA185F"/>
    <w:rsid w:val="00BA4DA4"/>
    <w:rsid w:val="00BA59DE"/>
    <w:rsid w:val="00BA60CA"/>
    <w:rsid w:val="00BA6817"/>
    <w:rsid w:val="00BA7340"/>
    <w:rsid w:val="00BA797E"/>
    <w:rsid w:val="00BB0300"/>
    <w:rsid w:val="00BB2493"/>
    <w:rsid w:val="00BB2ABA"/>
    <w:rsid w:val="00BB2E05"/>
    <w:rsid w:val="00BB37B5"/>
    <w:rsid w:val="00BB7FB3"/>
    <w:rsid w:val="00BC049C"/>
    <w:rsid w:val="00BC29BF"/>
    <w:rsid w:val="00BC2F77"/>
    <w:rsid w:val="00BC42A9"/>
    <w:rsid w:val="00BC6663"/>
    <w:rsid w:val="00BC69BE"/>
    <w:rsid w:val="00BC78D1"/>
    <w:rsid w:val="00BD0A58"/>
    <w:rsid w:val="00BD0FC7"/>
    <w:rsid w:val="00BD2132"/>
    <w:rsid w:val="00BD2CAC"/>
    <w:rsid w:val="00BD3046"/>
    <w:rsid w:val="00BD4BDD"/>
    <w:rsid w:val="00BD5262"/>
    <w:rsid w:val="00BD5DFB"/>
    <w:rsid w:val="00BE065F"/>
    <w:rsid w:val="00BE1228"/>
    <w:rsid w:val="00BE4048"/>
    <w:rsid w:val="00BE499E"/>
    <w:rsid w:val="00BE686D"/>
    <w:rsid w:val="00BE73B5"/>
    <w:rsid w:val="00BE7EA2"/>
    <w:rsid w:val="00BF046B"/>
    <w:rsid w:val="00BF0813"/>
    <w:rsid w:val="00BF320E"/>
    <w:rsid w:val="00BF3682"/>
    <w:rsid w:val="00BF43DC"/>
    <w:rsid w:val="00BF4D42"/>
    <w:rsid w:val="00BF5288"/>
    <w:rsid w:val="00BF7878"/>
    <w:rsid w:val="00C01141"/>
    <w:rsid w:val="00C01E81"/>
    <w:rsid w:val="00C05113"/>
    <w:rsid w:val="00C05DE1"/>
    <w:rsid w:val="00C069E1"/>
    <w:rsid w:val="00C06F61"/>
    <w:rsid w:val="00C07905"/>
    <w:rsid w:val="00C07ED7"/>
    <w:rsid w:val="00C103BA"/>
    <w:rsid w:val="00C11244"/>
    <w:rsid w:val="00C130A6"/>
    <w:rsid w:val="00C130D8"/>
    <w:rsid w:val="00C143E7"/>
    <w:rsid w:val="00C14452"/>
    <w:rsid w:val="00C15189"/>
    <w:rsid w:val="00C15BBE"/>
    <w:rsid w:val="00C175DB"/>
    <w:rsid w:val="00C20422"/>
    <w:rsid w:val="00C20923"/>
    <w:rsid w:val="00C23158"/>
    <w:rsid w:val="00C26768"/>
    <w:rsid w:val="00C26C5C"/>
    <w:rsid w:val="00C26C98"/>
    <w:rsid w:val="00C30EFF"/>
    <w:rsid w:val="00C31234"/>
    <w:rsid w:val="00C317C3"/>
    <w:rsid w:val="00C335E0"/>
    <w:rsid w:val="00C34CA7"/>
    <w:rsid w:val="00C35481"/>
    <w:rsid w:val="00C356CD"/>
    <w:rsid w:val="00C36E06"/>
    <w:rsid w:val="00C401E6"/>
    <w:rsid w:val="00C42476"/>
    <w:rsid w:val="00C4294C"/>
    <w:rsid w:val="00C44B26"/>
    <w:rsid w:val="00C47DD6"/>
    <w:rsid w:val="00C53045"/>
    <w:rsid w:val="00C53337"/>
    <w:rsid w:val="00C53508"/>
    <w:rsid w:val="00C57A28"/>
    <w:rsid w:val="00C6044D"/>
    <w:rsid w:val="00C60549"/>
    <w:rsid w:val="00C60C77"/>
    <w:rsid w:val="00C61157"/>
    <w:rsid w:val="00C6405E"/>
    <w:rsid w:val="00C64314"/>
    <w:rsid w:val="00C65568"/>
    <w:rsid w:val="00C6570A"/>
    <w:rsid w:val="00C65DDC"/>
    <w:rsid w:val="00C67E48"/>
    <w:rsid w:val="00C71C8A"/>
    <w:rsid w:val="00C73181"/>
    <w:rsid w:val="00C7534C"/>
    <w:rsid w:val="00C75D65"/>
    <w:rsid w:val="00C76C86"/>
    <w:rsid w:val="00C814B4"/>
    <w:rsid w:val="00C815A8"/>
    <w:rsid w:val="00C8241A"/>
    <w:rsid w:val="00C82B39"/>
    <w:rsid w:val="00C863C4"/>
    <w:rsid w:val="00C868B6"/>
    <w:rsid w:val="00C86EC9"/>
    <w:rsid w:val="00C87F53"/>
    <w:rsid w:val="00C90708"/>
    <w:rsid w:val="00C908E1"/>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B0149"/>
    <w:rsid w:val="00CB1126"/>
    <w:rsid w:val="00CB13EB"/>
    <w:rsid w:val="00CB2C4C"/>
    <w:rsid w:val="00CB3CF0"/>
    <w:rsid w:val="00CB6B04"/>
    <w:rsid w:val="00CB7661"/>
    <w:rsid w:val="00CC095E"/>
    <w:rsid w:val="00CC14AE"/>
    <w:rsid w:val="00CC42D5"/>
    <w:rsid w:val="00CC4819"/>
    <w:rsid w:val="00CC5ABC"/>
    <w:rsid w:val="00CC5DD3"/>
    <w:rsid w:val="00CD0794"/>
    <w:rsid w:val="00CD0F77"/>
    <w:rsid w:val="00CD73B0"/>
    <w:rsid w:val="00CD7F5F"/>
    <w:rsid w:val="00CE04E1"/>
    <w:rsid w:val="00CE1143"/>
    <w:rsid w:val="00CE3D11"/>
    <w:rsid w:val="00CF7A93"/>
    <w:rsid w:val="00D03BC1"/>
    <w:rsid w:val="00D04D0C"/>
    <w:rsid w:val="00D05018"/>
    <w:rsid w:val="00D05710"/>
    <w:rsid w:val="00D1171A"/>
    <w:rsid w:val="00D12BA6"/>
    <w:rsid w:val="00D1356E"/>
    <w:rsid w:val="00D2022A"/>
    <w:rsid w:val="00D20328"/>
    <w:rsid w:val="00D20A48"/>
    <w:rsid w:val="00D2112D"/>
    <w:rsid w:val="00D22289"/>
    <w:rsid w:val="00D2773D"/>
    <w:rsid w:val="00D31E99"/>
    <w:rsid w:val="00D3400C"/>
    <w:rsid w:val="00D36CF0"/>
    <w:rsid w:val="00D373A2"/>
    <w:rsid w:val="00D40DA7"/>
    <w:rsid w:val="00D413F0"/>
    <w:rsid w:val="00D41BF9"/>
    <w:rsid w:val="00D4276D"/>
    <w:rsid w:val="00D444C4"/>
    <w:rsid w:val="00D44904"/>
    <w:rsid w:val="00D44A66"/>
    <w:rsid w:val="00D45E6C"/>
    <w:rsid w:val="00D46BC9"/>
    <w:rsid w:val="00D46C89"/>
    <w:rsid w:val="00D46D54"/>
    <w:rsid w:val="00D5054A"/>
    <w:rsid w:val="00D51674"/>
    <w:rsid w:val="00D527C3"/>
    <w:rsid w:val="00D52B7E"/>
    <w:rsid w:val="00D53E5A"/>
    <w:rsid w:val="00D54B55"/>
    <w:rsid w:val="00D54D9F"/>
    <w:rsid w:val="00D550CE"/>
    <w:rsid w:val="00D5540C"/>
    <w:rsid w:val="00D57C66"/>
    <w:rsid w:val="00D57F2A"/>
    <w:rsid w:val="00D57FEC"/>
    <w:rsid w:val="00D6013F"/>
    <w:rsid w:val="00D61AEC"/>
    <w:rsid w:val="00D65D65"/>
    <w:rsid w:val="00D67493"/>
    <w:rsid w:val="00D70639"/>
    <w:rsid w:val="00D70923"/>
    <w:rsid w:val="00D7284C"/>
    <w:rsid w:val="00D735F7"/>
    <w:rsid w:val="00D74AE7"/>
    <w:rsid w:val="00D75B2F"/>
    <w:rsid w:val="00D8071A"/>
    <w:rsid w:val="00D80E9C"/>
    <w:rsid w:val="00D81388"/>
    <w:rsid w:val="00D81551"/>
    <w:rsid w:val="00D8166D"/>
    <w:rsid w:val="00D850AD"/>
    <w:rsid w:val="00D91254"/>
    <w:rsid w:val="00D92219"/>
    <w:rsid w:val="00D92F04"/>
    <w:rsid w:val="00D93BA6"/>
    <w:rsid w:val="00D97897"/>
    <w:rsid w:val="00D97F3E"/>
    <w:rsid w:val="00DA142C"/>
    <w:rsid w:val="00DA3B1D"/>
    <w:rsid w:val="00DA3D9E"/>
    <w:rsid w:val="00DA4FC0"/>
    <w:rsid w:val="00DA6740"/>
    <w:rsid w:val="00DB2B2A"/>
    <w:rsid w:val="00DB2BE3"/>
    <w:rsid w:val="00DB376D"/>
    <w:rsid w:val="00DB4A41"/>
    <w:rsid w:val="00DB4B43"/>
    <w:rsid w:val="00DB4DC4"/>
    <w:rsid w:val="00DB74E3"/>
    <w:rsid w:val="00DC46BB"/>
    <w:rsid w:val="00DD0E7C"/>
    <w:rsid w:val="00DD647C"/>
    <w:rsid w:val="00DD6BB1"/>
    <w:rsid w:val="00DD7D7C"/>
    <w:rsid w:val="00DE0BC9"/>
    <w:rsid w:val="00DE1409"/>
    <w:rsid w:val="00DE49F2"/>
    <w:rsid w:val="00DE4D76"/>
    <w:rsid w:val="00DE54FE"/>
    <w:rsid w:val="00DF19FB"/>
    <w:rsid w:val="00DF2C20"/>
    <w:rsid w:val="00DF34A6"/>
    <w:rsid w:val="00DF4158"/>
    <w:rsid w:val="00DF5E70"/>
    <w:rsid w:val="00DF7C6F"/>
    <w:rsid w:val="00DF7F95"/>
    <w:rsid w:val="00E012AA"/>
    <w:rsid w:val="00E01FAF"/>
    <w:rsid w:val="00E02CB8"/>
    <w:rsid w:val="00E044C1"/>
    <w:rsid w:val="00E06141"/>
    <w:rsid w:val="00E07586"/>
    <w:rsid w:val="00E0772F"/>
    <w:rsid w:val="00E10203"/>
    <w:rsid w:val="00E13501"/>
    <w:rsid w:val="00E1376C"/>
    <w:rsid w:val="00E143D5"/>
    <w:rsid w:val="00E1541D"/>
    <w:rsid w:val="00E16237"/>
    <w:rsid w:val="00E16EDA"/>
    <w:rsid w:val="00E17A59"/>
    <w:rsid w:val="00E22B1D"/>
    <w:rsid w:val="00E22E93"/>
    <w:rsid w:val="00E25DA5"/>
    <w:rsid w:val="00E277FC"/>
    <w:rsid w:val="00E315BE"/>
    <w:rsid w:val="00E316FB"/>
    <w:rsid w:val="00E3184A"/>
    <w:rsid w:val="00E3193C"/>
    <w:rsid w:val="00E3253D"/>
    <w:rsid w:val="00E34E98"/>
    <w:rsid w:val="00E372A8"/>
    <w:rsid w:val="00E4046A"/>
    <w:rsid w:val="00E40AA8"/>
    <w:rsid w:val="00E4198F"/>
    <w:rsid w:val="00E42277"/>
    <w:rsid w:val="00E44130"/>
    <w:rsid w:val="00E44AB8"/>
    <w:rsid w:val="00E457AA"/>
    <w:rsid w:val="00E47CB6"/>
    <w:rsid w:val="00E517D3"/>
    <w:rsid w:val="00E5234A"/>
    <w:rsid w:val="00E52F92"/>
    <w:rsid w:val="00E540A5"/>
    <w:rsid w:val="00E543EC"/>
    <w:rsid w:val="00E5586E"/>
    <w:rsid w:val="00E55D9A"/>
    <w:rsid w:val="00E56EDA"/>
    <w:rsid w:val="00E60123"/>
    <w:rsid w:val="00E62523"/>
    <w:rsid w:val="00E63538"/>
    <w:rsid w:val="00E65FC7"/>
    <w:rsid w:val="00E70A0F"/>
    <w:rsid w:val="00E70CB0"/>
    <w:rsid w:val="00E7126D"/>
    <w:rsid w:val="00E80944"/>
    <w:rsid w:val="00E82482"/>
    <w:rsid w:val="00E8340E"/>
    <w:rsid w:val="00E9041F"/>
    <w:rsid w:val="00E90AB0"/>
    <w:rsid w:val="00E90DE9"/>
    <w:rsid w:val="00E91547"/>
    <w:rsid w:val="00E934F2"/>
    <w:rsid w:val="00E95CF2"/>
    <w:rsid w:val="00E9713E"/>
    <w:rsid w:val="00EA0030"/>
    <w:rsid w:val="00EA0304"/>
    <w:rsid w:val="00EA0CF6"/>
    <w:rsid w:val="00EA1E28"/>
    <w:rsid w:val="00EA3577"/>
    <w:rsid w:val="00EA498A"/>
    <w:rsid w:val="00EA4C98"/>
    <w:rsid w:val="00EA5357"/>
    <w:rsid w:val="00EA6E1D"/>
    <w:rsid w:val="00EA7898"/>
    <w:rsid w:val="00EB11FC"/>
    <w:rsid w:val="00EB1C16"/>
    <w:rsid w:val="00EB2108"/>
    <w:rsid w:val="00EB2580"/>
    <w:rsid w:val="00EB262F"/>
    <w:rsid w:val="00EB2B39"/>
    <w:rsid w:val="00EB5368"/>
    <w:rsid w:val="00EB7D90"/>
    <w:rsid w:val="00EC130C"/>
    <w:rsid w:val="00EC1F09"/>
    <w:rsid w:val="00EC3931"/>
    <w:rsid w:val="00EC63CD"/>
    <w:rsid w:val="00EC6580"/>
    <w:rsid w:val="00EC6DFB"/>
    <w:rsid w:val="00ED0D2A"/>
    <w:rsid w:val="00ED324C"/>
    <w:rsid w:val="00ED34A7"/>
    <w:rsid w:val="00ED3872"/>
    <w:rsid w:val="00ED4E57"/>
    <w:rsid w:val="00ED5C34"/>
    <w:rsid w:val="00ED7155"/>
    <w:rsid w:val="00ED7AA3"/>
    <w:rsid w:val="00EE0C23"/>
    <w:rsid w:val="00EE1F6C"/>
    <w:rsid w:val="00EE6602"/>
    <w:rsid w:val="00EF00FB"/>
    <w:rsid w:val="00EF29D2"/>
    <w:rsid w:val="00EF3191"/>
    <w:rsid w:val="00EF666D"/>
    <w:rsid w:val="00EF7828"/>
    <w:rsid w:val="00EF7D8A"/>
    <w:rsid w:val="00F0217A"/>
    <w:rsid w:val="00F02ED8"/>
    <w:rsid w:val="00F03A0B"/>
    <w:rsid w:val="00F06E1B"/>
    <w:rsid w:val="00F10437"/>
    <w:rsid w:val="00F10AEF"/>
    <w:rsid w:val="00F10E13"/>
    <w:rsid w:val="00F1219C"/>
    <w:rsid w:val="00F12697"/>
    <w:rsid w:val="00F127D6"/>
    <w:rsid w:val="00F131BB"/>
    <w:rsid w:val="00F13F24"/>
    <w:rsid w:val="00F1416C"/>
    <w:rsid w:val="00F1640D"/>
    <w:rsid w:val="00F16C72"/>
    <w:rsid w:val="00F20F72"/>
    <w:rsid w:val="00F22331"/>
    <w:rsid w:val="00F229AE"/>
    <w:rsid w:val="00F247E1"/>
    <w:rsid w:val="00F24C83"/>
    <w:rsid w:val="00F25ED7"/>
    <w:rsid w:val="00F26954"/>
    <w:rsid w:val="00F322A2"/>
    <w:rsid w:val="00F32E80"/>
    <w:rsid w:val="00F33834"/>
    <w:rsid w:val="00F34E25"/>
    <w:rsid w:val="00F35C34"/>
    <w:rsid w:val="00F35CE7"/>
    <w:rsid w:val="00F36BF1"/>
    <w:rsid w:val="00F36D9D"/>
    <w:rsid w:val="00F37447"/>
    <w:rsid w:val="00F37691"/>
    <w:rsid w:val="00F37961"/>
    <w:rsid w:val="00F405D7"/>
    <w:rsid w:val="00F4061F"/>
    <w:rsid w:val="00F40C85"/>
    <w:rsid w:val="00F4196A"/>
    <w:rsid w:val="00F42189"/>
    <w:rsid w:val="00F42347"/>
    <w:rsid w:val="00F439C4"/>
    <w:rsid w:val="00F447D3"/>
    <w:rsid w:val="00F44D89"/>
    <w:rsid w:val="00F472C3"/>
    <w:rsid w:val="00F47E96"/>
    <w:rsid w:val="00F5077F"/>
    <w:rsid w:val="00F52E6E"/>
    <w:rsid w:val="00F53FCC"/>
    <w:rsid w:val="00F54BDF"/>
    <w:rsid w:val="00F56F33"/>
    <w:rsid w:val="00F61936"/>
    <w:rsid w:val="00F61C9B"/>
    <w:rsid w:val="00F627B0"/>
    <w:rsid w:val="00F63A4A"/>
    <w:rsid w:val="00F7031F"/>
    <w:rsid w:val="00F71B63"/>
    <w:rsid w:val="00F71FA9"/>
    <w:rsid w:val="00F735C9"/>
    <w:rsid w:val="00F749D9"/>
    <w:rsid w:val="00F75055"/>
    <w:rsid w:val="00F77683"/>
    <w:rsid w:val="00F7772B"/>
    <w:rsid w:val="00F778E8"/>
    <w:rsid w:val="00F80AE8"/>
    <w:rsid w:val="00F8523E"/>
    <w:rsid w:val="00F905A8"/>
    <w:rsid w:val="00F91C82"/>
    <w:rsid w:val="00F92150"/>
    <w:rsid w:val="00F93A4C"/>
    <w:rsid w:val="00FA1C91"/>
    <w:rsid w:val="00FA38CB"/>
    <w:rsid w:val="00FA48FF"/>
    <w:rsid w:val="00FC17FE"/>
    <w:rsid w:val="00FC23D3"/>
    <w:rsid w:val="00FC367C"/>
    <w:rsid w:val="00FC4C03"/>
    <w:rsid w:val="00FC695E"/>
    <w:rsid w:val="00FC6F25"/>
    <w:rsid w:val="00FC6FB2"/>
    <w:rsid w:val="00FD2A4F"/>
    <w:rsid w:val="00FD39E1"/>
    <w:rsid w:val="00FD44C0"/>
    <w:rsid w:val="00FD45BF"/>
    <w:rsid w:val="00FD6AB1"/>
    <w:rsid w:val="00FD7769"/>
    <w:rsid w:val="00FE0E52"/>
    <w:rsid w:val="00FE3DCD"/>
    <w:rsid w:val="00FE4B17"/>
    <w:rsid w:val="00FE54EB"/>
    <w:rsid w:val="00FE6324"/>
    <w:rsid w:val="00FE7EFA"/>
    <w:rsid w:val="00FF0051"/>
    <w:rsid w:val="00FF1EAC"/>
    <w:rsid w:val="00FF24E3"/>
    <w:rsid w:val="00FF3559"/>
    <w:rsid w:val="00FF4A88"/>
    <w:rsid w:val="00FF5CAF"/>
    <w:rsid w:val="00FF676D"/>
    <w:rsid w:val="038452E6"/>
    <w:rsid w:val="07062A3D"/>
    <w:rsid w:val="0901100F"/>
    <w:rsid w:val="18F06A8F"/>
    <w:rsid w:val="20713F85"/>
    <w:rsid w:val="262C4C99"/>
    <w:rsid w:val="299C482D"/>
    <w:rsid w:val="3A4823FD"/>
    <w:rsid w:val="5E1559FA"/>
    <w:rsid w:val="76CE7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Hyperlink"/>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Hyperlink"/>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76B0-AB1D-406D-9D7F-DAB17789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563</Words>
  <Characters>722</Characters>
  <Application>Microsoft Office Word</Application>
  <DocSecurity>0</DocSecurity>
  <Lines>80</Lines>
  <Paragraphs>75</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吴宁</dc:creator>
  <cp:lastModifiedBy>五洲交通证券部-李铭森</cp:lastModifiedBy>
  <cp:revision>16</cp:revision>
  <cp:lastPrinted>2024-06-21T08:30:00Z</cp:lastPrinted>
  <dcterms:created xsi:type="dcterms:W3CDTF">2024-06-21T08:04:00Z</dcterms:created>
  <dcterms:modified xsi:type="dcterms:W3CDTF">2026-06-05T04:32:00Z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1D7ABC57E02E4430B327151937A0C193_13</vt:lpwstr>
  </property>
  <property fmtid="{D5CDD505-2E9C-101B-9397-08002B2CF9AE}" pid="4" name="KSOTemplateDocerSaveRecord">
    <vt:lpwstr>eyJoZGlkIjoiZTk0NmRkNGY4Yjk0Yjk1M2I3ZDBjMGU2OGVkOGU5M2MiLCJ1c2VySWQiOiIxMTM0ODY5MDc4In0=</vt:lpwstr>
  </property>
</Properties>
</file>