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11C62">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127F6F20">
      <w:pPr>
        <w:rPr>
          <w:rFonts w:ascii="宋体" w:hAnsi="宋体" w:eastAsia="宋体"/>
          <w:sz w:val="24"/>
          <w:szCs w:val="24"/>
        </w:rPr>
      </w:pPr>
    </w:p>
    <w:p w14:paraId="65BCB62A">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27289ED4">
      <w:pPr>
        <w:jc w:val="center"/>
        <w:rPr>
          <w:rFonts w:ascii="宋体" w:hAnsi="宋体" w:eastAsia="宋体"/>
          <w:b/>
          <w:sz w:val="28"/>
          <w:szCs w:val="24"/>
        </w:rPr>
      </w:pPr>
      <w:r>
        <w:rPr>
          <w:rFonts w:hint="eastAsia" w:ascii="宋体" w:hAnsi="宋体" w:eastAsia="宋体"/>
          <w:b/>
          <w:sz w:val="28"/>
          <w:szCs w:val="24"/>
        </w:rPr>
        <w:t>投资者关系活动记录表</w:t>
      </w:r>
    </w:p>
    <w:p w14:paraId="35A40147">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A24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96" w:type="dxa"/>
            <w:vAlign w:val="center"/>
          </w:tcPr>
          <w:p w14:paraId="0E6775B3">
            <w:pPr>
              <w:jc w:val="center"/>
              <w:rPr>
                <w:rFonts w:ascii="宋体" w:hAnsi="宋体" w:eastAsia="宋体"/>
                <w:sz w:val="24"/>
                <w:szCs w:val="24"/>
              </w:rPr>
            </w:pPr>
            <w:r>
              <w:rPr>
                <w:rFonts w:hint="eastAsia" w:ascii="宋体" w:hAnsi="宋体" w:eastAsia="宋体"/>
                <w:sz w:val="24"/>
                <w:szCs w:val="24"/>
              </w:rPr>
              <w:t>投资者关系活动类别</w:t>
            </w:r>
          </w:p>
        </w:tc>
        <w:tc>
          <w:tcPr>
            <w:tcW w:w="6600" w:type="dxa"/>
          </w:tcPr>
          <w:p w14:paraId="085E8532">
            <w:pPr>
              <w:spacing w:line="360" w:lineRule="auto"/>
              <w:rPr>
                <w:rFonts w:ascii="宋体" w:hAnsi="宋体" w:eastAsia="宋体"/>
                <w:sz w:val="24"/>
                <w:szCs w:val="24"/>
              </w:rPr>
            </w:pPr>
            <w:r>
              <w:rPr>
                <w:rFonts w:ascii="宋体" w:hAnsi="宋体" w:eastAsia="宋体"/>
                <w:sz w:val="24"/>
                <w:szCs w:val="24"/>
              </w:rPr>
              <w:sym w:font="Wingdings 2" w:char="0052"/>
            </w:r>
            <w:r>
              <w:rPr>
                <w:rFonts w:ascii="宋体" w:hAnsi="宋体" w:eastAsia="宋体"/>
                <w:sz w:val="24"/>
                <w:szCs w:val="24"/>
              </w:rPr>
              <w:t xml:space="preserve">特定对象调研 </w:t>
            </w:r>
            <w:r>
              <w:rPr>
                <w:rFonts w:ascii="宋体" w:hAnsi="宋体" w:eastAsia="宋体"/>
                <w:sz w:val="24"/>
                <w:szCs w:val="24"/>
              </w:rPr>
              <w:sym w:font="Wingdings 2" w:char="0052"/>
            </w:r>
            <w:r>
              <w:rPr>
                <w:rFonts w:ascii="宋体" w:hAnsi="宋体" w:eastAsia="宋体"/>
                <w:sz w:val="24"/>
                <w:szCs w:val="24"/>
              </w:rPr>
              <w:t xml:space="preserve">分析师会议 </w:t>
            </w:r>
          </w:p>
          <w:p w14:paraId="06C7171F">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 xml:space="preserve">媒体采访 </w:t>
            </w:r>
            <w:r>
              <w:rPr>
                <w:rFonts w:ascii="宋体" w:hAnsi="宋体" w:eastAsia="宋体"/>
                <w:sz w:val="24"/>
                <w:szCs w:val="24"/>
              </w:rPr>
              <w:sym w:font="Wingdings 2" w:char="00A3"/>
            </w:r>
            <w:r>
              <w:rPr>
                <w:rFonts w:ascii="宋体" w:hAnsi="宋体" w:eastAsia="宋体"/>
                <w:sz w:val="24"/>
                <w:szCs w:val="24"/>
              </w:rPr>
              <w:t xml:space="preserve">业绩说明会 </w:t>
            </w:r>
          </w:p>
          <w:p w14:paraId="22D3BE0A">
            <w:pPr>
              <w:spacing w:line="360" w:lineRule="auto"/>
              <w:rPr>
                <w:rFonts w:ascii="宋体" w:hAnsi="宋体" w:eastAsia="宋体"/>
                <w:sz w:val="24"/>
                <w:szCs w:val="24"/>
              </w:rPr>
            </w:pPr>
            <w:r>
              <w:rPr>
                <w:rFonts w:ascii="宋体" w:hAnsi="宋体" w:eastAsia="宋体"/>
                <w:sz w:val="24"/>
                <w:szCs w:val="24"/>
              </w:rPr>
              <w:t>□新闻发布会</w:t>
            </w:r>
            <w:r>
              <w:rPr>
                <w:rFonts w:hint="eastAsia" w:ascii="宋体" w:hAnsi="宋体" w:eastAsia="宋体"/>
                <w:sz w:val="24"/>
                <w:szCs w:val="24"/>
              </w:rPr>
              <w:t xml:space="preserve"> </w:t>
            </w:r>
            <w:r>
              <w:rPr>
                <w:rFonts w:ascii="宋体" w:hAnsi="宋体" w:eastAsia="宋体"/>
                <w:sz w:val="24"/>
                <w:szCs w:val="24"/>
              </w:rPr>
              <w:sym w:font="Wingdings 2" w:char="0052"/>
            </w:r>
            <w:r>
              <w:rPr>
                <w:rFonts w:ascii="宋体" w:hAnsi="宋体" w:eastAsia="宋体"/>
                <w:sz w:val="24"/>
                <w:szCs w:val="24"/>
              </w:rPr>
              <w:t xml:space="preserve">路演活动 </w:t>
            </w:r>
          </w:p>
          <w:p w14:paraId="5CE86780">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现场参观</w:t>
            </w:r>
            <w:r>
              <w:rPr>
                <w:rFonts w:hint="eastAsia" w:ascii="宋体" w:hAnsi="宋体" w:eastAsia="宋体"/>
                <w:sz w:val="24"/>
                <w:szCs w:val="24"/>
              </w:rPr>
              <w:t xml:space="preserve"> </w:t>
            </w:r>
            <w:r>
              <w:rPr>
                <w:rFonts w:ascii="宋体" w:hAnsi="宋体" w:eastAsia="宋体"/>
                <w:sz w:val="24"/>
                <w:szCs w:val="24"/>
              </w:rPr>
              <w:sym w:font="Wingdings 2" w:char="00A3"/>
            </w:r>
            <w:r>
              <w:rPr>
                <w:rFonts w:ascii="宋体" w:hAnsi="宋体" w:eastAsia="宋体"/>
                <w:sz w:val="24"/>
                <w:szCs w:val="24"/>
              </w:rPr>
              <w:t>其他</w:t>
            </w:r>
          </w:p>
        </w:tc>
      </w:tr>
      <w:tr w14:paraId="0239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5E5F811C">
            <w:pPr>
              <w:jc w:val="center"/>
              <w:rPr>
                <w:rFonts w:ascii="宋体" w:hAnsi="宋体" w:eastAsia="宋体"/>
                <w:sz w:val="24"/>
                <w:szCs w:val="24"/>
              </w:rPr>
            </w:pPr>
            <w:r>
              <w:rPr>
                <w:rFonts w:ascii="宋体" w:hAnsi="宋体" w:eastAsia="宋体"/>
                <w:sz w:val="24"/>
                <w:szCs w:val="24"/>
              </w:rPr>
              <w:t>召开方式</w:t>
            </w:r>
          </w:p>
        </w:tc>
        <w:tc>
          <w:tcPr>
            <w:tcW w:w="6600" w:type="dxa"/>
          </w:tcPr>
          <w:p w14:paraId="2F42643B">
            <w:pPr>
              <w:spacing w:line="360" w:lineRule="auto"/>
              <w:rPr>
                <w:rFonts w:ascii="宋体" w:hAnsi="宋体" w:eastAsia="宋体"/>
                <w:sz w:val="24"/>
                <w:szCs w:val="24"/>
              </w:rPr>
            </w:pPr>
            <w:r>
              <w:rPr>
                <w:rFonts w:hint="eastAsia" w:ascii="宋体" w:hAnsi="宋体" w:eastAsia="宋体"/>
                <w:sz w:val="24"/>
                <w:szCs w:val="24"/>
              </w:rPr>
              <w:t>现场</w:t>
            </w:r>
            <w:r>
              <w:rPr>
                <w:rFonts w:hint="eastAsia" w:ascii="宋体" w:hAnsi="宋体" w:eastAsia="宋体"/>
                <w:sz w:val="24"/>
                <w:szCs w:val="24"/>
                <w:lang w:val="en-US" w:eastAsia="zh-CN"/>
              </w:rPr>
              <w:t>及</w:t>
            </w:r>
            <w:r>
              <w:rPr>
                <w:rFonts w:hint="eastAsia" w:ascii="宋体" w:hAnsi="宋体" w:eastAsia="宋体"/>
                <w:sz w:val="24"/>
                <w:szCs w:val="24"/>
              </w:rPr>
              <w:t>线上会议</w:t>
            </w:r>
          </w:p>
        </w:tc>
      </w:tr>
      <w:tr w14:paraId="3935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5955FDB2">
            <w:pPr>
              <w:jc w:val="center"/>
              <w:rPr>
                <w:rFonts w:ascii="宋体" w:hAnsi="宋体" w:eastAsia="宋体"/>
                <w:sz w:val="24"/>
                <w:szCs w:val="24"/>
              </w:rPr>
            </w:pPr>
            <w:r>
              <w:rPr>
                <w:rFonts w:hint="eastAsia" w:ascii="宋体" w:hAnsi="宋体" w:eastAsia="宋体"/>
                <w:sz w:val="24"/>
                <w:szCs w:val="24"/>
              </w:rPr>
              <w:t>时间</w:t>
            </w:r>
          </w:p>
        </w:tc>
        <w:tc>
          <w:tcPr>
            <w:tcW w:w="6600" w:type="dxa"/>
          </w:tcPr>
          <w:p w14:paraId="36786B79">
            <w:pPr>
              <w:spacing w:line="360" w:lineRule="auto"/>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6</w:t>
            </w:r>
            <w:r>
              <w:rPr>
                <w:rFonts w:ascii="宋体" w:hAnsi="宋体" w:eastAsia="宋体"/>
                <w:sz w:val="24"/>
                <w:szCs w:val="24"/>
              </w:rPr>
              <w:t>年</w:t>
            </w:r>
            <w:r>
              <w:rPr>
                <w:rFonts w:hint="eastAsia" w:ascii="宋体" w:hAnsi="宋体" w:eastAsia="宋体"/>
                <w:sz w:val="24"/>
                <w:szCs w:val="24"/>
                <w:lang w:val="en-US" w:eastAsia="zh-CN"/>
              </w:rPr>
              <w:t>5</w:t>
            </w:r>
            <w:r>
              <w:rPr>
                <w:rFonts w:hint="eastAsia" w:ascii="宋体" w:hAnsi="宋体" w:eastAsia="宋体"/>
                <w:sz w:val="24"/>
                <w:szCs w:val="24"/>
              </w:rPr>
              <w:t>月1日至</w:t>
            </w:r>
            <w:r>
              <w:rPr>
                <w:rFonts w:hint="eastAsia" w:ascii="宋体" w:hAnsi="宋体" w:eastAsia="宋体"/>
                <w:sz w:val="24"/>
                <w:szCs w:val="24"/>
                <w:lang w:val="en-US" w:eastAsia="zh-CN"/>
              </w:rPr>
              <w:t>5</w:t>
            </w:r>
            <w:r>
              <w:rPr>
                <w:rFonts w:hint="eastAsia" w:ascii="宋体" w:hAnsi="宋体" w:eastAsia="宋体"/>
                <w:sz w:val="24"/>
                <w:szCs w:val="24"/>
              </w:rPr>
              <w:t>月31日</w:t>
            </w:r>
          </w:p>
        </w:tc>
      </w:tr>
      <w:tr w14:paraId="18EA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181ECF82">
            <w:pPr>
              <w:jc w:val="center"/>
              <w:rPr>
                <w:rFonts w:ascii="宋体" w:hAnsi="宋体" w:eastAsia="宋体"/>
                <w:sz w:val="24"/>
                <w:szCs w:val="24"/>
              </w:rPr>
            </w:pPr>
            <w:r>
              <w:rPr>
                <w:rFonts w:hint="eastAsia" w:ascii="宋体" w:hAnsi="宋体" w:eastAsia="宋体"/>
                <w:sz w:val="24"/>
                <w:szCs w:val="24"/>
              </w:rPr>
              <w:t>地点</w:t>
            </w:r>
          </w:p>
        </w:tc>
        <w:tc>
          <w:tcPr>
            <w:tcW w:w="6600" w:type="dxa"/>
          </w:tcPr>
          <w:p w14:paraId="3FC3FCF1">
            <w:pPr>
              <w:spacing w:line="360" w:lineRule="auto"/>
              <w:rPr>
                <w:rFonts w:ascii="宋体" w:hAnsi="宋体" w:eastAsia="宋体"/>
                <w:sz w:val="24"/>
                <w:szCs w:val="24"/>
                <w:lang w:eastAsia="zh-Hans"/>
              </w:rPr>
            </w:pPr>
            <w:r>
              <w:rPr>
                <w:rFonts w:hint="eastAsia" w:ascii="宋体" w:hAnsi="宋体" w:eastAsia="宋体"/>
                <w:sz w:val="24"/>
                <w:szCs w:val="24"/>
                <w:lang w:val="en-US" w:eastAsia="zh-CN"/>
              </w:rPr>
              <w:t>交流</w:t>
            </w:r>
            <w:r>
              <w:rPr>
                <w:rFonts w:hint="eastAsia" w:ascii="宋体" w:hAnsi="宋体" w:eastAsia="宋体"/>
                <w:sz w:val="24"/>
                <w:szCs w:val="24"/>
              </w:rPr>
              <w:t>场地会议室、公司会议室</w:t>
            </w:r>
          </w:p>
        </w:tc>
      </w:tr>
      <w:tr w14:paraId="3845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vAlign w:val="center"/>
          </w:tcPr>
          <w:p w14:paraId="339140B8">
            <w:pPr>
              <w:jc w:val="center"/>
              <w:rPr>
                <w:rFonts w:ascii="宋体" w:hAnsi="宋体" w:eastAsia="宋体"/>
                <w:sz w:val="24"/>
                <w:szCs w:val="24"/>
              </w:rPr>
            </w:pPr>
            <w:r>
              <w:rPr>
                <w:rFonts w:hint="eastAsia" w:ascii="宋体" w:hAnsi="宋体" w:eastAsia="宋体"/>
                <w:sz w:val="24"/>
                <w:szCs w:val="24"/>
              </w:rPr>
              <w:t>公司参与人员</w:t>
            </w:r>
          </w:p>
        </w:tc>
        <w:tc>
          <w:tcPr>
            <w:tcW w:w="6600" w:type="dxa"/>
          </w:tcPr>
          <w:p w14:paraId="071A9704">
            <w:pPr>
              <w:spacing w:line="360" w:lineRule="auto"/>
              <w:rPr>
                <w:rFonts w:ascii="宋体" w:hAnsi="宋体" w:eastAsia="宋体"/>
                <w:sz w:val="24"/>
                <w:szCs w:val="24"/>
              </w:rPr>
            </w:pPr>
            <w:r>
              <w:rPr>
                <w:rFonts w:hint="eastAsia" w:ascii="宋体" w:hAnsi="宋体" w:eastAsia="宋体"/>
                <w:sz w:val="24"/>
                <w:szCs w:val="24"/>
              </w:rPr>
              <w:t>执行董事兼总经理黎洪，董事会秘书黄雪贞，董秘室副主任陈文霞，董秘室经理李春瑶</w:t>
            </w:r>
          </w:p>
        </w:tc>
      </w:tr>
      <w:tr w14:paraId="39C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vAlign w:val="center"/>
          </w:tcPr>
          <w:p w14:paraId="6C1FA352">
            <w:pPr>
              <w:spacing w:line="360" w:lineRule="auto"/>
              <w:jc w:val="center"/>
              <w:rPr>
                <w:rFonts w:ascii="宋体" w:hAnsi="宋体" w:eastAsia="宋体"/>
                <w:sz w:val="24"/>
                <w:szCs w:val="24"/>
                <w:lang w:eastAsia="zh-Hans"/>
              </w:rPr>
            </w:pPr>
            <w:r>
              <w:rPr>
                <w:rFonts w:hint="eastAsia" w:ascii="宋体" w:hAnsi="宋体" w:eastAsia="宋体"/>
                <w:sz w:val="24"/>
                <w:szCs w:val="24"/>
                <w:lang w:eastAsia="zh-Hans"/>
              </w:rPr>
              <w:t>接待人员</w:t>
            </w:r>
          </w:p>
        </w:tc>
        <w:tc>
          <w:tcPr>
            <w:tcW w:w="6600" w:type="dxa"/>
          </w:tcPr>
          <w:p w14:paraId="24593BF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7</w:t>
            </w:r>
            <w:r>
              <w:rPr>
                <w:rFonts w:hint="eastAsia" w:ascii="宋体" w:hAnsi="宋体" w:eastAsia="宋体"/>
                <w:sz w:val="24"/>
                <w:szCs w:val="24"/>
              </w:rPr>
              <w:t>日：</w:t>
            </w:r>
            <w:r>
              <w:rPr>
                <w:rFonts w:hint="eastAsia" w:ascii="宋体" w:hAnsi="宋体" w:eastAsia="宋体"/>
                <w:sz w:val="24"/>
                <w:szCs w:val="24"/>
                <w:lang w:val="en-US" w:eastAsia="zh-CN"/>
              </w:rPr>
              <w:t>东吴证券、兴业自营、嘉实基金、上海润义投资、通乾投资、勤辰资产</w:t>
            </w:r>
          </w:p>
          <w:p w14:paraId="0C8246D0">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8</w:t>
            </w:r>
            <w:r>
              <w:rPr>
                <w:rFonts w:hint="eastAsia" w:ascii="宋体" w:hAnsi="宋体" w:eastAsia="宋体"/>
                <w:sz w:val="24"/>
                <w:szCs w:val="24"/>
              </w:rPr>
              <w:t>日：</w:t>
            </w:r>
            <w:r>
              <w:rPr>
                <w:rFonts w:hint="eastAsia" w:ascii="宋体" w:hAnsi="宋体" w:eastAsia="宋体"/>
                <w:sz w:val="24"/>
                <w:szCs w:val="24"/>
                <w:lang w:val="en-US" w:eastAsia="zh-CN"/>
              </w:rPr>
              <w:t>天风证券、南方基金</w:t>
            </w:r>
          </w:p>
          <w:p w14:paraId="49332A39">
            <w:pPr>
              <w:spacing w:line="360" w:lineRule="auto"/>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11</w:t>
            </w:r>
            <w:r>
              <w:rPr>
                <w:rFonts w:hint="eastAsia" w:ascii="宋体" w:hAnsi="宋体" w:eastAsia="宋体"/>
                <w:sz w:val="24"/>
                <w:szCs w:val="24"/>
              </w:rPr>
              <w:t>日：</w:t>
            </w:r>
            <w:r>
              <w:rPr>
                <w:rFonts w:hint="eastAsia" w:ascii="宋体" w:hAnsi="宋体" w:eastAsia="宋体"/>
                <w:sz w:val="24"/>
                <w:szCs w:val="24"/>
                <w:lang w:val="en-US" w:eastAsia="zh-CN"/>
              </w:rPr>
              <w:t>信达证券、南方基金、大成基金</w:t>
            </w:r>
          </w:p>
          <w:p w14:paraId="08F472A1">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12</w:t>
            </w:r>
            <w:r>
              <w:rPr>
                <w:rFonts w:hint="eastAsia" w:ascii="宋体" w:hAnsi="宋体" w:eastAsia="宋体"/>
                <w:sz w:val="24"/>
                <w:szCs w:val="24"/>
              </w:rPr>
              <w:t>日：</w:t>
            </w:r>
            <w:r>
              <w:rPr>
                <w:rFonts w:hint="eastAsia" w:ascii="宋体" w:hAnsi="宋体" w:eastAsia="宋体"/>
                <w:sz w:val="24"/>
                <w:szCs w:val="24"/>
                <w:lang w:val="en-US" w:eastAsia="zh-CN"/>
              </w:rPr>
              <w:t>信达证券、前海人寿保险</w:t>
            </w:r>
          </w:p>
          <w:p w14:paraId="2D513D85">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14</w:t>
            </w:r>
            <w:r>
              <w:rPr>
                <w:rFonts w:hint="eastAsia" w:ascii="宋体" w:hAnsi="宋体" w:eastAsia="宋体"/>
                <w:sz w:val="24"/>
                <w:szCs w:val="24"/>
              </w:rPr>
              <w:t>日：</w:t>
            </w:r>
            <w:r>
              <w:rPr>
                <w:rFonts w:hint="eastAsia" w:ascii="宋体" w:hAnsi="宋体" w:eastAsia="宋体"/>
                <w:sz w:val="24"/>
                <w:szCs w:val="24"/>
                <w:lang w:val="en-US" w:eastAsia="zh-CN"/>
              </w:rPr>
              <w:t>华泰证券、易方达基金</w:t>
            </w:r>
          </w:p>
          <w:p w14:paraId="58EF8EAE">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5月19日：华创证券、光大自营、华宝证券自营</w:t>
            </w:r>
          </w:p>
          <w:p w14:paraId="450BBB20">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5月26日：旌安投资</w:t>
            </w:r>
          </w:p>
        </w:tc>
      </w:tr>
      <w:tr w14:paraId="20F5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vAlign w:val="center"/>
          </w:tcPr>
          <w:p w14:paraId="616F96AF">
            <w:pPr>
              <w:jc w:val="center"/>
              <w:rPr>
                <w:rFonts w:ascii="宋体" w:hAnsi="宋体" w:eastAsia="宋体"/>
                <w:sz w:val="24"/>
                <w:szCs w:val="24"/>
              </w:rPr>
            </w:pPr>
            <w:r>
              <w:rPr>
                <w:rFonts w:ascii="宋体" w:hAnsi="宋体" w:eastAsia="宋体"/>
                <w:sz w:val="24"/>
                <w:szCs w:val="24"/>
              </w:rPr>
              <w:t>投资者关系活动主要内容介绍</w:t>
            </w:r>
          </w:p>
        </w:tc>
        <w:tc>
          <w:tcPr>
            <w:tcW w:w="6600" w:type="dxa"/>
          </w:tcPr>
          <w:p w14:paraId="64015FF5">
            <w:pPr>
              <w:widowControl/>
              <w:spacing w:line="500" w:lineRule="exact"/>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主要内容包括：</w:t>
            </w:r>
          </w:p>
          <w:p w14:paraId="7CC2B05C">
            <w:pPr>
              <w:pStyle w:val="2"/>
              <w:spacing w:line="500" w:lineRule="exact"/>
              <w:ind w:firstLine="482" w:firstLineChars="200"/>
              <w:rPr>
                <w:rFonts w:ascii="Times New Roman" w:hAnsi="Times New Roman" w:eastAsia="仿宋_GB2312"/>
                <w:kern w:val="0"/>
                <w:sz w:val="24"/>
                <w:szCs w:val="24"/>
                <w:lang w:bidi="ar"/>
              </w:rPr>
            </w:pPr>
            <w:bookmarkStart w:id="0" w:name="OLE_LINK7"/>
            <w:bookmarkStart w:id="1" w:name="OLE_LINK8"/>
            <w:r>
              <w:rPr>
                <w:rFonts w:ascii="Times New Roman" w:hAnsi="Times New Roman" w:eastAsia="仿宋_GB2312"/>
                <w:b/>
                <w:bCs/>
                <w:kern w:val="0"/>
                <w:sz w:val="24"/>
                <w:szCs w:val="24"/>
                <w:lang w:bidi="ar"/>
              </w:rPr>
              <w:t>（一）公司202</w:t>
            </w:r>
            <w:r>
              <w:rPr>
                <w:rFonts w:hint="eastAsia" w:ascii="Times New Roman" w:hAnsi="Times New Roman" w:eastAsia="仿宋_GB2312"/>
                <w:b/>
                <w:bCs/>
                <w:kern w:val="0"/>
                <w:sz w:val="24"/>
                <w:szCs w:val="24"/>
                <w:lang w:val="en-US" w:eastAsia="zh-CN" w:bidi="ar"/>
              </w:rPr>
              <w:t>6</w:t>
            </w:r>
            <w:r>
              <w:rPr>
                <w:rFonts w:ascii="Times New Roman" w:hAnsi="Times New Roman" w:eastAsia="仿宋_GB2312"/>
                <w:b/>
                <w:bCs/>
                <w:kern w:val="0"/>
                <w:sz w:val="24"/>
                <w:szCs w:val="24"/>
                <w:lang w:bidi="ar"/>
              </w:rPr>
              <w:t>年</w:t>
            </w:r>
            <w:r>
              <w:rPr>
                <w:rFonts w:hint="eastAsia" w:ascii="Times New Roman" w:hAnsi="Times New Roman" w:eastAsia="仿宋_GB2312"/>
                <w:b/>
                <w:bCs/>
                <w:kern w:val="0"/>
                <w:sz w:val="24"/>
                <w:szCs w:val="24"/>
                <w:lang w:val="en-US" w:eastAsia="zh-CN" w:bidi="ar"/>
              </w:rPr>
              <w:t>第一季度</w:t>
            </w:r>
            <w:r>
              <w:rPr>
                <w:rFonts w:ascii="Times New Roman" w:hAnsi="Times New Roman" w:eastAsia="仿宋_GB2312"/>
                <w:b/>
                <w:bCs/>
                <w:kern w:val="0"/>
                <w:sz w:val="24"/>
                <w:szCs w:val="24"/>
                <w:lang w:bidi="ar"/>
              </w:rPr>
              <w:t>经营业绩情况如何？</w:t>
            </w:r>
          </w:p>
          <w:bookmarkEnd w:id="0"/>
          <w:bookmarkEnd w:id="1"/>
          <w:p w14:paraId="5256482E">
            <w:pPr>
              <w:pStyle w:val="2"/>
              <w:spacing w:line="500" w:lineRule="exact"/>
              <w:ind w:firstLine="480" w:firstLineChars="200"/>
              <w:rPr>
                <w:rFonts w:hint="eastAsia"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答：2026年</w:t>
            </w:r>
            <w:r>
              <w:rPr>
                <w:rFonts w:hint="eastAsia" w:ascii="Times New Roman" w:hAnsi="Times New Roman" w:eastAsia="仿宋_GB2312"/>
                <w:kern w:val="0"/>
                <w:sz w:val="24"/>
                <w:szCs w:val="24"/>
                <w:lang w:val="en-US" w:eastAsia="zh-CN" w:bidi="ar"/>
              </w:rPr>
              <w:t>第</w:t>
            </w:r>
            <w:r>
              <w:rPr>
                <w:rFonts w:hint="eastAsia" w:ascii="Times New Roman" w:hAnsi="Times New Roman" w:eastAsia="仿宋_GB2312"/>
                <w:kern w:val="0"/>
                <w:sz w:val="24"/>
                <w:szCs w:val="24"/>
                <w:lang w:bidi="ar"/>
              </w:rPr>
              <w:t>一季度，公司实现营业收入约232.78亿元，同比增长3.85%；归属于本公司股东的净利润为17.84亿元，同比下降2.06%；扣非后归属于本公司股东的净利润约17.03亿元，同比增长1.72%。</w:t>
            </w:r>
          </w:p>
          <w:p w14:paraId="6E6D7FE6">
            <w:pPr>
              <w:pStyle w:val="2"/>
              <w:spacing w:line="500" w:lineRule="exact"/>
              <w:ind w:firstLine="480" w:firstLineChars="200"/>
              <w:rPr>
                <w:rFonts w:hint="eastAsia" w:ascii="Times New Roman" w:hAnsi="Times New Roman" w:eastAsia="仿宋_GB2312"/>
                <w:kern w:val="0"/>
                <w:sz w:val="24"/>
                <w:szCs w:val="24"/>
                <w:lang w:bidi="ar"/>
              </w:rPr>
            </w:pPr>
          </w:p>
          <w:p w14:paraId="2F3BB3A2">
            <w:pPr>
              <w:pStyle w:val="2"/>
              <w:spacing w:line="500" w:lineRule="exact"/>
              <w:ind w:firstLine="480" w:firstLineChars="200"/>
              <w:rPr>
                <w:rFonts w:hint="eastAsia" w:ascii="Times New Roman" w:hAnsi="Times New Roman" w:eastAsia="仿宋_GB2312"/>
                <w:kern w:val="0"/>
                <w:sz w:val="24"/>
                <w:szCs w:val="24"/>
                <w:lang w:eastAsia="zh-CN" w:bidi="ar"/>
              </w:rPr>
            </w:pPr>
          </w:p>
          <w:p w14:paraId="5902B8D7">
            <w:pPr>
              <w:pStyle w:val="2"/>
              <w:spacing w:line="500" w:lineRule="exact"/>
              <w:ind w:firstLine="482" w:firstLineChars="200"/>
              <w:rPr>
                <w:rFonts w:hint="eastAsia"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（二）</w:t>
            </w:r>
            <w:r>
              <w:rPr>
                <w:rFonts w:hint="eastAsia" w:ascii="Times New Roman" w:hAnsi="Times New Roman" w:eastAsia="仿宋_GB2312"/>
                <w:b/>
                <w:bCs/>
                <w:kern w:val="0"/>
                <w:sz w:val="24"/>
                <w:szCs w:val="24"/>
                <w:lang w:bidi="ar"/>
              </w:rPr>
              <w:t>公司</w:t>
            </w:r>
            <w:r>
              <w:rPr>
                <w:rFonts w:hint="eastAsia" w:ascii="Times New Roman" w:hAnsi="Times New Roman" w:eastAsia="仿宋_GB2312"/>
                <w:b/>
                <w:bCs/>
                <w:kern w:val="0"/>
                <w:sz w:val="24"/>
                <w:szCs w:val="24"/>
                <w:lang w:val="en-US" w:eastAsia="zh-CN" w:bidi="ar"/>
              </w:rPr>
              <w:t>表示</w:t>
            </w:r>
            <w:r>
              <w:rPr>
                <w:rFonts w:hint="eastAsia" w:ascii="Times New Roman" w:hAnsi="Times New Roman" w:eastAsia="仿宋_GB2312"/>
                <w:b/>
                <w:bCs/>
                <w:kern w:val="0"/>
                <w:sz w:val="24"/>
                <w:szCs w:val="24"/>
                <w:lang w:bidi="ar"/>
              </w:rPr>
              <w:t>要加大科研投入，现在有什么新药在研吗？</w:t>
            </w:r>
          </w:p>
          <w:p w14:paraId="00DB46CC">
            <w:pPr>
              <w:pStyle w:val="2"/>
              <w:spacing w:line="500" w:lineRule="exact"/>
              <w:ind w:firstLine="480" w:firstLineChars="200"/>
              <w:rPr>
                <w:rFonts w:hint="default" w:ascii="Times New Roman" w:hAnsi="Times New Roman" w:eastAsia="仿宋_GB2312" w:cs="Times New Roman"/>
                <w:b w:val="0"/>
                <w:bCs w:val="0"/>
                <w:kern w:val="0"/>
                <w:sz w:val="24"/>
                <w:szCs w:val="24"/>
                <w:lang w:bidi="ar"/>
              </w:rPr>
            </w:pPr>
            <w:r>
              <w:rPr>
                <w:rFonts w:hint="default" w:ascii="Times New Roman" w:hAnsi="Times New Roman" w:eastAsia="仿宋_GB2312" w:cs="Times New Roman"/>
                <w:b w:val="0"/>
                <w:bCs w:val="0"/>
                <w:kern w:val="0"/>
                <w:sz w:val="24"/>
                <w:szCs w:val="24"/>
                <w:lang w:bidi="ar"/>
              </w:rPr>
              <w:t>答：公司始终以研发创新作为重点发展战略之一，聚焦恶性肿瘤、慢</w:t>
            </w:r>
            <w:r>
              <w:rPr>
                <w:rFonts w:hint="default" w:ascii="Times New Roman" w:hAnsi="Times New Roman" w:eastAsia="仿宋_GB2312" w:cs="Times New Roman"/>
                <w:b w:val="0"/>
                <w:bCs w:val="0"/>
                <w:kern w:val="0"/>
                <w:sz w:val="24"/>
                <w:szCs w:val="24"/>
                <w:lang w:val="en-US" w:eastAsia="zh-CN" w:bidi="ar"/>
              </w:rPr>
              <w:t>性</w:t>
            </w:r>
            <w:r>
              <w:rPr>
                <w:rFonts w:hint="default" w:ascii="Times New Roman" w:hAnsi="Times New Roman" w:eastAsia="仿宋_GB2312" w:cs="Times New Roman"/>
                <w:b w:val="0"/>
                <w:bCs w:val="0"/>
                <w:kern w:val="0"/>
                <w:sz w:val="24"/>
                <w:szCs w:val="24"/>
                <w:lang w:bidi="ar"/>
              </w:rPr>
              <w:t>病管理、大呼吸、免疫系统、男科用药五大优势领域，布局在研项目160多项，其中在研1类创新药9项，2项处于I期临床阶段，4项处于Ⅱ期临床阶段，1项处于上市许可申请阶段。具体在研项目主要有选择性RET小分子抑制剂BYS10片、用于膝骨关节炎的BYS30颗粒、养阴舒肝颗粒、LBZ-18、LBZ-18口服乳等。</w:t>
            </w:r>
          </w:p>
          <w:p w14:paraId="3D25F59D">
            <w:pPr>
              <w:pStyle w:val="2"/>
              <w:spacing w:line="500" w:lineRule="exact"/>
              <w:ind w:firstLine="482" w:firstLineChars="200"/>
              <w:rPr>
                <w:rFonts w:ascii="Times New Roman" w:hAnsi="Times New Roman" w:eastAsia="仿宋_GB2312"/>
                <w:b/>
                <w:bCs/>
                <w:kern w:val="0"/>
                <w:sz w:val="24"/>
                <w:szCs w:val="24"/>
                <w:lang w:bidi="ar"/>
              </w:rPr>
            </w:pPr>
          </w:p>
          <w:p w14:paraId="2F4F49DD">
            <w:pPr>
              <w:pStyle w:val="2"/>
              <w:spacing w:line="500" w:lineRule="exact"/>
              <w:ind w:firstLine="482" w:firstLineChars="200"/>
              <w:rPr>
                <w:rFonts w:hint="eastAsia" w:ascii="Times New Roman" w:hAnsi="Times New Roman" w:eastAsia="仿宋_GB2312"/>
                <w:b/>
                <w:bCs/>
                <w:kern w:val="0"/>
                <w:sz w:val="24"/>
                <w:szCs w:val="24"/>
                <w:lang w:eastAsia="zh-CN"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三</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后续，</w:t>
            </w:r>
            <w:r>
              <w:rPr>
                <w:rFonts w:hint="eastAsia" w:ascii="Times New Roman" w:hAnsi="Times New Roman" w:eastAsia="仿宋_GB2312"/>
                <w:b/>
                <w:bCs/>
                <w:kern w:val="0"/>
                <w:sz w:val="24"/>
                <w:szCs w:val="24"/>
                <w:lang w:eastAsia="zh-CN" w:bidi="ar"/>
              </w:rPr>
              <w:t>公司科研发展有何计划？</w:t>
            </w:r>
          </w:p>
          <w:p w14:paraId="7137D412">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答：公司重视科研发展，未来将进一步加大在科研方面的投入。</w:t>
            </w:r>
          </w:p>
          <w:p w14:paraId="1AF45F88">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新品种研发方面，聚焦恶性肿瘤、重大新发突发传染病、心脑血管疾病等重大疾病和感染性疾病、自身免疫性疾病、妇科生殖系统疾病和儿科呼吸系统疾病等领域未被满足的临床需求构建广覆盖、多领域的新药研发管线。</w:t>
            </w:r>
          </w:p>
          <w:p w14:paraId="008E4F81">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传统品种研发方面，一方面，致力于提升老品种、独家品种的科技含量，开展大品种的培育工程，加快产品国际化布局。另一方面，加大力度推进睡眠品种盘活工作，从政策、市场、品种自身情况等多维度全面研究分析，挖掘培育一批“潜力品种”。</w:t>
            </w:r>
          </w:p>
          <w:p w14:paraId="4358F074">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在高端仿制药研发方面，加快研制一批有特色、市场前景好的高端仿制药及药用原辅料，同时持续推进集团仿制药一致性评价工作。</w:t>
            </w:r>
          </w:p>
          <w:p w14:paraId="01FD0535">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r>
              <w:rPr>
                <w:rFonts w:hint="eastAsia" w:ascii="Times New Roman" w:hAnsi="Times New Roman" w:eastAsia="仿宋_GB2312"/>
                <w:b w:val="0"/>
                <w:bCs w:val="0"/>
                <w:kern w:val="0"/>
                <w:sz w:val="24"/>
                <w:szCs w:val="24"/>
                <w:lang w:eastAsia="zh-CN" w:bidi="ar"/>
              </w:rPr>
              <w:t>在项目引进方面，积极打造以中医药、化学药、生物药、高端营养、医疗器械、合成生物为核心的六大创新研发平台，同时围绕呼吸、慢性病、肿瘤、生殖等核心治疗领域，筛选契合未被满足临床需求、适配公司发展的科研项目，进一步丰富潜在项目储备，为创新管线提供重要支撑。</w:t>
            </w:r>
          </w:p>
          <w:p w14:paraId="0656D277">
            <w:pPr>
              <w:pStyle w:val="2"/>
              <w:spacing w:line="500" w:lineRule="exact"/>
              <w:ind w:firstLine="480" w:firstLineChars="200"/>
              <w:rPr>
                <w:rFonts w:hint="eastAsia" w:ascii="Times New Roman" w:hAnsi="Times New Roman" w:eastAsia="仿宋_GB2312"/>
                <w:b w:val="0"/>
                <w:bCs w:val="0"/>
                <w:kern w:val="0"/>
                <w:sz w:val="24"/>
                <w:szCs w:val="24"/>
                <w:lang w:eastAsia="zh-CN" w:bidi="ar"/>
              </w:rPr>
            </w:pPr>
          </w:p>
          <w:p w14:paraId="0B353BEE">
            <w:pPr>
              <w:pStyle w:val="2"/>
              <w:spacing w:line="500" w:lineRule="exact"/>
              <w:ind w:firstLine="482" w:firstLineChars="200"/>
              <w:rPr>
                <w:rFonts w:hint="eastAsia"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四</w:t>
            </w: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bidi="ar"/>
              </w:rPr>
              <w:t>公司国际化发展方面有何进展？</w:t>
            </w:r>
          </w:p>
          <w:p w14:paraId="5FEB45AE">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答：公司持续加快国际化合作步伐，不断拓展海外市场。</w:t>
            </w:r>
          </w:p>
          <w:p w14:paraId="3934F06E">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天然饮品：一是在海外本土化生产方面，公司正在稳步推进“浓缩液出口+本地灌装”的轻资产本土化生产模式。二是在海外渠道下沉与深耕方面，公司通过发力越南市场春节档堆头，开发马来西亚榴莲档、MAMA档等特色渠道等，持续提升东南亚市场渗透率。</w:t>
            </w:r>
          </w:p>
          <w:p w14:paraId="6C940AAA">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现代中药：小柴胡颗粒、华佗再造丸、安宫牛黄丸等产品持续推进海外市场拓展、加大本土化代理商、医院等推广。</w:t>
            </w:r>
          </w:p>
          <w:p w14:paraId="0AD884AE">
            <w:pPr>
              <w:pStyle w:val="2"/>
              <w:spacing w:line="500" w:lineRule="exact"/>
              <w:ind w:firstLine="480" w:firstLineChars="200"/>
              <w:rPr>
                <w:rFonts w:hint="eastAsia"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化药科技：金戈、羧甲司坦口服溶液成功注册澳门成药，为产品出海及国际化销售布局拓宽渠道；同时，有序推进金戈在印尼、缅甸等东南亚国家的注册及上市销售推进进程，以及头孢曲松钠、环丙沙星、阿莫西林等品种在非洲市场的申报工作，推动形成多元化海外市场格局。</w:t>
            </w:r>
          </w:p>
          <w:p w14:paraId="3C2F94E7">
            <w:pPr>
              <w:pStyle w:val="2"/>
              <w:spacing w:line="500" w:lineRule="exact"/>
              <w:ind w:firstLine="480" w:firstLineChars="200"/>
              <w:rPr>
                <w:rFonts w:hint="eastAsia" w:ascii="Times New Roman" w:hAnsi="Times New Roman" w:eastAsia="仿宋_GB2312"/>
                <w:b w:val="0"/>
                <w:bCs w:val="0"/>
                <w:kern w:val="0"/>
                <w:sz w:val="24"/>
                <w:szCs w:val="24"/>
                <w:lang w:bidi="ar"/>
              </w:rPr>
            </w:pPr>
          </w:p>
          <w:p w14:paraId="193F2BB6">
            <w:pPr>
              <w:pStyle w:val="2"/>
              <w:spacing w:line="500" w:lineRule="exact"/>
              <w:ind w:firstLine="482" w:firstLineChars="200"/>
              <w:rPr>
                <w:rFonts w:hint="eastAsia" w:ascii="Times New Roman" w:hAnsi="Times New Roman" w:eastAsia="仿宋_GB2312"/>
                <w:b/>
                <w:bCs/>
                <w:kern w:val="0"/>
                <w:sz w:val="24"/>
                <w:szCs w:val="24"/>
                <w:lang w:val="en-US" w:eastAsia="zh-CN" w:bidi="ar"/>
              </w:rPr>
            </w:pPr>
            <w:r>
              <w:rPr>
                <w:rFonts w:hint="eastAsia" w:ascii="Times New Roman" w:hAnsi="Times New Roman" w:eastAsia="仿宋_GB2312"/>
                <w:b/>
                <w:bCs/>
                <w:kern w:val="0"/>
                <w:sz w:val="24"/>
                <w:szCs w:val="24"/>
                <w:lang w:val="en-US" w:eastAsia="zh-CN" w:bidi="ar"/>
              </w:rPr>
              <w:t>（五）公司天然饮品业务已具备一定规模，后续将如何进一步发展？</w:t>
            </w:r>
          </w:p>
          <w:p w14:paraId="61E25E9F">
            <w:pPr>
              <w:pStyle w:val="2"/>
              <w:spacing w:line="500" w:lineRule="exact"/>
              <w:ind w:firstLine="480" w:firstLineChars="200"/>
              <w:rPr>
                <w:rFonts w:hint="default" w:ascii="Times New Roman" w:hAnsi="Times New Roman" w:eastAsia="仿宋_GB2312"/>
                <w:b w:val="0"/>
                <w:bCs w:val="0"/>
                <w:kern w:val="0"/>
                <w:sz w:val="24"/>
                <w:szCs w:val="24"/>
                <w:lang w:val="en-US" w:eastAsia="zh-CN" w:bidi="ar"/>
              </w:rPr>
            </w:pPr>
            <w:r>
              <w:rPr>
                <w:rFonts w:hint="eastAsia" w:ascii="Times New Roman" w:hAnsi="Times New Roman" w:eastAsia="仿宋_GB2312"/>
                <w:b w:val="0"/>
                <w:bCs w:val="0"/>
                <w:kern w:val="0"/>
                <w:sz w:val="24"/>
                <w:szCs w:val="24"/>
                <w:lang w:val="en-US" w:eastAsia="zh-CN" w:bidi="ar"/>
              </w:rPr>
              <w:t>答：2026年，公司天然饮品业务将围绕“固本拓新，聚势强基”，持续推进结构优化与动能转换，推动业务稳定发展。主要举措包括：一是推动渠道结构转型，逐步由礼品宴席市场向即饮餐饮为业绩主要来源的渠道结构转变，从特定场景向大众主流消费场景发展，持续挖掘产品增量。二是深度布局国际市场，细化华人市场与本地化市场运营策略，推动海外市场销售持续增长。三是公司王老吉大健康将成立新兴品类事业部，围绕健康化、功能化趋势，研发储备创新产品，统筹新品运作，系统培育第二增长曲线。</w:t>
            </w:r>
          </w:p>
          <w:p w14:paraId="0D639D25">
            <w:pPr>
              <w:pStyle w:val="2"/>
              <w:spacing w:line="500" w:lineRule="exact"/>
              <w:rPr>
                <w:rFonts w:ascii="Times New Roman" w:hAnsi="Times New Roman" w:eastAsia="仿宋_GB2312"/>
                <w:kern w:val="0"/>
                <w:sz w:val="24"/>
                <w:szCs w:val="24"/>
                <w:lang w:bidi="ar"/>
              </w:rPr>
            </w:pPr>
          </w:p>
          <w:p w14:paraId="145D1D56">
            <w:pPr>
              <w:pStyle w:val="2"/>
              <w:spacing w:line="500" w:lineRule="exact"/>
              <w:ind w:firstLine="482" w:firstLineChars="200"/>
              <w:rPr>
                <w:rFonts w:hint="eastAsia"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六</w:t>
            </w: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公司</w:t>
            </w:r>
            <w:r>
              <w:rPr>
                <w:rFonts w:hint="eastAsia" w:ascii="Times New Roman" w:hAnsi="Times New Roman" w:eastAsia="仿宋_GB2312"/>
                <w:b/>
                <w:bCs/>
                <w:kern w:val="0"/>
                <w:sz w:val="24"/>
                <w:szCs w:val="24"/>
                <w:lang w:bidi="ar"/>
              </w:rPr>
              <w:t>是否有挖掘发展潜力，推出功能性饮料和符合年轻人市场的饮品？</w:t>
            </w:r>
          </w:p>
          <w:p w14:paraId="4933BC08">
            <w:pPr>
              <w:pStyle w:val="2"/>
              <w:spacing w:line="500" w:lineRule="exact"/>
              <w:ind w:firstLine="480" w:firstLineChars="200"/>
              <w:rPr>
                <w:rFonts w:ascii="Times New Roman" w:hAnsi="Times New Roman" w:eastAsia="仿宋_GB2312"/>
                <w:kern w:val="0"/>
                <w:sz w:val="24"/>
                <w:szCs w:val="24"/>
                <w:lang w:bidi="ar"/>
              </w:rPr>
            </w:pPr>
            <w:r>
              <w:rPr>
                <w:rFonts w:hint="eastAsia" w:ascii="Times New Roman" w:hAnsi="Times New Roman" w:eastAsia="仿宋_GB2312"/>
                <w:b w:val="0"/>
                <w:bCs w:val="0"/>
                <w:kern w:val="0"/>
                <w:sz w:val="24"/>
                <w:szCs w:val="24"/>
                <w:lang w:bidi="ar"/>
              </w:rPr>
              <w:t>答：为挖掘王老吉品牌和资源价值，公司强化凉茶终端网点覆盖，推进四大头部餐饮平台合作，着力瓶装饮料促销推广，不断深掘王老吉产品增量。同时，创新原味凉茶、刺柠吉系列、荔小吉系列新品营销，推出荔枝、黄桃口味果摇爽低浓度果肉果汁新品，挖掘品类潜力，培育第二增长曲线。在功能性饮料方面，已推出王老吉闪充电解质水。</w:t>
            </w:r>
            <w:r>
              <w:rPr>
                <w:rFonts w:ascii="Times New Roman" w:hAnsi="Times New Roman" w:eastAsia="仿宋_GB2312"/>
                <w:kern w:val="0"/>
                <w:sz w:val="24"/>
                <w:szCs w:val="24"/>
                <w:lang w:bidi="ar"/>
              </w:rPr>
              <w:t>2026年，公司将进一步深化单品多元化与品类多元化发展路径，持续完善产品矩阵。</w:t>
            </w:r>
          </w:p>
          <w:p w14:paraId="2D65FEB0">
            <w:pPr>
              <w:pStyle w:val="2"/>
              <w:spacing w:line="500" w:lineRule="exact"/>
              <w:rPr>
                <w:rFonts w:ascii="Times New Roman" w:hAnsi="Times New Roman" w:eastAsia="仿宋_GB2312"/>
                <w:kern w:val="0"/>
                <w:sz w:val="24"/>
                <w:szCs w:val="24"/>
                <w:lang w:bidi="ar"/>
              </w:rPr>
            </w:pPr>
          </w:p>
          <w:p w14:paraId="728FB8A3">
            <w:pPr>
              <w:pStyle w:val="2"/>
              <w:spacing w:line="500" w:lineRule="exact"/>
              <w:ind w:firstLine="482" w:firstLineChars="200"/>
              <w:rPr>
                <w:rFonts w:hint="eastAsia"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七</w:t>
            </w: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bidi="ar"/>
              </w:rPr>
              <w:t>2026年一季度，公司应收账款</w:t>
            </w:r>
            <w:r>
              <w:rPr>
                <w:rFonts w:hint="eastAsia" w:ascii="Times New Roman" w:hAnsi="Times New Roman" w:eastAsia="仿宋_GB2312"/>
                <w:b/>
                <w:bCs/>
                <w:kern w:val="0"/>
                <w:sz w:val="24"/>
                <w:szCs w:val="24"/>
                <w:lang w:val="en-US" w:eastAsia="zh-CN" w:bidi="ar"/>
              </w:rPr>
              <w:t>有所</w:t>
            </w:r>
            <w:r>
              <w:rPr>
                <w:rFonts w:hint="eastAsia" w:ascii="Times New Roman" w:hAnsi="Times New Roman" w:eastAsia="仿宋_GB2312"/>
                <w:b/>
                <w:bCs/>
                <w:kern w:val="0"/>
                <w:sz w:val="24"/>
                <w:szCs w:val="24"/>
                <w:lang w:bidi="ar"/>
              </w:rPr>
              <w:t>增加，这主要来自</w:t>
            </w:r>
            <w:r>
              <w:rPr>
                <w:rFonts w:hint="eastAsia" w:ascii="Times New Roman" w:hAnsi="Times New Roman" w:eastAsia="仿宋_GB2312"/>
                <w:b/>
                <w:bCs/>
                <w:kern w:val="0"/>
                <w:sz w:val="24"/>
                <w:szCs w:val="24"/>
                <w:lang w:val="en-US" w:eastAsia="zh-CN" w:bidi="ar"/>
              </w:rPr>
              <w:t>哪些业务</w:t>
            </w:r>
            <w:r>
              <w:rPr>
                <w:rFonts w:hint="eastAsia" w:ascii="Times New Roman" w:hAnsi="Times New Roman" w:eastAsia="仿宋_GB2312"/>
                <w:b/>
                <w:bCs/>
                <w:kern w:val="0"/>
                <w:sz w:val="24"/>
                <w:szCs w:val="24"/>
                <w:lang w:bidi="ar"/>
              </w:rPr>
              <w:t>？</w:t>
            </w:r>
          </w:p>
          <w:p w14:paraId="6E318EF0">
            <w:pPr>
              <w:pStyle w:val="2"/>
              <w:spacing w:line="500" w:lineRule="exact"/>
              <w:ind w:firstLine="480" w:firstLineChars="200"/>
              <w:rPr>
                <w:rFonts w:ascii="Times New Roman" w:hAnsi="Times New Roman" w:eastAsia="仿宋_GB2312"/>
                <w:b w:val="0"/>
                <w:bCs w:val="0"/>
                <w:kern w:val="0"/>
                <w:sz w:val="24"/>
                <w:szCs w:val="24"/>
                <w:lang w:bidi="ar"/>
              </w:rPr>
            </w:pPr>
            <w:r>
              <w:rPr>
                <w:rFonts w:hint="eastAsia" w:ascii="Times New Roman" w:hAnsi="Times New Roman" w:eastAsia="仿宋_GB2312"/>
                <w:b w:val="0"/>
                <w:bCs w:val="0"/>
                <w:kern w:val="0"/>
                <w:sz w:val="24"/>
                <w:szCs w:val="24"/>
                <w:lang w:bidi="ar"/>
              </w:rPr>
              <w:t>答：2026年一季度，公司应收账款增长主要</w:t>
            </w:r>
            <w:r>
              <w:rPr>
                <w:rFonts w:hint="eastAsia" w:ascii="Times New Roman" w:hAnsi="Times New Roman" w:eastAsia="仿宋_GB2312"/>
                <w:b w:val="0"/>
                <w:bCs w:val="0"/>
                <w:kern w:val="0"/>
                <w:sz w:val="24"/>
                <w:szCs w:val="24"/>
                <w:lang w:eastAsia="zh-CN" w:bidi="ar"/>
              </w:rPr>
              <w:t>来自</w:t>
            </w:r>
            <w:r>
              <w:rPr>
                <w:rFonts w:hint="eastAsia" w:ascii="Times New Roman" w:hAnsi="Times New Roman" w:eastAsia="仿宋_GB2312"/>
                <w:b w:val="0"/>
                <w:bCs w:val="0"/>
                <w:kern w:val="0"/>
                <w:sz w:val="24"/>
                <w:szCs w:val="24"/>
                <w:lang w:val="en-US" w:eastAsia="zh-CN" w:bidi="ar"/>
              </w:rPr>
              <w:t>公司下属企业</w:t>
            </w:r>
            <w:r>
              <w:rPr>
                <w:rFonts w:hint="eastAsia" w:ascii="Times New Roman" w:hAnsi="Times New Roman" w:eastAsia="仿宋_GB2312"/>
                <w:b w:val="0"/>
                <w:bCs w:val="0"/>
                <w:kern w:val="0"/>
                <w:sz w:val="24"/>
                <w:szCs w:val="24"/>
                <w:lang w:bidi="ar"/>
              </w:rPr>
              <w:t>广州医药</w:t>
            </w:r>
            <w:r>
              <w:rPr>
                <w:rFonts w:hint="eastAsia" w:ascii="Times New Roman" w:hAnsi="Times New Roman" w:eastAsia="仿宋_GB2312"/>
                <w:b w:val="0"/>
                <w:bCs w:val="0"/>
                <w:kern w:val="0"/>
                <w:sz w:val="24"/>
                <w:szCs w:val="24"/>
                <w:lang w:eastAsia="zh-CN" w:bidi="ar"/>
              </w:rPr>
              <w:t>。</w:t>
            </w:r>
            <w:r>
              <w:rPr>
                <w:rFonts w:hint="eastAsia" w:ascii="Times New Roman" w:hAnsi="Times New Roman" w:eastAsia="仿宋_GB2312"/>
                <w:b w:val="0"/>
                <w:bCs w:val="0"/>
                <w:kern w:val="0"/>
                <w:sz w:val="24"/>
                <w:szCs w:val="24"/>
                <w:lang w:val="en-US" w:eastAsia="zh-CN" w:bidi="ar"/>
              </w:rPr>
              <w:t>一方面，随着广州医药自身</w:t>
            </w:r>
            <w:r>
              <w:rPr>
                <w:rFonts w:hint="eastAsia" w:ascii="Times New Roman" w:hAnsi="Times New Roman" w:eastAsia="仿宋_GB2312"/>
                <w:b w:val="0"/>
                <w:bCs w:val="0"/>
                <w:kern w:val="0"/>
                <w:sz w:val="24"/>
                <w:szCs w:val="24"/>
                <w:lang w:bidi="ar"/>
              </w:rPr>
              <w:t>业务规模扩大，应收账款随之增加</w:t>
            </w:r>
            <w:r>
              <w:rPr>
                <w:rFonts w:hint="eastAsia" w:ascii="Times New Roman" w:hAnsi="Times New Roman" w:eastAsia="仿宋_GB2312"/>
                <w:b w:val="0"/>
                <w:bCs w:val="0"/>
                <w:kern w:val="0"/>
                <w:sz w:val="24"/>
                <w:szCs w:val="24"/>
                <w:lang w:eastAsia="zh-CN" w:bidi="ar"/>
              </w:rPr>
              <w:t>；</w:t>
            </w:r>
            <w:r>
              <w:rPr>
                <w:rFonts w:hint="eastAsia" w:ascii="Times New Roman" w:hAnsi="Times New Roman" w:eastAsia="仿宋_GB2312"/>
                <w:b w:val="0"/>
                <w:bCs w:val="0"/>
                <w:kern w:val="0"/>
                <w:sz w:val="24"/>
                <w:szCs w:val="24"/>
                <w:lang w:val="en-US" w:eastAsia="zh-CN" w:bidi="ar"/>
              </w:rPr>
              <w:t>另一方面，</w:t>
            </w:r>
            <w:r>
              <w:rPr>
                <w:rFonts w:hint="eastAsia" w:ascii="Times New Roman" w:hAnsi="Times New Roman" w:eastAsia="仿宋_GB2312"/>
                <w:b w:val="0"/>
                <w:bCs w:val="0"/>
                <w:kern w:val="0"/>
                <w:sz w:val="24"/>
                <w:szCs w:val="24"/>
                <w:lang w:bidi="ar"/>
              </w:rPr>
              <w:t>浙江医工</w:t>
            </w:r>
            <w:r>
              <w:rPr>
                <w:rFonts w:hint="eastAsia" w:ascii="Times New Roman" w:hAnsi="Times New Roman" w:eastAsia="仿宋_GB2312"/>
                <w:b w:val="0"/>
                <w:bCs w:val="0"/>
                <w:kern w:val="0"/>
                <w:sz w:val="24"/>
                <w:szCs w:val="24"/>
                <w:lang w:val="en-US" w:eastAsia="zh-CN" w:bidi="ar"/>
              </w:rPr>
              <w:t>已于2026年3月</w:t>
            </w:r>
            <w:r>
              <w:rPr>
                <w:rFonts w:hint="eastAsia" w:ascii="Times New Roman" w:hAnsi="Times New Roman" w:eastAsia="仿宋_GB2312"/>
                <w:b w:val="0"/>
                <w:bCs w:val="0"/>
                <w:kern w:val="0"/>
                <w:sz w:val="24"/>
                <w:szCs w:val="24"/>
                <w:lang w:bidi="ar"/>
              </w:rPr>
              <w:t>纳入合并报表范围亦带来</w:t>
            </w:r>
            <w:r>
              <w:rPr>
                <w:rFonts w:hint="eastAsia" w:ascii="Times New Roman" w:hAnsi="Times New Roman" w:eastAsia="仿宋_GB2312"/>
                <w:b w:val="0"/>
                <w:bCs w:val="0"/>
                <w:kern w:val="0"/>
                <w:sz w:val="24"/>
                <w:szCs w:val="24"/>
                <w:lang w:val="en-US" w:eastAsia="zh-CN" w:bidi="ar"/>
              </w:rPr>
              <w:t>一定规模的</w:t>
            </w:r>
            <w:r>
              <w:rPr>
                <w:rFonts w:hint="eastAsia" w:ascii="Times New Roman" w:hAnsi="Times New Roman" w:eastAsia="仿宋_GB2312"/>
                <w:b w:val="0"/>
                <w:bCs w:val="0"/>
                <w:kern w:val="0"/>
                <w:sz w:val="24"/>
                <w:szCs w:val="24"/>
                <w:lang w:bidi="ar"/>
              </w:rPr>
              <w:t>应收账款。</w:t>
            </w:r>
          </w:p>
          <w:p w14:paraId="639C884B">
            <w:pPr>
              <w:pStyle w:val="2"/>
              <w:spacing w:line="500" w:lineRule="exact"/>
              <w:ind w:firstLine="482" w:firstLineChars="200"/>
              <w:rPr>
                <w:rFonts w:ascii="Times New Roman" w:hAnsi="Times New Roman" w:eastAsia="仿宋_GB2312"/>
                <w:b/>
                <w:bCs/>
                <w:kern w:val="0"/>
                <w:sz w:val="24"/>
                <w:szCs w:val="24"/>
                <w:lang w:bidi="ar"/>
              </w:rPr>
            </w:pPr>
          </w:p>
          <w:p w14:paraId="2A9446A5">
            <w:pPr>
              <w:pStyle w:val="2"/>
              <w:spacing w:line="500" w:lineRule="exact"/>
              <w:ind w:firstLine="482" w:firstLineChars="200"/>
              <w:rPr>
                <w:rFonts w:ascii="Times New Roman" w:hAnsi="Times New Roman" w:eastAsia="仿宋_GB2312"/>
                <w:b/>
                <w:bCs/>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八</w:t>
            </w:r>
            <w:r>
              <w:rPr>
                <w:rFonts w:ascii="Times New Roman" w:hAnsi="Times New Roman" w:eastAsia="仿宋_GB2312"/>
                <w:b/>
                <w:bCs/>
                <w:kern w:val="0"/>
                <w:sz w:val="24"/>
                <w:szCs w:val="24"/>
                <w:lang w:bidi="ar"/>
              </w:rPr>
              <w:t>）</w:t>
            </w:r>
            <w:r>
              <w:rPr>
                <w:rFonts w:ascii="Times New Roman" w:hAnsi="Times New Roman" w:eastAsia="仿宋_GB2312"/>
                <w:b/>
                <w:bCs/>
                <w:sz w:val="24"/>
                <w:szCs w:val="24"/>
                <w:lang w:bidi="ar"/>
              </w:rPr>
              <w:t>针对当前回款情况，未来是否会采取措施控制应收账款的规模、改善回款情况？</w:t>
            </w:r>
          </w:p>
          <w:p w14:paraId="5C0EA617">
            <w:pPr>
              <w:pStyle w:val="2"/>
              <w:spacing w:line="500" w:lineRule="exact"/>
              <w:ind w:firstLine="480" w:firstLineChars="200"/>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答：为有效应对回款挑战，公司将密切跟踪国家及地方医保基金即时结算、直接结算改革进展，力争借助政策窗口改善回款环境，同时持续强化应收账款精细化管理，并通过制定回款计划、法律清收、应收账款保理、资产证券化等多</w:t>
            </w:r>
            <w:r>
              <w:rPr>
                <w:rFonts w:hint="eastAsia" w:ascii="Times New Roman" w:hAnsi="Times New Roman" w:eastAsia="仿宋_GB2312"/>
                <w:kern w:val="0"/>
                <w:sz w:val="24"/>
                <w:szCs w:val="24"/>
                <w:lang w:bidi="ar"/>
              </w:rPr>
              <w:t>项</w:t>
            </w:r>
            <w:r>
              <w:rPr>
                <w:rFonts w:ascii="Times New Roman" w:hAnsi="Times New Roman" w:eastAsia="仿宋_GB2312"/>
                <w:kern w:val="0"/>
                <w:sz w:val="24"/>
                <w:szCs w:val="24"/>
                <w:lang w:bidi="ar"/>
              </w:rPr>
              <w:t>举措加快资金回笼。</w:t>
            </w:r>
          </w:p>
          <w:p w14:paraId="6EAD1ECB">
            <w:pPr>
              <w:pStyle w:val="2"/>
              <w:spacing w:line="500" w:lineRule="exact"/>
              <w:ind w:firstLine="480" w:firstLineChars="200"/>
              <w:rPr>
                <w:rFonts w:ascii="Times New Roman" w:hAnsi="Times New Roman" w:eastAsia="仿宋_GB2312"/>
                <w:kern w:val="0"/>
                <w:sz w:val="24"/>
                <w:szCs w:val="24"/>
                <w:lang w:bidi="ar"/>
              </w:rPr>
            </w:pPr>
          </w:p>
          <w:p w14:paraId="13D303FA">
            <w:pPr>
              <w:pStyle w:val="2"/>
              <w:spacing w:line="500" w:lineRule="exact"/>
              <w:ind w:firstLine="482" w:firstLineChars="200"/>
              <w:rPr>
                <w:rFonts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九</w:t>
            </w:r>
            <w:r>
              <w:rPr>
                <w:rFonts w:ascii="Times New Roman" w:hAnsi="Times New Roman" w:eastAsia="仿宋_GB2312"/>
                <w:b/>
                <w:bCs/>
                <w:kern w:val="0"/>
                <w:sz w:val="24"/>
                <w:szCs w:val="24"/>
                <w:lang w:bidi="ar"/>
              </w:rPr>
              <w:t>）未来，公司医药商业有何发展规划？</w:t>
            </w:r>
          </w:p>
          <w:p w14:paraId="240033D9">
            <w:pPr>
              <w:pStyle w:val="2"/>
              <w:spacing w:line="500" w:lineRule="exact"/>
              <w:ind w:firstLine="480" w:firstLineChars="200"/>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答：未来，公司医药商业将聚焦高质量发展主线，持续巩固药品批发的压舱石作用，同时深耕医疗器械、消费者健康及国际业务，构建更加均衡的业务格局，推动综合实力与发展质效持续提升。</w:t>
            </w:r>
          </w:p>
          <w:p w14:paraId="4171A659">
            <w:pPr>
              <w:pStyle w:val="2"/>
              <w:spacing w:line="500" w:lineRule="exact"/>
              <w:ind w:firstLine="480" w:firstLineChars="200"/>
              <w:rPr>
                <w:rFonts w:ascii="Times New Roman" w:hAnsi="Times New Roman" w:eastAsia="仿宋_GB2312"/>
                <w:kern w:val="0"/>
                <w:sz w:val="24"/>
                <w:szCs w:val="24"/>
                <w:lang w:bidi="ar"/>
              </w:rPr>
            </w:pPr>
          </w:p>
          <w:p w14:paraId="4C7E1148">
            <w:pPr>
              <w:pStyle w:val="2"/>
              <w:spacing w:line="500" w:lineRule="exact"/>
              <w:ind w:firstLine="482" w:firstLineChars="200"/>
              <w:rPr>
                <w:rFonts w:ascii="Times New Roman" w:hAnsi="Times New Roman" w:eastAsia="仿宋_GB2312"/>
                <w:b/>
                <w:bCs/>
                <w:kern w:val="0"/>
                <w:sz w:val="24"/>
                <w:szCs w:val="24"/>
                <w:lang w:bidi="ar"/>
              </w:rPr>
            </w:pPr>
            <w:r>
              <w:rPr>
                <w:rFonts w:ascii="Times New Roman" w:hAnsi="Times New Roman" w:eastAsia="仿宋_GB2312"/>
                <w:b/>
                <w:bCs/>
                <w:kern w:val="0"/>
                <w:sz w:val="24"/>
                <w:szCs w:val="24"/>
                <w:lang w:bidi="ar"/>
              </w:rPr>
              <w:t>（</w:t>
            </w:r>
            <w:r>
              <w:rPr>
                <w:rFonts w:hint="eastAsia" w:ascii="Times New Roman" w:hAnsi="Times New Roman" w:eastAsia="仿宋_GB2312"/>
                <w:b/>
                <w:bCs/>
                <w:kern w:val="0"/>
                <w:sz w:val="24"/>
                <w:szCs w:val="24"/>
                <w:lang w:val="en-US" w:eastAsia="zh-CN" w:bidi="ar"/>
              </w:rPr>
              <w:t>十</w:t>
            </w:r>
            <w:r>
              <w:rPr>
                <w:rFonts w:ascii="Times New Roman" w:hAnsi="Times New Roman" w:eastAsia="仿宋_GB2312"/>
                <w:b/>
                <w:bCs/>
                <w:kern w:val="0"/>
                <w:sz w:val="24"/>
                <w:szCs w:val="24"/>
                <w:lang w:bidi="ar"/>
              </w:rPr>
              <w:t>）公司对“十五五”有何规划？</w:t>
            </w:r>
          </w:p>
          <w:p w14:paraId="70BD6613">
            <w:pPr>
              <w:pStyle w:val="2"/>
              <w:spacing w:line="500" w:lineRule="exact"/>
              <w:ind w:firstLine="480" w:firstLineChars="200"/>
              <w:rPr>
                <w:rFonts w:ascii="Times New Roman" w:hAnsi="Times New Roman" w:eastAsia="仿宋_GB2312"/>
                <w:kern w:val="0"/>
                <w:sz w:val="24"/>
                <w:szCs w:val="24"/>
                <w:lang w:bidi="ar"/>
              </w:rPr>
            </w:pPr>
            <w:r>
              <w:rPr>
                <w:rFonts w:ascii="Times New Roman" w:hAnsi="Times New Roman" w:eastAsia="仿宋_GB2312"/>
                <w:kern w:val="0"/>
                <w:sz w:val="24"/>
                <w:szCs w:val="24"/>
                <w:lang w:bidi="ar"/>
              </w:rPr>
              <w:t>答：未来五年，公司将坚持现代化、科技化、数字化、国际化发展</w:t>
            </w:r>
            <w:r>
              <w:rPr>
                <w:rFonts w:hint="eastAsia" w:ascii="Times New Roman" w:hAnsi="Times New Roman" w:eastAsia="仿宋_GB2312"/>
                <w:kern w:val="0"/>
                <w:sz w:val="24"/>
                <w:szCs w:val="24"/>
                <w:lang w:bidi="ar"/>
              </w:rPr>
              <w:t>方向</w:t>
            </w:r>
            <w:r>
              <w:rPr>
                <w:rFonts w:ascii="Times New Roman" w:hAnsi="Times New Roman" w:eastAsia="仿宋_GB2312"/>
                <w:kern w:val="0"/>
                <w:sz w:val="24"/>
                <w:szCs w:val="24"/>
                <w:lang w:bidi="ar"/>
              </w:rPr>
              <w:t>，在推动现代中药、化药科技、天然饮品、医药商业四大基石业务板块提质增效的同时，积蓄动能，培育促进消费健康、生物创新、医疗服务等业务发展，推动公司实现高质量发展。</w:t>
            </w:r>
          </w:p>
          <w:p w14:paraId="6E982261">
            <w:pPr>
              <w:pStyle w:val="2"/>
              <w:spacing w:line="500" w:lineRule="exact"/>
              <w:ind w:firstLine="480" w:firstLineChars="200"/>
              <w:rPr>
                <w:rFonts w:ascii="Times New Roman" w:hAnsi="Times New Roman" w:eastAsia="仿宋_GB2312"/>
                <w:kern w:val="0"/>
                <w:sz w:val="24"/>
                <w:szCs w:val="24"/>
                <w:lang w:bidi="ar"/>
              </w:rPr>
            </w:pPr>
          </w:p>
          <w:p w14:paraId="4C35A20B">
            <w:pPr>
              <w:pStyle w:val="2"/>
              <w:spacing w:line="500" w:lineRule="exact"/>
              <w:ind w:firstLine="482" w:firstLineChars="200"/>
              <w:rPr>
                <w:rFonts w:hint="eastAsia" w:ascii="Times New Roman" w:hAnsi="Times New Roman" w:eastAsia="仿宋_GB2312"/>
                <w:b/>
                <w:bCs/>
                <w:kern w:val="0"/>
                <w:sz w:val="24"/>
                <w:szCs w:val="24"/>
                <w:lang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十一</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bidi="ar"/>
              </w:rPr>
              <w:t>面对公司当前的股价、市值情况，公司有哪些举措？</w:t>
            </w:r>
          </w:p>
          <w:p w14:paraId="54AE6E44">
            <w:pPr>
              <w:pStyle w:val="2"/>
              <w:spacing w:line="500" w:lineRule="exact"/>
              <w:ind w:firstLine="480" w:firstLineChars="200"/>
              <w:rPr>
                <w:rFonts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公司一直重视市值管理。一方面，公司将坚持稳中求进，不断加大研发投入，深化产业协同与资本运作，深化业务专业化整合，发挥资源协同效应，进一步夯实医药商业、化药科技、现代中药、天然饮品四大基石业务，同时积蓄发展动能，培育消费健康、生物创新、医疗服务等业务，共同推动公司质的有效提升和量的合理增长。另一方面，积极通过现金分红等方式回馈股东，继续通过多种方式加强与投资者沟通、传递公司价值，争取给投资者更好的投资回报。</w:t>
            </w:r>
          </w:p>
          <w:p w14:paraId="0B40A6D4">
            <w:pPr>
              <w:pStyle w:val="2"/>
              <w:spacing w:line="500" w:lineRule="exact"/>
              <w:ind w:firstLine="480" w:firstLineChars="200"/>
              <w:rPr>
                <w:rFonts w:ascii="Times New Roman" w:hAnsi="Times New Roman" w:eastAsia="仿宋_GB2312"/>
                <w:kern w:val="0"/>
                <w:sz w:val="24"/>
                <w:szCs w:val="24"/>
                <w:lang w:bidi="ar"/>
              </w:rPr>
            </w:pPr>
          </w:p>
          <w:p w14:paraId="03A4EF84">
            <w:pPr>
              <w:pStyle w:val="2"/>
              <w:spacing w:line="500" w:lineRule="exact"/>
              <w:ind w:firstLine="482" w:firstLineChars="200"/>
              <w:rPr>
                <w:rFonts w:hint="eastAsia" w:ascii="Times New Roman" w:hAnsi="Times New Roman" w:eastAsia="仿宋_GB2312"/>
                <w:b/>
                <w:bCs/>
                <w:kern w:val="0"/>
                <w:sz w:val="24"/>
                <w:szCs w:val="24"/>
                <w:lang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十二</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bidi="ar"/>
              </w:rPr>
              <w:t>公司是否会考虑采用回购等手段稳定股价？</w:t>
            </w:r>
          </w:p>
          <w:p w14:paraId="0AD4BCAE">
            <w:pPr>
              <w:pStyle w:val="2"/>
              <w:spacing w:line="500" w:lineRule="exact"/>
              <w:ind w:firstLine="480" w:firstLineChars="200"/>
              <w:rPr>
                <w:rFonts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答：公司</w:t>
            </w:r>
            <w:r>
              <w:rPr>
                <w:rFonts w:hint="eastAsia" w:ascii="Times New Roman" w:hAnsi="Times New Roman" w:eastAsia="仿宋_GB2312"/>
                <w:kern w:val="0"/>
                <w:sz w:val="24"/>
                <w:szCs w:val="24"/>
                <w:lang w:val="en-US" w:eastAsia="zh-CN" w:bidi="ar"/>
              </w:rPr>
              <w:t>暂无回购计划</w:t>
            </w:r>
            <w:r>
              <w:rPr>
                <w:rFonts w:hint="eastAsia" w:ascii="Times New Roman" w:hAnsi="Times New Roman" w:eastAsia="仿宋_GB2312"/>
                <w:kern w:val="0"/>
                <w:sz w:val="24"/>
                <w:szCs w:val="24"/>
                <w:lang w:bidi="ar"/>
              </w:rPr>
              <w:t>。后续，公司如有回购计划，将按照两地上市规则履行披露义务。</w:t>
            </w:r>
          </w:p>
          <w:p w14:paraId="74FB6315">
            <w:pPr>
              <w:pStyle w:val="2"/>
              <w:spacing w:line="500" w:lineRule="exact"/>
              <w:ind w:firstLine="480" w:firstLineChars="200"/>
              <w:rPr>
                <w:rFonts w:ascii="Times New Roman" w:hAnsi="Times New Roman" w:eastAsia="仿宋_GB2312"/>
                <w:kern w:val="0"/>
                <w:sz w:val="24"/>
                <w:szCs w:val="24"/>
                <w:lang w:bidi="ar"/>
              </w:rPr>
            </w:pPr>
          </w:p>
          <w:p w14:paraId="259EAB4E">
            <w:pPr>
              <w:pStyle w:val="2"/>
              <w:spacing w:line="500" w:lineRule="exact"/>
              <w:ind w:firstLine="482" w:firstLineChars="200"/>
              <w:rPr>
                <w:rFonts w:hint="eastAsia" w:ascii="Times New Roman" w:hAnsi="Times New Roman" w:eastAsia="仿宋_GB2312"/>
                <w:b/>
                <w:bCs/>
                <w:kern w:val="0"/>
                <w:sz w:val="24"/>
                <w:szCs w:val="24"/>
                <w:lang w:bidi="ar"/>
              </w:rPr>
            </w:pP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val="en-US" w:eastAsia="zh-CN" w:bidi="ar"/>
              </w:rPr>
              <w:t>十三</w:t>
            </w:r>
            <w:r>
              <w:rPr>
                <w:rFonts w:hint="eastAsia" w:ascii="Times New Roman" w:hAnsi="Times New Roman" w:eastAsia="仿宋_GB2312"/>
                <w:b/>
                <w:bCs/>
                <w:kern w:val="0"/>
                <w:sz w:val="24"/>
                <w:szCs w:val="24"/>
                <w:lang w:eastAsia="zh-CN" w:bidi="ar"/>
              </w:rPr>
              <w:t>）</w:t>
            </w:r>
            <w:r>
              <w:rPr>
                <w:rFonts w:hint="eastAsia" w:ascii="Times New Roman" w:hAnsi="Times New Roman" w:eastAsia="仿宋_GB2312"/>
                <w:b/>
                <w:bCs/>
                <w:kern w:val="0"/>
                <w:sz w:val="24"/>
                <w:szCs w:val="24"/>
                <w:lang w:bidi="ar"/>
              </w:rPr>
              <w:t>公司是否会考虑提高分红？</w:t>
            </w:r>
          </w:p>
          <w:p w14:paraId="50A5979E">
            <w:pPr>
              <w:pStyle w:val="2"/>
              <w:spacing w:line="500" w:lineRule="exact"/>
              <w:ind w:firstLine="480" w:firstLineChars="200"/>
              <w:rPr>
                <w:rFonts w:hint="eastAsia"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答：公司始终重视投资者回报。为进一步提升投资者回报，公司已制定2025年现金分红方案，拟每股派发现金红利0.45元（含税）。2025年度，公司现金分红（含中期分红）总额约为13.82亿元，占年度归属于股东的净利润的比例为46.32%。</w:t>
            </w:r>
          </w:p>
          <w:p w14:paraId="0E2479CF">
            <w:pPr>
              <w:pStyle w:val="2"/>
              <w:spacing w:line="500" w:lineRule="exact"/>
              <w:ind w:firstLine="480" w:firstLineChars="200"/>
              <w:rPr>
                <w:rFonts w:ascii="Times New Roman" w:hAnsi="Times New Roman" w:eastAsia="仿宋_GB2312"/>
                <w:kern w:val="0"/>
                <w:sz w:val="24"/>
                <w:szCs w:val="24"/>
                <w:lang w:bidi="ar"/>
              </w:rPr>
            </w:pPr>
            <w:r>
              <w:rPr>
                <w:rFonts w:hint="eastAsia" w:ascii="Times New Roman" w:hAnsi="Times New Roman" w:eastAsia="仿宋_GB2312"/>
                <w:kern w:val="0"/>
                <w:sz w:val="24"/>
                <w:szCs w:val="24"/>
                <w:lang w:bidi="ar"/>
              </w:rPr>
              <w:t>同时，公司已制定了2026年中期现金分红规划，持续以稳定、可持续的分红政策回报广大投资者，切实增强投资者信心。未来，公司将继续保证利润分配政策的连续性和稳定性，平衡业务发展和股东回报，积极提升回报投资者的能力和水平，同时统筹兼顾公司长远发展、全体股东整体利益与可持续发展需要，实现股东回报与企业长期价值的协同统一。</w:t>
            </w:r>
          </w:p>
          <w:p w14:paraId="234CB0BE">
            <w:pPr>
              <w:pStyle w:val="2"/>
              <w:spacing w:line="500" w:lineRule="exact"/>
              <w:ind w:firstLine="480" w:firstLineChars="200"/>
              <w:rPr>
                <w:rFonts w:ascii="Times New Roman" w:hAnsi="Times New Roman" w:eastAsia="仿宋_GB2312"/>
                <w:kern w:val="0"/>
                <w:sz w:val="24"/>
                <w:szCs w:val="24"/>
                <w:lang w:bidi="ar"/>
              </w:rPr>
            </w:pPr>
          </w:p>
          <w:p w14:paraId="725DAAC8">
            <w:pPr>
              <w:pStyle w:val="2"/>
              <w:spacing w:line="500" w:lineRule="exact"/>
              <w:ind w:firstLine="482" w:firstLineChars="200"/>
              <w:rPr>
                <w:rFonts w:ascii="Times New Roman" w:hAnsi="Times New Roman" w:eastAsia="仿宋_GB2312"/>
                <w:b/>
                <w:bCs/>
                <w:sz w:val="24"/>
                <w:szCs w:val="24"/>
                <w:lang w:bidi="ar"/>
              </w:rPr>
            </w:pPr>
            <w:r>
              <w:rPr>
                <w:rFonts w:ascii="Times New Roman" w:hAnsi="Times New Roman" w:eastAsia="仿宋_GB2312"/>
                <w:b/>
                <w:bCs/>
                <w:sz w:val="24"/>
                <w:szCs w:val="24"/>
                <w:lang w:bidi="ar"/>
              </w:rPr>
              <w:t>（十</w:t>
            </w:r>
            <w:r>
              <w:rPr>
                <w:rFonts w:hint="eastAsia" w:ascii="Times New Roman" w:hAnsi="Times New Roman" w:eastAsia="仿宋_GB2312"/>
                <w:b/>
                <w:bCs/>
                <w:sz w:val="24"/>
                <w:szCs w:val="24"/>
                <w:lang w:val="en-US" w:eastAsia="zh-CN" w:bidi="ar"/>
              </w:rPr>
              <w:t>四</w:t>
            </w:r>
            <w:r>
              <w:rPr>
                <w:rFonts w:ascii="Times New Roman" w:hAnsi="Times New Roman" w:eastAsia="仿宋_GB2312"/>
                <w:b/>
                <w:bCs/>
                <w:sz w:val="24"/>
                <w:szCs w:val="24"/>
                <w:lang w:bidi="ar"/>
              </w:rPr>
              <w:t>）公司在薪酬绩效与激励机制方面有何进展？</w:t>
            </w:r>
          </w:p>
          <w:p w14:paraId="00A20B99">
            <w:pPr>
              <w:pStyle w:val="2"/>
              <w:spacing w:line="500" w:lineRule="exact"/>
              <w:ind w:firstLine="480" w:firstLineChars="200"/>
              <w:rPr>
                <w:rFonts w:ascii="宋体" w:hAnsi="宋体" w:eastAsia="宋体"/>
                <w:sz w:val="24"/>
                <w:szCs w:val="24"/>
                <w:lang w:bidi="ar"/>
              </w:rPr>
            </w:pPr>
            <w:r>
              <w:rPr>
                <w:rFonts w:ascii="Times New Roman" w:hAnsi="Times New Roman" w:eastAsia="仿宋_GB2312"/>
                <w:sz w:val="24"/>
                <w:szCs w:val="24"/>
                <w:lang w:bidi="ar"/>
              </w:rPr>
              <w:t>答：公司已聘请第三方机构，结合公司实际发展需求，探索制定薪酬绩效优化方案，进一步激发人才动力，加强人才队伍建设；同时，积极探索适合公司或下属企业发展的改革方案，探索开展混改、职业经理人机制等创新性举措，同时支持符合条件的下属企业探索开展股权激励、员工持股等，进一步激发下属子公司发展活力。</w:t>
            </w:r>
          </w:p>
        </w:tc>
      </w:tr>
    </w:tbl>
    <w:p w14:paraId="4C3A2954">
      <w:pPr>
        <w:rPr>
          <w:rFonts w:ascii="宋体" w:hAnsi="宋体" w:eastAsia="宋体"/>
          <w:sz w:val="24"/>
          <w:szCs w:val="24"/>
        </w:rPr>
      </w:pPr>
      <w:bookmarkStart w:id="2" w:name="_GoBack"/>
      <w:bookmarkEnd w:id="2"/>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27B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8D15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E8D15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62AF3"/>
    <w:rsid w:val="00172A27"/>
    <w:rsid w:val="00181A29"/>
    <w:rsid w:val="00190A5F"/>
    <w:rsid w:val="00192476"/>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D719D"/>
    <w:rsid w:val="002F071F"/>
    <w:rsid w:val="0031151B"/>
    <w:rsid w:val="00333576"/>
    <w:rsid w:val="003638D2"/>
    <w:rsid w:val="00372AEC"/>
    <w:rsid w:val="00372E22"/>
    <w:rsid w:val="003843DA"/>
    <w:rsid w:val="00393833"/>
    <w:rsid w:val="003B20EB"/>
    <w:rsid w:val="003D4A24"/>
    <w:rsid w:val="003E2611"/>
    <w:rsid w:val="00416276"/>
    <w:rsid w:val="00417D16"/>
    <w:rsid w:val="0042267D"/>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5F6069"/>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C2D01"/>
    <w:rsid w:val="007E76DC"/>
    <w:rsid w:val="008000EC"/>
    <w:rsid w:val="00806304"/>
    <w:rsid w:val="00812351"/>
    <w:rsid w:val="00816522"/>
    <w:rsid w:val="008534FA"/>
    <w:rsid w:val="00861A58"/>
    <w:rsid w:val="008F5BDD"/>
    <w:rsid w:val="00900532"/>
    <w:rsid w:val="00916D30"/>
    <w:rsid w:val="0092138B"/>
    <w:rsid w:val="00924CFF"/>
    <w:rsid w:val="00926D52"/>
    <w:rsid w:val="00940C21"/>
    <w:rsid w:val="00941BE8"/>
    <w:rsid w:val="00954ADF"/>
    <w:rsid w:val="00957621"/>
    <w:rsid w:val="00965600"/>
    <w:rsid w:val="00981F53"/>
    <w:rsid w:val="009846E6"/>
    <w:rsid w:val="009917D2"/>
    <w:rsid w:val="009A2F93"/>
    <w:rsid w:val="009B2D59"/>
    <w:rsid w:val="009D1231"/>
    <w:rsid w:val="009E4068"/>
    <w:rsid w:val="00A04B95"/>
    <w:rsid w:val="00A055C7"/>
    <w:rsid w:val="00A27FC2"/>
    <w:rsid w:val="00A31AD1"/>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2458"/>
    <w:rsid w:val="00B85224"/>
    <w:rsid w:val="00B85BF3"/>
    <w:rsid w:val="00B86058"/>
    <w:rsid w:val="00BA4FAB"/>
    <w:rsid w:val="00BD34F3"/>
    <w:rsid w:val="00BE71DD"/>
    <w:rsid w:val="00BF53F3"/>
    <w:rsid w:val="00BF6490"/>
    <w:rsid w:val="00C17FFD"/>
    <w:rsid w:val="00C30AEE"/>
    <w:rsid w:val="00C419EA"/>
    <w:rsid w:val="00C52639"/>
    <w:rsid w:val="00C618C3"/>
    <w:rsid w:val="00C6785D"/>
    <w:rsid w:val="00C67F92"/>
    <w:rsid w:val="00C74C1A"/>
    <w:rsid w:val="00C84386"/>
    <w:rsid w:val="00C90242"/>
    <w:rsid w:val="00CB14DC"/>
    <w:rsid w:val="00CC5714"/>
    <w:rsid w:val="00CE6791"/>
    <w:rsid w:val="00CF047B"/>
    <w:rsid w:val="00CF1631"/>
    <w:rsid w:val="00CF4DDB"/>
    <w:rsid w:val="00D075FA"/>
    <w:rsid w:val="00D132CA"/>
    <w:rsid w:val="00D15514"/>
    <w:rsid w:val="00D22970"/>
    <w:rsid w:val="00D22A15"/>
    <w:rsid w:val="00D25777"/>
    <w:rsid w:val="00D32B0B"/>
    <w:rsid w:val="00D4320B"/>
    <w:rsid w:val="00DA63E6"/>
    <w:rsid w:val="00DB1D0E"/>
    <w:rsid w:val="00DC5CB4"/>
    <w:rsid w:val="00DD7901"/>
    <w:rsid w:val="00DE1A21"/>
    <w:rsid w:val="00E00758"/>
    <w:rsid w:val="00E10DEB"/>
    <w:rsid w:val="00E163CE"/>
    <w:rsid w:val="00E24D7D"/>
    <w:rsid w:val="00E265BD"/>
    <w:rsid w:val="00E4048D"/>
    <w:rsid w:val="00E46AD2"/>
    <w:rsid w:val="00E735D9"/>
    <w:rsid w:val="00E7643E"/>
    <w:rsid w:val="00E863F3"/>
    <w:rsid w:val="00EA7ED8"/>
    <w:rsid w:val="00EC4BF3"/>
    <w:rsid w:val="00EC7D58"/>
    <w:rsid w:val="00ED3436"/>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7102EA3"/>
    <w:rsid w:val="07452CE3"/>
    <w:rsid w:val="074B4461"/>
    <w:rsid w:val="07852DBD"/>
    <w:rsid w:val="079E79DA"/>
    <w:rsid w:val="07A27EEC"/>
    <w:rsid w:val="07A836F4"/>
    <w:rsid w:val="07B03875"/>
    <w:rsid w:val="07B32739"/>
    <w:rsid w:val="0882554E"/>
    <w:rsid w:val="090C0028"/>
    <w:rsid w:val="091A677A"/>
    <w:rsid w:val="09EB2C7F"/>
    <w:rsid w:val="0A2F6341"/>
    <w:rsid w:val="0A764C3F"/>
    <w:rsid w:val="0A8344B4"/>
    <w:rsid w:val="0AA7304A"/>
    <w:rsid w:val="0ADD5073"/>
    <w:rsid w:val="0AE71698"/>
    <w:rsid w:val="0AEC3153"/>
    <w:rsid w:val="0AF11EFA"/>
    <w:rsid w:val="0B801AF3"/>
    <w:rsid w:val="0BCE214B"/>
    <w:rsid w:val="0BE24FAD"/>
    <w:rsid w:val="0BFD6B61"/>
    <w:rsid w:val="0C17188A"/>
    <w:rsid w:val="0C9B098C"/>
    <w:rsid w:val="0CB240D8"/>
    <w:rsid w:val="0CCE789E"/>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3F476E"/>
    <w:rsid w:val="13482EF0"/>
    <w:rsid w:val="1363595C"/>
    <w:rsid w:val="14123C2A"/>
    <w:rsid w:val="142D0E0E"/>
    <w:rsid w:val="148E15C6"/>
    <w:rsid w:val="15036C38"/>
    <w:rsid w:val="15507A24"/>
    <w:rsid w:val="16055DDA"/>
    <w:rsid w:val="161812FA"/>
    <w:rsid w:val="162219DC"/>
    <w:rsid w:val="16806CB1"/>
    <w:rsid w:val="16CA07EC"/>
    <w:rsid w:val="16D056D6"/>
    <w:rsid w:val="16DC407B"/>
    <w:rsid w:val="16EF1130"/>
    <w:rsid w:val="179E3A27"/>
    <w:rsid w:val="17C9137B"/>
    <w:rsid w:val="17CA65CA"/>
    <w:rsid w:val="17E54BD3"/>
    <w:rsid w:val="17F0126D"/>
    <w:rsid w:val="18090EA0"/>
    <w:rsid w:val="181E5365"/>
    <w:rsid w:val="18290801"/>
    <w:rsid w:val="18545F68"/>
    <w:rsid w:val="189360E5"/>
    <w:rsid w:val="18EE0096"/>
    <w:rsid w:val="18FC210A"/>
    <w:rsid w:val="19293B87"/>
    <w:rsid w:val="1940793F"/>
    <w:rsid w:val="19A215B9"/>
    <w:rsid w:val="19E70E0E"/>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CE33A3"/>
    <w:rsid w:val="1DD333DB"/>
    <w:rsid w:val="1DDE150B"/>
    <w:rsid w:val="1E3C42D4"/>
    <w:rsid w:val="1ECB4267"/>
    <w:rsid w:val="1F3638AE"/>
    <w:rsid w:val="1F594E5D"/>
    <w:rsid w:val="1FBD2442"/>
    <w:rsid w:val="202D1DEC"/>
    <w:rsid w:val="20681567"/>
    <w:rsid w:val="20B348F3"/>
    <w:rsid w:val="20D075ED"/>
    <w:rsid w:val="210743EB"/>
    <w:rsid w:val="212D4142"/>
    <w:rsid w:val="21303941"/>
    <w:rsid w:val="215D5E73"/>
    <w:rsid w:val="217D46AD"/>
    <w:rsid w:val="218F236A"/>
    <w:rsid w:val="21D30E45"/>
    <w:rsid w:val="22121D98"/>
    <w:rsid w:val="222A5947"/>
    <w:rsid w:val="222F1E4B"/>
    <w:rsid w:val="223E68AF"/>
    <w:rsid w:val="2265586D"/>
    <w:rsid w:val="23361B69"/>
    <w:rsid w:val="233A223B"/>
    <w:rsid w:val="234B1C36"/>
    <w:rsid w:val="23563407"/>
    <w:rsid w:val="23CF4182"/>
    <w:rsid w:val="25C83F87"/>
    <w:rsid w:val="25DB0FD9"/>
    <w:rsid w:val="25F95EEC"/>
    <w:rsid w:val="261C0BF7"/>
    <w:rsid w:val="262275D1"/>
    <w:rsid w:val="266876DA"/>
    <w:rsid w:val="26862B41"/>
    <w:rsid w:val="26F61EFB"/>
    <w:rsid w:val="273A716C"/>
    <w:rsid w:val="2758774E"/>
    <w:rsid w:val="278E4F1E"/>
    <w:rsid w:val="280D4603"/>
    <w:rsid w:val="287912E5"/>
    <w:rsid w:val="287C121A"/>
    <w:rsid w:val="292E501E"/>
    <w:rsid w:val="29512368"/>
    <w:rsid w:val="29B535B1"/>
    <w:rsid w:val="2A1A2444"/>
    <w:rsid w:val="2A3648F0"/>
    <w:rsid w:val="2A715156"/>
    <w:rsid w:val="2A790107"/>
    <w:rsid w:val="2A86447F"/>
    <w:rsid w:val="2ADF2513"/>
    <w:rsid w:val="2B075C65"/>
    <w:rsid w:val="2B447689"/>
    <w:rsid w:val="2B591E08"/>
    <w:rsid w:val="2BBB02AC"/>
    <w:rsid w:val="2BCF10A6"/>
    <w:rsid w:val="2C1300E8"/>
    <w:rsid w:val="2C575738"/>
    <w:rsid w:val="2C8B5ED0"/>
    <w:rsid w:val="2C960884"/>
    <w:rsid w:val="2CA973E9"/>
    <w:rsid w:val="2D4521E4"/>
    <w:rsid w:val="2DD90EBD"/>
    <w:rsid w:val="2DF81343"/>
    <w:rsid w:val="2E6B2BC6"/>
    <w:rsid w:val="2EE47B19"/>
    <w:rsid w:val="2F2D14C0"/>
    <w:rsid w:val="2F6A3570"/>
    <w:rsid w:val="2F964F05"/>
    <w:rsid w:val="2FEA11EA"/>
    <w:rsid w:val="3036293F"/>
    <w:rsid w:val="30896480"/>
    <w:rsid w:val="30963095"/>
    <w:rsid w:val="30A07565"/>
    <w:rsid w:val="30AB5BFC"/>
    <w:rsid w:val="31363720"/>
    <w:rsid w:val="314E47F2"/>
    <w:rsid w:val="315C308A"/>
    <w:rsid w:val="31807F66"/>
    <w:rsid w:val="31B118FD"/>
    <w:rsid w:val="32874D75"/>
    <w:rsid w:val="32A7158A"/>
    <w:rsid w:val="32AE46C6"/>
    <w:rsid w:val="32DE69D8"/>
    <w:rsid w:val="32EB2B64"/>
    <w:rsid w:val="334F6D3D"/>
    <w:rsid w:val="335C6172"/>
    <w:rsid w:val="336229E7"/>
    <w:rsid w:val="337F6B6E"/>
    <w:rsid w:val="33911F37"/>
    <w:rsid w:val="33E21C1A"/>
    <w:rsid w:val="34311A53"/>
    <w:rsid w:val="343230D5"/>
    <w:rsid w:val="346C48F4"/>
    <w:rsid w:val="346D766F"/>
    <w:rsid w:val="34E71972"/>
    <w:rsid w:val="34F9186F"/>
    <w:rsid w:val="3533084D"/>
    <w:rsid w:val="354D54A9"/>
    <w:rsid w:val="359679D1"/>
    <w:rsid w:val="35AA0971"/>
    <w:rsid w:val="36E63C08"/>
    <w:rsid w:val="36E92225"/>
    <w:rsid w:val="372C6E7F"/>
    <w:rsid w:val="376D0754"/>
    <w:rsid w:val="376D1E36"/>
    <w:rsid w:val="3792602A"/>
    <w:rsid w:val="37DA313A"/>
    <w:rsid w:val="381B277F"/>
    <w:rsid w:val="3824770E"/>
    <w:rsid w:val="38545D10"/>
    <w:rsid w:val="38C43E25"/>
    <w:rsid w:val="399972E4"/>
    <w:rsid w:val="39F6132E"/>
    <w:rsid w:val="3A166BEF"/>
    <w:rsid w:val="3A1864B2"/>
    <w:rsid w:val="3A1F4445"/>
    <w:rsid w:val="3A3815D3"/>
    <w:rsid w:val="3A3E6C77"/>
    <w:rsid w:val="3A415891"/>
    <w:rsid w:val="3A591F82"/>
    <w:rsid w:val="3A6D7BE3"/>
    <w:rsid w:val="3ACC7DDF"/>
    <w:rsid w:val="3B225C51"/>
    <w:rsid w:val="3B3E3FA5"/>
    <w:rsid w:val="3B450930"/>
    <w:rsid w:val="3BA23236"/>
    <w:rsid w:val="3C1852A6"/>
    <w:rsid w:val="3C6A7383"/>
    <w:rsid w:val="3C74099D"/>
    <w:rsid w:val="3C7D054C"/>
    <w:rsid w:val="3CE8383B"/>
    <w:rsid w:val="3D605157"/>
    <w:rsid w:val="3D7A3C99"/>
    <w:rsid w:val="3DC512D0"/>
    <w:rsid w:val="3E5B4D46"/>
    <w:rsid w:val="3E66054B"/>
    <w:rsid w:val="3F4C5993"/>
    <w:rsid w:val="3F8E5FAB"/>
    <w:rsid w:val="3FD10385"/>
    <w:rsid w:val="3FDB51DB"/>
    <w:rsid w:val="40871FB8"/>
    <w:rsid w:val="40CD253B"/>
    <w:rsid w:val="40E35B04"/>
    <w:rsid w:val="41413F6F"/>
    <w:rsid w:val="41990C37"/>
    <w:rsid w:val="41ED47FB"/>
    <w:rsid w:val="41F80C94"/>
    <w:rsid w:val="42537038"/>
    <w:rsid w:val="42835EF4"/>
    <w:rsid w:val="42CE4911"/>
    <w:rsid w:val="430D7664"/>
    <w:rsid w:val="43190F58"/>
    <w:rsid w:val="43763100"/>
    <w:rsid w:val="437B2938"/>
    <w:rsid w:val="43FB0295"/>
    <w:rsid w:val="4427077C"/>
    <w:rsid w:val="44492474"/>
    <w:rsid w:val="44617BA5"/>
    <w:rsid w:val="44DC3315"/>
    <w:rsid w:val="450137F0"/>
    <w:rsid w:val="45053792"/>
    <w:rsid w:val="4534527F"/>
    <w:rsid w:val="453D05C7"/>
    <w:rsid w:val="45516773"/>
    <w:rsid w:val="45BE5CA2"/>
    <w:rsid w:val="45FA1CE4"/>
    <w:rsid w:val="460C5E7C"/>
    <w:rsid w:val="46380A1F"/>
    <w:rsid w:val="467CFF17"/>
    <w:rsid w:val="469C0860"/>
    <w:rsid w:val="46A351E1"/>
    <w:rsid w:val="46BA58D8"/>
    <w:rsid w:val="47022DDB"/>
    <w:rsid w:val="470C1789"/>
    <w:rsid w:val="47327B17"/>
    <w:rsid w:val="473936A6"/>
    <w:rsid w:val="474F52FA"/>
    <w:rsid w:val="476B2748"/>
    <w:rsid w:val="47B440D5"/>
    <w:rsid w:val="47C841F6"/>
    <w:rsid w:val="47D77BA6"/>
    <w:rsid w:val="47E47B88"/>
    <w:rsid w:val="48166B3E"/>
    <w:rsid w:val="48742673"/>
    <w:rsid w:val="48764D34"/>
    <w:rsid w:val="48DA5496"/>
    <w:rsid w:val="48E32CA1"/>
    <w:rsid w:val="491F1A22"/>
    <w:rsid w:val="49574D12"/>
    <w:rsid w:val="495751DE"/>
    <w:rsid w:val="49C16F7D"/>
    <w:rsid w:val="4A34702F"/>
    <w:rsid w:val="4A710A83"/>
    <w:rsid w:val="4A714A31"/>
    <w:rsid w:val="4A832E71"/>
    <w:rsid w:val="4AEA31D4"/>
    <w:rsid w:val="4B4810FE"/>
    <w:rsid w:val="4B73153F"/>
    <w:rsid w:val="4B875393"/>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4FBB7FCB"/>
    <w:rsid w:val="4FD42DC3"/>
    <w:rsid w:val="502D0E36"/>
    <w:rsid w:val="50333DEC"/>
    <w:rsid w:val="50414974"/>
    <w:rsid w:val="508F56DF"/>
    <w:rsid w:val="50E35EBB"/>
    <w:rsid w:val="50FB0FC7"/>
    <w:rsid w:val="51404C2B"/>
    <w:rsid w:val="51F949B7"/>
    <w:rsid w:val="52985AF9"/>
    <w:rsid w:val="53505AE5"/>
    <w:rsid w:val="53830F02"/>
    <w:rsid w:val="53A316C5"/>
    <w:rsid w:val="53CE31DB"/>
    <w:rsid w:val="53FD9CDC"/>
    <w:rsid w:val="54327A61"/>
    <w:rsid w:val="54DC7AC6"/>
    <w:rsid w:val="5560764A"/>
    <w:rsid w:val="55AC288F"/>
    <w:rsid w:val="55C86F8B"/>
    <w:rsid w:val="55D6790C"/>
    <w:rsid w:val="56D15A89"/>
    <w:rsid w:val="572C51A7"/>
    <w:rsid w:val="576C677A"/>
    <w:rsid w:val="57C661A5"/>
    <w:rsid w:val="57CB1AC4"/>
    <w:rsid w:val="58035059"/>
    <w:rsid w:val="587358E6"/>
    <w:rsid w:val="58AC2BA6"/>
    <w:rsid w:val="58E41B62"/>
    <w:rsid w:val="592D325B"/>
    <w:rsid w:val="59314761"/>
    <w:rsid w:val="593D2E59"/>
    <w:rsid w:val="59A87812"/>
    <w:rsid w:val="59D02FE6"/>
    <w:rsid w:val="59DC4EB6"/>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E445C6"/>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2467FB"/>
    <w:rsid w:val="646B1ECE"/>
    <w:rsid w:val="653603C7"/>
    <w:rsid w:val="65420882"/>
    <w:rsid w:val="6553506E"/>
    <w:rsid w:val="65672E18"/>
    <w:rsid w:val="656C1155"/>
    <w:rsid w:val="65707DCC"/>
    <w:rsid w:val="658B309F"/>
    <w:rsid w:val="664A15ED"/>
    <w:rsid w:val="665600F0"/>
    <w:rsid w:val="66727C84"/>
    <w:rsid w:val="66876902"/>
    <w:rsid w:val="66A650D9"/>
    <w:rsid w:val="66BD5E1B"/>
    <w:rsid w:val="66CD2666"/>
    <w:rsid w:val="67087B42"/>
    <w:rsid w:val="67A27022"/>
    <w:rsid w:val="67E05496"/>
    <w:rsid w:val="680C559B"/>
    <w:rsid w:val="68686BBC"/>
    <w:rsid w:val="687A00C6"/>
    <w:rsid w:val="68934717"/>
    <w:rsid w:val="69043963"/>
    <w:rsid w:val="69044022"/>
    <w:rsid w:val="6907627A"/>
    <w:rsid w:val="69165080"/>
    <w:rsid w:val="696B304E"/>
    <w:rsid w:val="696B6C9C"/>
    <w:rsid w:val="697838DF"/>
    <w:rsid w:val="69C40A40"/>
    <w:rsid w:val="6A151116"/>
    <w:rsid w:val="6A293639"/>
    <w:rsid w:val="6A5777C2"/>
    <w:rsid w:val="6A6634FD"/>
    <w:rsid w:val="6B287AD5"/>
    <w:rsid w:val="6B7316A4"/>
    <w:rsid w:val="6B8B77E1"/>
    <w:rsid w:val="6B9C4F21"/>
    <w:rsid w:val="6BDA2AFA"/>
    <w:rsid w:val="6BE4317B"/>
    <w:rsid w:val="6C58469A"/>
    <w:rsid w:val="6C6E055C"/>
    <w:rsid w:val="6C740B5E"/>
    <w:rsid w:val="6CC57182"/>
    <w:rsid w:val="6CC7277A"/>
    <w:rsid w:val="6D1D1356"/>
    <w:rsid w:val="6DA74875"/>
    <w:rsid w:val="6DE8697B"/>
    <w:rsid w:val="6E1967C1"/>
    <w:rsid w:val="6EBC5114"/>
    <w:rsid w:val="6ED57945"/>
    <w:rsid w:val="6EF2710D"/>
    <w:rsid w:val="6F08090C"/>
    <w:rsid w:val="6F4E7113"/>
    <w:rsid w:val="6F541B76"/>
    <w:rsid w:val="6F8E7ECA"/>
    <w:rsid w:val="6F9D2C59"/>
    <w:rsid w:val="6FAE28B9"/>
    <w:rsid w:val="6FBB11B3"/>
    <w:rsid w:val="70096E04"/>
    <w:rsid w:val="70B12FF8"/>
    <w:rsid w:val="71141CBA"/>
    <w:rsid w:val="71F37B08"/>
    <w:rsid w:val="72127AC6"/>
    <w:rsid w:val="722F31E7"/>
    <w:rsid w:val="724F6669"/>
    <w:rsid w:val="72A5504C"/>
    <w:rsid w:val="72E363F2"/>
    <w:rsid w:val="734C133A"/>
    <w:rsid w:val="73722F12"/>
    <w:rsid w:val="73972904"/>
    <w:rsid w:val="73B788E7"/>
    <w:rsid w:val="742C183A"/>
    <w:rsid w:val="743E1047"/>
    <w:rsid w:val="74404DBF"/>
    <w:rsid w:val="74566577"/>
    <w:rsid w:val="748E5089"/>
    <w:rsid w:val="74DB23BF"/>
    <w:rsid w:val="74E1184F"/>
    <w:rsid w:val="74FC2BFE"/>
    <w:rsid w:val="757F2329"/>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A7237F8"/>
    <w:rsid w:val="7AA65250"/>
    <w:rsid w:val="7AFD1314"/>
    <w:rsid w:val="7B2F0256"/>
    <w:rsid w:val="7B926184"/>
    <w:rsid w:val="7C023D81"/>
    <w:rsid w:val="7C3B688B"/>
    <w:rsid w:val="7C41491B"/>
    <w:rsid w:val="7C58305E"/>
    <w:rsid w:val="7C76098C"/>
    <w:rsid w:val="7C7F7042"/>
    <w:rsid w:val="7D2637C1"/>
    <w:rsid w:val="7D505977"/>
    <w:rsid w:val="7E0046E9"/>
    <w:rsid w:val="7E210840"/>
    <w:rsid w:val="7E325778"/>
    <w:rsid w:val="7E36681D"/>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99610afe-2719-4fc0-afa9-5d541911bf00</errorID>
      <errorWord>未被</errorWord>
      <group>L1_Word</group>
      <groupName>字词问题</groupName>
      <ability>L2_Typo</ability>
      <abilityName>字词错误</abilityName>
      <candidateList>
        <item>未</item>
      </candidateList>
      <explain>〈副〉❶没（跟“已”相对）：尚～成年｜健康仍～恢复。❷不：～便｜～敢苟同｜～可厚非。</explain>
      <paraID> 1FD0535</paraID>
      <start>80</start>
      <end>82</end>
      <status>ignored</status>
      <modifiedWord/>
      <trackRevisions>false</trackRevisions>
    </reviewItem>
    <reviewItem>
      <errorID>dcc3a5b0-4ce9-4b3a-a931-0dd45638308f</errorID>
      <errorWord>(</errorWord>
      <group>L1_Format</group>
      <groupName>格式问题</groupName>
      <ability>L2_HalfPunc_CN</ability>
      <abilityName>全半角检查</abilityName>
      <candidateList>
        <item>（</item>
      </candidateList>
      <explain>文本全半角错误。</explain>
      <paraID>193F2BB6</paraID>
      <start>0</start>
      <end>1</end>
      <status>modified</status>
      <modifiedWord>（</modifiedWord>
      <trackRevisions>false</trackRevisions>
    </reviewItem>
    <reviewItem>
      <errorID>9f24996c-899f-4823-b92c-cd6f6d21b26d</errorID>
      <errorWord>来自于</errorWord>
      <group>L1_Grammar</group>
      <groupName>语法问题</groupName>
      <ability>L2_Grammar</ability>
      <abilityName>语法错误</abilityName>
      <candidateList>
        <item>来自</item>
      </candidateList>
      <explain>该表达中的“来自于”存在语义重复。【词汇解析】来自：表示“来源于”。包含了“于”的意思。</explain>
      <paraID>6E318EF0</paraID>
      <start>21</start>
      <end>23</end>
      <status>modified</status>
      <modifiedWord>来自</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0a40c-5426-4146-a76e-d8152de6d6d8}">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6</Pages>
  <Words>3090</Words>
  <Characters>3196</Characters>
  <Lines>22</Lines>
  <Paragraphs>6</Paragraphs>
  <TotalTime>8</TotalTime>
  <ScaleCrop>false</ScaleCrop>
  <LinksUpToDate>false</LinksUpToDate>
  <CharactersWithSpaces>3240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2026-06-05T06:05:45Z</cp:lastPrinted>
  <dcterms:modified xsi:type="dcterms:W3CDTF">2026-06-05T06:07:09Z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E8FF9A53BBB04E448A0991438815AD36_13</vt:lpwstr>
  </property>
  <property fmtid="{D5CDD505-2E9C-101B-9397-08002B2CF9AE}" pid="4" name="KSOTemplateDocerSaveRecord">
    <vt:lpwstr>eyJoZGlkIjoiNmFhMmVlNzFjNDI0ZTliMTBjN2NmZDYxODZkZGVmMDciLCJ1c2VySWQiOiIzMzY0MjI1NDgifQ==</vt:lpwstr>
  </property>
</Properties>
</file>