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96598">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证券代码：603210                                   证券简称：泰鸿万立</w:t>
      </w:r>
    </w:p>
    <w:p w14:paraId="780503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iCs/>
          <w:color w:val="000000"/>
          <w:sz w:val="32"/>
          <w:szCs w:val="32"/>
        </w:rPr>
      </w:pPr>
      <w:r>
        <w:rPr>
          <w:rFonts w:hint="eastAsia" w:ascii="Times New Roman" w:hAnsi="Times New Roman" w:eastAsia="宋体" w:cs="Times New Roman"/>
          <w:b/>
          <w:bCs/>
          <w:iCs/>
          <w:color w:val="000000"/>
          <w:sz w:val="32"/>
          <w:szCs w:val="32"/>
        </w:rPr>
        <w:t>浙江泰鸿万立科技股份有限公司</w:t>
      </w:r>
    </w:p>
    <w:p w14:paraId="70E96D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bCs/>
          <w:iCs/>
          <w:color w:val="000000"/>
          <w:sz w:val="32"/>
          <w:szCs w:val="32"/>
        </w:rPr>
      </w:pPr>
      <w:r>
        <w:rPr>
          <w:rFonts w:ascii="Times New Roman" w:hAnsi="Times New Roman" w:eastAsia="宋体" w:cs="Times New Roman"/>
          <w:b/>
          <w:bCs/>
          <w:iCs/>
          <w:color w:val="000000"/>
          <w:sz w:val="32"/>
          <w:szCs w:val="32"/>
        </w:rPr>
        <w:t>投资者关系活动记录表</w:t>
      </w:r>
    </w:p>
    <w:p w14:paraId="4FD39E3F">
      <w:pPr>
        <w:spacing w:line="400" w:lineRule="exact"/>
        <w:rPr>
          <w:rFonts w:hint="eastAsia" w:ascii="Times New Roman" w:hAnsi="Times New Roman" w:eastAsia="宋体" w:cs="Times New Roman"/>
          <w:bCs/>
          <w:iCs/>
          <w:sz w:val="24"/>
          <w:lang w:val="en-US" w:eastAsia="zh-CN"/>
        </w:rPr>
      </w:pPr>
      <w:r>
        <w:rPr>
          <w:rFonts w:ascii="Times New Roman" w:hAnsi="Times New Roman" w:eastAsia="宋体" w:cs="Times New Roman"/>
          <w:bCs/>
          <w:iCs/>
          <w:color w:val="000000"/>
          <w:sz w:val="24"/>
        </w:rPr>
        <w:t xml:space="preserve">                                                      </w:t>
      </w:r>
      <w:r>
        <w:rPr>
          <w:rFonts w:ascii="Times New Roman" w:hAnsi="Times New Roman" w:eastAsia="宋体" w:cs="Times New Roman"/>
          <w:bCs/>
          <w:iCs/>
          <w:color w:val="FF0000"/>
          <w:sz w:val="24"/>
        </w:rPr>
        <w:t xml:space="preserve"> </w:t>
      </w:r>
      <w:r>
        <w:rPr>
          <w:rFonts w:ascii="Times New Roman" w:hAnsi="Times New Roman" w:eastAsia="宋体" w:cs="Times New Roman"/>
          <w:bCs/>
          <w:iCs/>
          <w:sz w:val="24"/>
        </w:rPr>
        <w:t xml:space="preserve"> </w:t>
      </w:r>
      <w:r>
        <w:rPr>
          <w:rFonts w:hint="eastAsia" w:ascii="Times New Roman" w:hAnsi="Times New Roman" w:eastAsia="宋体" w:cs="Times New Roman"/>
          <w:bCs/>
          <w:iCs/>
          <w:sz w:val="24"/>
        </w:rPr>
        <w:t>2026-00</w:t>
      </w:r>
      <w:r>
        <w:rPr>
          <w:rFonts w:hint="eastAsia" w:ascii="Times New Roman" w:hAnsi="Times New Roman" w:eastAsia="宋体" w:cs="Times New Roman"/>
          <w:bCs/>
          <w:iCs/>
          <w:sz w:val="24"/>
          <w:lang w:val="en-US" w:eastAsia="zh-CN"/>
        </w:rPr>
        <w:t>7</w:t>
      </w:r>
    </w:p>
    <w:tbl>
      <w:tblPr>
        <w:tblStyle w:val="9"/>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975"/>
      </w:tblGrid>
      <w:tr w14:paraId="2141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DC099E1">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投资者关系活动类别</w:t>
            </w:r>
          </w:p>
          <w:p w14:paraId="480D24B7">
            <w:pPr>
              <w:jc w:val="center"/>
              <w:rPr>
                <w:rFonts w:ascii="Times New Roman" w:hAnsi="Times New Roman" w:eastAsia="宋体" w:cs="Times New Roman"/>
                <w:bCs/>
                <w:iCs/>
                <w:color w:val="000000"/>
                <w:sz w:val="24"/>
                <w:szCs w:val="24"/>
              </w:rPr>
            </w:pP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2088F7C9">
            <w:pPr>
              <w:spacing w:line="480" w:lineRule="atLeast"/>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sym w:font="Wingdings 2" w:char="0052"/>
            </w:r>
            <w:r>
              <w:rPr>
                <w:rFonts w:ascii="Times New Roman" w:hAnsi="Times New Roman" w:eastAsia="宋体" w:cs="Times New Roman"/>
                <w:sz w:val="24"/>
                <w:szCs w:val="24"/>
              </w:rPr>
              <w:t xml:space="preserve">特定对象调研        </w:t>
            </w:r>
            <w:r>
              <w:rPr>
                <w:rFonts w:hint="eastAsia" w:ascii="Times New Roman" w:hAnsi="Times New Roman"/>
                <w:color w:val="000000"/>
                <w:sz w:val="24"/>
                <w:szCs w:val="24"/>
              </w:rPr>
              <w:t>□</w:t>
            </w:r>
            <w:r>
              <w:rPr>
                <w:rFonts w:ascii="Times New Roman" w:hAnsi="Times New Roman" w:eastAsia="宋体" w:cs="Times New Roman"/>
                <w:sz w:val="24"/>
                <w:szCs w:val="24"/>
              </w:rPr>
              <w:t>分析师会议</w:t>
            </w:r>
          </w:p>
          <w:p w14:paraId="687FD7B4">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w:t>
            </w:r>
            <w:r>
              <w:rPr>
                <w:rFonts w:ascii="Times New Roman" w:hAnsi="Times New Roman" w:eastAsia="宋体" w:cs="Times New Roman"/>
                <w:sz w:val="24"/>
                <w:szCs w:val="24"/>
              </w:rPr>
              <w:t xml:space="preserve">媒体采访            </w:t>
            </w:r>
            <w:r>
              <w:rPr>
                <w:rFonts w:hint="eastAsia" w:ascii="Times New Roman" w:hAnsi="Times New Roman" w:eastAsia="宋体" w:cs="Times New Roman"/>
                <w:bCs/>
                <w:iCs/>
                <w:color w:val="000000"/>
                <w:sz w:val="24"/>
                <w:szCs w:val="24"/>
              </w:rPr>
              <w:t>□</w:t>
            </w:r>
            <w:r>
              <w:rPr>
                <w:rFonts w:ascii="Times New Roman" w:hAnsi="Times New Roman" w:eastAsia="宋体" w:cs="Times New Roman"/>
                <w:sz w:val="24"/>
                <w:szCs w:val="24"/>
              </w:rPr>
              <w:t>业绩说明会</w:t>
            </w:r>
          </w:p>
          <w:p w14:paraId="0A280B42">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w:t>
            </w:r>
            <w:r>
              <w:rPr>
                <w:rFonts w:ascii="Times New Roman" w:hAnsi="Times New Roman" w:eastAsia="宋体" w:cs="Times New Roman"/>
                <w:sz w:val="24"/>
                <w:szCs w:val="24"/>
              </w:rPr>
              <w:t xml:space="preserve">新闻发布会          </w:t>
            </w:r>
            <w:r>
              <w:rPr>
                <w:rFonts w:hint="eastAsia" w:ascii="Times New Roman" w:hAnsi="Times New Roman"/>
                <w:color w:val="000000"/>
                <w:sz w:val="24"/>
                <w:szCs w:val="24"/>
              </w:rPr>
              <w:t>□</w:t>
            </w:r>
            <w:r>
              <w:rPr>
                <w:rFonts w:ascii="Times New Roman" w:hAnsi="Times New Roman" w:eastAsia="宋体" w:cs="Times New Roman"/>
                <w:sz w:val="24"/>
                <w:szCs w:val="24"/>
              </w:rPr>
              <w:t>路演活动</w:t>
            </w:r>
          </w:p>
          <w:p w14:paraId="30934A66">
            <w:pPr>
              <w:tabs>
                <w:tab w:val="left" w:pos="3045"/>
                <w:tab w:val="center" w:pos="3199"/>
              </w:tabs>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w:t>
            </w:r>
            <w:r>
              <w:rPr>
                <w:rFonts w:hint="eastAsia" w:ascii="Times New Roman" w:hAnsi="Times New Roman" w:eastAsia="宋体" w:cs="Times New Roman"/>
                <w:sz w:val="24"/>
                <w:szCs w:val="24"/>
              </w:rPr>
              <w:t>现</w:t>
            </w:r>
            <w:r>
              <w:rPr>
                <w:rFonts w:ascii="Times New Roman" w:hAnsi="Times New Roman" w:eastAsia="宋体" w:cs="Times New Roman"/>
                <w:sz w:val="24"/>
                <w:szCs w:val="24"/>
              </w:rPr>
              <w:t>场参观</w:t>
            </w:r>
          </w:p>
          <w:p w14:paraId="424FD70F">
            <w:pPr>
              <w:tabs>
                <w:tab w:val="center" w:pos="3199"/>
              </w:tabs>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lang w:eastAsia="zh-CN"/>
              </w:rPr>
              <w:t>□</w:t>
            </w:r>
            <w:r>
              <w:rPr>
                <w:rFonts w:ascii="Times New Roman" w:hAnsi="Times New Roman" w:eastAsia="宋体" w:cs="Times New Roman"/>
                <w:sz w:val="24"/>
                <w:szCs w:val="24"/>
              </w:rPr>
              <w:t>其他</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u w:val="single"/>
              </w:rPr>
              <w:t>（请文字说明其他活动内容）</w:t>
            </w:r>
          </w:p>
        </w:tc>
      </w:tr>
      <w:tr w14:paraId="1F58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3981F82">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参与单位名称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center"/>
          </w:tcPr>
          <w:p w14:paraId="08FCFBEE">
            <w:pPr>
              <w:widowControl/>
              <w:spacing w:line="360" w:lineRule="auto"/>
              <w:jc w:val="left"/>
              <w:rPr>
                <w:rFonts w:hint="default" w:ascii="Times New Roman" w:hAnsi="Times New Roman" w:eastAsia="宋体" w:cs="Times New Roman"/>
                <w:bCs/>
                <w:iCs/>
                <w:color w:val="000000"/>
                <w:sz w:val="24"/>
                <w:szCs w:val="24"/>
                <w:lang w:val="en-US" w:eastAsia="zh-CN"/>
              </w:rPr>
            </w:pPr>
            <w:r>
              <w:rPr>
                <w:rFonts w:hint="eastAsia" w:ascii="Times New Roman" w:hAnsi="Times New Roman" w:eastAsia="宋体" w:cs="Times New Roman"/>
                <w:bCs/>
                <w:iCs/>
                <w:color w:val="000000"/>
                <w:sz w:val="24"/>
                <w:szCs w:val="24"/>
              </w:rPr>
              <w:t>天弘基金</w:t>
            </w:r>
            <w:r>
              <w:rPr>
                <w:rFonts w:hint="eastAsia" w:ascii="Times New Roman" w:hAnsi="Times New Roman" w:eastAsia="宋体" w:cs="Times New Roman"/>
                <w:bCs/>
                <w:iCs/>
                <w:color w:val="000000"/>
                <w:sz w:val="24"/>
                <w:szCs w:val="24"/>
                <w:lang w:eastAsia="zh-CN"/>
              </w:rPr>
              <w:t>、</w:t>
            </w:r>
            <w:r>
              <w:rPr>
                <w:rFonts w:hint="eastAsia" w:ascii="Times New Roman" w:hAnsi="Times New Roman" w:eastAsia="宋体" w:cs="Times New Roman"/>
                <w:bCs/>
                <w:iCs/>
                <w:color w:val="000000"/>
                <w:sz w:val="24"/>
                <w:szCs w:val="24"/>
                <w:lang w:val="en-US" w:eastAsia="zh-CN"/>
              </w:rPr>
              <w:t>中邮证券</w:t>
            </w:r>
          </w:p>
        </w:tc>
      </w:tr>
      <w:tr w14:paraId="6DA8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B706D88">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时间</w:t>
            </w: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3D33FBDC">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2026年</w:t>
            </w:r>
            <w:r>
              <w:rPr>
                <w:rFonts w:hint="eastAsia" w:ascii="Times New Roman" w:hAnsi="Times New Roman" w:eastAsia="宋体" w:cs="Times New Roman"/>
                <w:bCs/>
                <w:iCs/>
                <w:color w:val="000000"/>
                <w:sz w:val="24"/>
                <w:szCs w:val="24"/>
                <w:lang w:val="en-US" w:eastAsia="zh-CN"/>
              </w:rPr>
              <w:t>6</w:t>
            </w:r>
            <w:r>
              <w:rPr>
                <w:rFonts w:hint="eastAsia" w:ascii="Times New Roman" w:hAnsi="Times New Roman" w:eastAsia="宋体" w:cs="Times New Roman"/>
                <w:bCs/>
                <w:iCs/>
                <w:color w:val="000000"/>
                <w:sz w:val="24"/>
                <w:szCs w:val="24"/>
              </w:rPr>
              <w:t>月</w:t>
            </w:r>
            <w:r>
              <w:rPr>
                <w:rFonts w:hint="eastAsia" w:ascii="Times New Roman" w:hAnsi="Times New Roman" w:eastAsia="宋体" w:cs="Times New Roman"/>
                <w:bCs/>
                <w:iCs/>
                <w:color w:val="000000"/>
                <w:sz w:val="24"/>
                <w:szCs w:val="24"/>
                <w:lang w:val="en-US" w:eastAsia="zh-CN"/>
              </w:rPr>
              <w:t>8</w:t>
            </w:r>
            <w:r>
              <w:rPr>
                <w:rFonts w:hint="eastAsia" w:ascii="Times New Roman" w:hAnsi="Times New Roman" w:eastAsia="宋体" w:cs="Times New Roman"/>
                <w:bCs/>
                <w:iCs/>
                <w:color w:val="000000"/>
                <w:sz w:val="24"/>
                <w:szCs w:val="24"/>
              </w:rPr>
              <w:t>日</w:t>
            </w:r>
            <w:r>
              <w:rPr>
                <w:rFonts w:hint="eastAsia" w:ascii="Times New Roman" w:hAnsi="Times New Roman" w:eastAsia="宋体" w:cs="Times New Roman"/>
                <w:bCs/>
                <w:iCs/>
                <w:color w:val="000000"/>
                <w:sz w:val="24"/>
                <w:szCs w:val="24"/>
                <w:lang w:val="en-US" w:eastAsia="zh-CN"/>
              </w:rPr>
              <w:t>11</w:t>
            </w:r>
            <w:r>
              <w:rPr>
                <w:rFonts w:hint="eastAsia" w:ascii="Times New Roman" w:hAnsi="Times New Roman" w:eastAsia="宋体" w:cs="Times New Roman"/>
                <w:bCs/>
                <w:iCs/>
                <w:color w:val="000000"/>
                <w:sz w:val="24"/>
                <w:szCs w:val="24"/>
              </w:rPr>
              <w:t>:</w:t>
            </w:r>
            <w:r>
              <w:rPr>
                <w:rFonts w:hint="eastAsia" w:ascii="Times New Roman" w:hAnsi="Times New Roman" w:eastAsia="宋体" w:cs="Times New Roman"/>
                <w:bCs/>
                <w:iCs/>
                <w:color w:val="000000"/>
                <w:sz w:val="24"/>
                <w:szCs w:val="24"/>
                <w:lang w:val="en-US" w:eastAsia="zh-CN"/>
              </w:rPr>
              <w:t>0</w:t>
            </w:r>
            <w:r>
              <w:rPr>
                <w:rFonts w:hint="eastAsia" w:ascii="Times New Roman" w:hAnsi="Times New Roman" w:eastAsia="宋体" w:cs="Times New Roman"/>
                <w:bCs/>
                <w:iCs/>
                <w:color w:val="000000"/>
                <w:sz w:val="24"/>
                <w:szCs w:val="24"/>
              </w:rPr>
              <w:t>0—1</w:t>
            </w:r>
            <w:r>
              <w:rPr>
                <w:rFonts w:hint="eastAsia" w:ascii="Times New Roman" w:hAnsi="Times New Roman" w:eastAsia="宋体" w:cs="Times New Roman"/>
                <w:bCs/>
                <w:iCs/>
                <w:color w:val="000000"/>
                <w:sz w:val="24"/>
                <w:szCs w:val="24"/>
                <w:lang w:val="en-US" w:eastAsia="zh-CN"/>
              </w:rPr>
              <w:t>2</w:t>
            </w:r>
            <w:r>
              <w:rPr>
                <w:rFonts w:hint="eastAsia" w:ascii="Times New Roman" w:hAnsi="Times New Roman" w:eastAsia="宋体" w:cs="Times New Roman"/>
                <w:bCs/>
                <w:iCs/>
                <w:color w:val="000000"/>
                <w:sz w:val="24"/>
                <w:szCs w:val="24"/>
              </w:rPr>
              <w:t>:</w:t>
            </w:r>
            <w:r>
              <w:rPr>
                <w:rFonts w:hint="eastAsia" w:ascii="Times New Roman" w:hAnsi="Times New Roman" w:eastAsia="宋体" w:cs="Times New Roman"/>
                <w:bCs/>
                <w:iCs/>
                <w:color w:val="000000"/>
                <w:sz w:val="24"/>
                <w:szCs w:val="24"/>
                <w:lang w:val="en-US" w:eastAsia="zh-CN"/>
              </w:rPr>
              <w:t>0</w:t>
            </w:r>
            <w:r>
              <w:rPr>
                <w:rFonts w:hint="eastAsia" w:ascii="Times New Roman" w:hAnsi="Times New Roman" w:eastAsia="宋体" w:cs="Times New Roman"/>
                <w:bCs/>
                <w:iCs/>
                <w:color w:val="000000"/>
                <w:sz w:val="24"/>
                <w:szCs w:val="24"/>
              </w:rPr>
              <w:t>0</w:t>
            </w:r>
            <w:r>
              <w:rPr>
                <w:rFonts w:hint="eastAsia" w:ascii="Times New Roman" w:hAnsi="Times New Roman" w:eastAsia="宋体" w:cs="Times New Roman"/>
                <w:bCs/>
                <w:iCs/>
                <w:color w:val="000000"/>
                <w:sz w:val="24"/>
                <w:szCs w:val="24"/>
                <w:lang w:eastAsia="zh-CN"/>
              </w:rPr>
              <w:t>，</w:t>
            </w:r>
            <w:r>
              <w:rPr>
                <w:rFonts w:hint="eastAsia" w:ascii="Times New Roman" w:hAnsi="Times New Roman" w:eastAsia="宋体" w:cs="Times New Roman"/>
                <w:bCs/>
                <w:iCs/>
                <w:color w:val="000000"/>
                <w:sz w:val="24"/>
                <w:szCs w:val="24"/>
                <w:lang w:val="en-US" w:eastAsia="zh-CN"/>
              </w:rPr>
              <w:t>15</w:t>
            </w:r>
            <w:r>
              <w:rPr>
                <w:rFonts w:hint="eastAsia" w:ascii="Times New Roman" w:hAnsi="Times New Roman" w:eastAsia="宋体" w:cs="Times New Roman"/>
                <w:bCs/>
                <w:iCs/>
                <w:color w:val="000000"/>
                <w:sz w:val="24"/>
                <w:szCs w:val="24"/>
              </w:rPr>
              <w:t>:</w:t>
            </w:r>
            <w:r>
              <w:rPr>
                <w:rFonts w:hint="eastAsia" w:ascii="Times New Roman" w:hAnsi="Times New Roman" w:eastAsia="宋体" w:cs="Times New Roman"/>
                <w:bCs/>
                <w:iCs/>
                <w:color w:val="000000"/>
                <w:sz w:val="24"/>
                <w:szCs w:val="24"/>
                <w:lang w:val="en-US" w:eastAsia="zh-CN"/>
              </w:rPr>
              <w:t>0</w:t>
            </w:r>
            <w:r>
              <w:rPr>
                <w:rFonts w:hint="eastAsia" w:ascii="Times New Roman" w:hAnsi="Times New Roman" w:eastAsia="宋体" w:cs="Times New Roman"/>
                <w:bCs/>
                <w:iCs/>
                <w:color w:val="000000"/>
                <w:sz w:val="24"/>
                <w:szCs w:val="24"/>
              </w:rPr>
              <w:t>0—1</w:t>
            </w:r>
            <w:r>
              <w:rPr>
                <w:rFonts w:hint="eastAsia" w:ascii="Times New Roman" w:hAnsi="Times New Roman" w:eastAsia="宋体" w:cs="Times New Roman"/>
                <w:bCs/>
                <w:iCs/>
                <w:color w:val="000000"/>
                <w:sz w:val="24"/>
                <w:szCs w:val="24"/>
                <w:lang w:val="en-US" w:eastAsia="zh-CN"/>
              </w:rPr>
              <w:t>6</w:t>
            </w:r>
            <w:r>
              <w:rPr>
                <w:rFonts w:hint="eastAsia" w:ascii="Times New Roman" w:hAnsi="Times New Roman" w:eastAsia="宋体" w:cs="Times New Roman"/>
                <w:bCs/>
                <w:iCs/>
                <w:color w:val="000000"/>
                <w:sz w:val="24"/>
                <w:szCs w:val="24"/>
              </w:rPr>
              <w:t>:</w:t>
            </w:r>
            <w:r>
              <w:rPr>
                <w:rFonts w:hint="eastAsia" w:ascii="Times New Roman" w:hAnsi="Times New Roman" w:eastAsia="宋体" w:cs="Times New Roman"/>
                <w:bCs/>
                <w:iCs/>
                <w:color w:val="000000"/>
                <w:sz w:val="24"/>
                <w:szCs w:val="24"/>
                <w:lang w:val="en-US" w:eastAsia="zh-CN"/>
              </w:rPr>
              <w:t>0</w:t>
            </w:r>
            <w:r>
              <w:rPr>
                <w:rFonts w:hint="eastAsia" w:ascii="Times New Roman" w:hAnsi="Times New Roman" w:eastAsia="宋体" w:cs="Times New Roman"/>
                <w:bCs/>
                <w:iCs/>
                <w:color w:val="000000"/>
                <w:sz w:val="24"/>
                <w:szCs w:val="24"/>
              </w:rPr>
              <w:t>0</w:t>
            </w:r>
          </w:p>
        </w:tc>
      </w:tr>
      <w:tr w14:paraId="37B0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7C2F6424">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地点</w:t>
            </w: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266074CC">
            <w:pPr>
              <w:spacing w:line="480" w:lineRule="atLeast"/>
              <w:rPr>
                <w:rFonts w:hint="default" w:ascii="Times New Roman" w:hAnsi="Times New Roman" w:eastAsia="宋体" w:cs="Times New Roman"/>
                <w:bCs/>
                <w:iCs/>
                <w:color w:val="000000"/>
                <w:sz w:val="24"/>
                <w:szCs w:val="24"/>
                <w:lang w:val="en-US"/>
              </w:rPr>
            </w:pPr>
            <w:r>
              <w:rPr>
                <w:rFonts w:hint="eastAsia" w:ascii="Times New Roman" w:hAnsi="Times New Roman" w:eastAsia="宋体" w:cs="Times New Roman"/>
                <w:bCs/>
                <w:iCs/>
                <w:color w:val="000000"/>
                <w:sz w:val="24"/>
                <w:szCs w:val="24"/>
                <w:lang w:val="en-US" w:eastAsia="zh-CN"/>
              </w:rPr>
              <w:t>电话会议</w:t>
            </w:r>
          </w:p>
        </w:tc>
      </w:tr>
      <w:tr w14:paraId="0608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10B3A92">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上市公司接待人员姓名</w:t>
            </w: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451EBBB9">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董事会秘书 胡伟杰</w:t>
            </w:r>
          </w:p>
        </w:tc>
      </w:tr>
      <w:tr w14:paraId="35DD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931DD4D">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投资者关系活动主要内容介绍</w:t>
            </w:r>
          </w:p>
          <w:p w14:paraId="3314DB79">
            <w:pPr>
              <w:jc w:val="center"/>
              <w:rPr>
                <w:rFonts w:ascii="Times New Roman" w:hAnsi="Times New Roman" w:eastAsia="宋体" w:cs="Times New Roman"/>
                <w:bCs/>
                <w:iCs/>
                <w:color w:val="000000"/>
                <w:sz w:val="24"/>
                <w:szCs w:val="24"/>
              </w:rPr>
            </w:pP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2E8AE50E">
            <w:pPr>
              <w:rPr>
                <w:rFonts w:ascii="Times New Roman" w:hAnsi="Times New Roman" w:cs="Times New Roman"/>
                <w:b/>
                <w:sz w:val="24"/>
                <w:szCs w:val="24"/>
              </w:rPr>
            </w:pPr>
            <w:r>
              <w:rPr>
                <w:rFonts w:hint="eastAsia" w:ascii="Times New Roman" w:hAnsi="Times New Roman" w:cs="Times New Roman"/>
                <w:b/>
                <w:sz w:val="24"/>
                <w:szCs w:val="24"/>
              </w:rPr>
              <w:t>一、公司董事会秘书胡伟杰向调研对象介绍了公司基本情况：</w:t>
            </w:r>
          </w:p>
          <w:p w14:paraId="0597E436">
            <w:pPr>
              <w:rPr>
                <w:rFonts w:hint="default" w:ascii="Times New Roman" w:hAnsi="Times New Roman" w:cs="Times New Roman"/>
                <w:bCs/>
                <w:sz w:val="24"/>
                <w:szCs w:val="24"/>
                <w:lang w:val="en-US"/>
              </w:rPr>
            </w:pPr>
            <w:r>
              <w:rPr>
                <w:rFonts w:hint="eastAsia" w:ascii="Times New Roman" w:hAnsi="Times New Roman" w:cs="Times New Roman"/>
                <w:bCs/>
                <w:sz w:val="24"/>
                <w:szCs w:val="24"/>
              </w:rPr>
              <w:t>泰鸿万立自设立以来专注于汽车/电池</w:t>
            </w:r>
            <w:r>
              <w:rPr>
                <w:rFonts w:hint="eastAsia" w:ascii="Times New Roman" w:hAnsi="Times New Roman" w:cs="Times New Roman"/>
                <w:bCs/>
                <w:sz w:val="24"/>
                <w:szCs w:val="24"/>
                <w:lang w:val="en-US" w:eastAsia="zh-CN"/>
              </w:rPr>
              <w:t>/储能</w:t>
            </w:r>
            <w:r>
              <w:rPr>
                <w:rFonts w:hint="eastAsia" w:ascii="Times New Roman" w:hAnsi="Times New Roman" w:cs="Times New Roman"/>
                <w:bCs/>
                <w:sz w:val="24"/>
                <w:szCs w:val="24"/>
              </w:rPr>
              <w:t>等领域相关结构件产品以及汽车踏板总成、加油/充电口盖总成、防撞梁、铰链、限位器等功能件产品的研发、制造。公司持续提升经营管理、技术创新、生产制造、市场营销等综合实力，不断拓展市场、优化客户结构，已成为吉利、长城、小米、某北美头部新能源车企、理想、沃尔沃、奇瑞、大众、丰田、小鹏、蔚来、上汽、广汽、领跑、通用五菱、宁德时代、海斯坦普等众多国内外知名整车厂和大型零部件企业的合作伙伴。近年来，公司不断提高经营管理水平，加强成本控制，全力抢抓市场机遇，加大研发创新投入，积极推动自动化、数字化和智能制造系统建设，已成为行业内知名的零部件企业。</w:t>
            </w:r>
          </w:p>
          <w:p w14:paraId="57E93BA5">
            <w:pPr>
              <w:rPr>
                <w:rFonts w:ascii="Times New Roman" w:hAnsi="Times New Roman" w:cs="Times New Roman"/>
                <w:bCs/>
                <w:sz w:val="24"/>
                <w:szCs w:val="24"/>
              </w:rPr>
            </w:pPr>
          </w:p>
          <w:p w14:paraId="5BEB410A">
            <w:pPr>
              <w:rPr>
                <w:rFonts w:ascii="宋体" w:hAnsi="宋体" w:eastAsia="宋体" w:cs="宋体"/>
                <w:bCs/>
                <w:iCs/>
                <w:color w:val="000000"/>
                <w:sz w:val="24"/>
                <w:szCs w:val="24"/>
              </w:rPr>
            </w:pPr>
            <w:r>
              <w:rPr>
                <w:rFonts w:hint="eastAsia" w:ascii="Times New Roman" w:hAnsi="Times New Roman" w:cs="Times New Roman"/>
                <w:b/>
                <w:sz w:val="24"/>
                <w:szCs w:val="24"/>
              </w:rPr>
              <w:t>二、公司董事会秘书就投资者提问作出相应回复，主要如下：</w:t>
            </w:r>
          </w:p>
          <w:p w14:paraId="1DEF19CE">
            <w:pPr>
              <w:rPr>
                <w:rStyle w:val="11"/>
                <w:rFonts w:hint="eastAsia" w:ascii="宋体" w:hAnsi="宋体" w:eastAsia="宋体" w:cs="宋体"/>
                <w:bCs/>
                <w:color w:val="0F1115"/>
                <w:sz w:val="24"/>
                <w:szCs w:val="24"/>
                <w:shd w:val="clear" w:color="auto" w:fill="FFFFFF"/>
              </w:rPr>
            </w:pPr>
            <w:r>
              <w:rPr>
                <w:rStyle w:val="11"/>
                <w:rFonts w:hint="eastAsia" w:ascii="宋体" w:hAnsi="宋体" w:eastAsia="宋体" w:cs="宋体"/>
                <w:bCs/>
                <w:color w:val="0F1115"/>
                <w:sz w:val="24"/>
                <w:szCs w:val="24"/>
                <w:shd w:val="clear" w:color="auto" w:fill="FFFFFF"/>
              </w:rPr>
              <w:t>问题1：</w:t>
            </w:r>
            <w:r>
              <w:rPr>
                <w:rStyle w:val="11"/>
                <w:rFonts w:hint="eastAsia" w:ascii="宋体" w:hAnsi="宋体" w:eastAsia="宋体" w:cs="宋体"/>
                <w:bCs/>
                <w:color w:val="0F1115"/>
                <w:sz w:val="24"/>
                <w:szCs w:val="24"/>
                <w:shd w:val="clear" w:color="auto" w:fill="FFFFFF"/>
                <w:lang w:val="en-US" w:eastAsia="zh-CN"/>
              </w:rPr>
              <w:t>公司20</w:t>
            </w:r>
            <w:r>
              <w:rPr>
                <w:rStyle w:val="11"/>
                <w:rFonts w:hint="eastAsia" w:ascii="宋体" w:hAnsi="宋体" w:eastAsia="宋体" w:cs="宋体"/>
                <w:bCs/>
                <w:color w:val="0F1115"/>
                <w:sz w:val="24"/>
                <w:szCs w:val="24"/>
                <w:shd w:val="clear" w:color="auto" w:fill="FFFFFF"/>
              </w:rPr>
              <w:t>26年第一季度营收和利润实现了双增长，请问增长的主要驱动力是什么？</w:t>
            </w:r>
          </w:p>
          <w:p w14:paraId="1A8FEE66">
            <w:pPr>
              <w:rPr>
                <w:rStyle w:val="11"/>
                <w:rFonts w:hint="eastAsia" w:ascii="宋体" w:hAnsi="宋体" w:eastAsia="宋体" w:cs="宋体"/>
                <w:b w:val="0"/>
                <w:color w:val="0F1115"/>
                <w:sz w:val="24"/>
                <w:szCs w:val="24"/>
                <w:shd w:val="clear" w:color="auto" w:fill="FFFFFF"/>
              </w:rPr>
            </w:pPr>
            <w:r>
              <w:rPr>
                <w:rStyle w:val="11"/>
                <w:rFonts w:hint="eastAsia" w:ascii="宋体" w:hAnsi="宋体" w:eastAsia="宋体" w:cs="宋体"/>
                <w:b w:val="0"/>
                <w:color w:val="0F1115"/>
                <w:sz w:val="24"/>
                <w:szCs w:val="24"/>
                <w:shd w:val="clear" w:color="auto" w:fill="FFFFFF"/>
              </w:rPr>
              <w:t>答：近年来，公司持续提升综合能力，不断拓展新客户和新项目，已成为吉利、长城、沃尔沃、奇瑞、某北美头部新能源车企、小米、理想、大众、丰田、奥迪、蔚来、小鹏、领跑、上汽、广汽、通用五菱等众多国内外知名整车厂商的一级供应商，同时，也是宁德时代、海斯坦普等众多大型零部件企业的合作伙伴，优质的客户资源和客户结构为公司业务实现长期稳定增长奠定了基础；另一方面，公司抓住新能源汽车占有率不断提高的市场契机，大力开发“明星”车型和平台化项目，有效加速业务增长和业绩提升。</w:t>
            </w:r>
          </w:p>
          <w:p w14:paraId="219E2B45">
            <w:pPr>
              <w:rPr>
                <w:rStyle w:val="11"/>
                <w:rFonts w:ascii="宋体" w:hAnsi="宋体" w:eastAsia="宋体" w:cs="宋体"/>
                <w:bCs/>
                <w:color w:val="0F1115"/>
                <w:sz w:val="24"/>
                <w:szCs w:val="24"/>
                <w:shd w:val="clear" w:color="auto" w:fill="FFFFFF"/>
              </w:rPr>
            </w:pPr>
          </w:p>
          <w:p w14:paraId="71DDCAE5">
            <w:pPr>
              <w:rPr>
                <w:rStyle w:val="11"/>
                <w:rFonts w:hint="default" w:ascii="宋体" w:hAnsi="宋体" w:eastAsia="宋体" w:cs="宋体"/>
                <w:bCs/>
                <w:color w:val="0F1115"/>
                <w:sz w:val="24"/>
                <w:szCs w:val="24"/>
                <w:shd w:val="clear" w:color="auto" w:fill="FFFFFF"/>
                <w:lang w:val="en-US" w:eastAsia="zh-CN"/>
              </w:rPr>
            </w:pPr>
            <w:r>
              <w:rPr>
                <w:rStyle w:val="11"/>
                <w:rFonts w:hint="eastAsia" w:ascii="宋体" w:hAnsi="宋体" w:eastAsia="宋体" w:cs="宋体"/>
                <w:bCs/>
                <w:color w:val="0F1115"/>
                <w:sz w:val="24"/>
                <w:szCs w:val="24"/>
                <w:shd w:val="clear" w:color="auto" w:fill="FFFFFF"/>
              </w:rPr>
              <w:t>问题2：</w:t>
            </w:r>
            <w:r>
              <w:rPr>
                <w:rStyle w:val="11"/>
                <w:rFonts w:hint="eastAsia" w:ascii="宋体" w:hAnsi="宋体" w:eastAsia="宋体" w:cs="宋体"/>
                <w:bCs/>
                <w:color w:val="0F1115"/>
                <w:sz w:val="24"/>
                <w:szCs w:val="24"/>
                <w:shd w:val="clear" w:color="auto" w:fill="FFFFFF"/>
                <w:lang w:val="en-US" w:eastAsia="zh-CN"/>
              </w:rPr>
              <w:t>公司近几年的战略规划是怎么样的？</w:t>
            </w:r>
          </w:p>
          <w:p w14:paraId="23F7D473">
            <w:pPr>
              <w:rPr>
                <w:rStyle w:val="11"/>
                <w:rFonts w:hint="default" w:ascii="宋体" w:hAnsi="宋体" w:eastAsia="宋体" w:cs="宋体"/>
                <w:b w:val="0"/>
                <w:color w:val="0F1115"/>
                <w:sz w:val="24"/>
                <w:szCs w:val="24"/>
                <w:shd w:val="clear" w:color="auto" w:fill="FFFFFF"/>
                <w:lang w:val="en-US" w:eastAsia="zh-CN"/>
              </w:rPr>
            </w:pPr>
            <w:r>
              <w:rPr>
                <w:rStyle w:val="11"/>
                <w:rFonts w:hint="eastAsia" w:ascii="宋体" w:hAnsi="宋体" w:eastAsia="宋体" w:cs="宋体"/>
                <w:b w:val="0"/>
                <w:color w:val="0F1115"/>
                <w:sz w:val="24"/>
                <w:szCs w:val="24"/>
                <w:shd w:val="clear" w:color="auto" w:fill="FFFFFF"/>
              </w:rPr>
              <w:t>答：</w:t>
            </w:r>
            <w:r>
              <w:rPr>
                <w:rFonts w:ascii="宋体" w:hAnsi="宋体" w:eastAsia="宋体" w:cs="宋体"/>
                <w:b w:val="0"/>
                <w:sz w:val="24"/>
                <w:szCs w:val="24"/>
              </w:rPr>
              <w:t>一方面，</w:t>
            </w:r>
            <w:r>
              <w:rPr>
                <w:rFonts w:hint="eastAsia" w:ascii="宋体" w:hAnsi="宋体" w:eastAsia="宋体" w:cs="宋体"/>
                <w:b w:val="0"/>
                <w:sz w:val="24"/>
                <w:szCs w:val="24"/>
                <w:lang w:val="en-US" w:eastAsia="zh-CN"/>
              </w:rPr>
              <w:t>公司</w:t>
            </w:r>
            <w:r>
              <w:rPr>
                <w:rFonts w:ascii="宋体" w:hAnsi="宋体" w:eastAsia="宋体" w:cs="宋体"/>
                <w:b w:val="0"/>
                <w:sz w:val="24"/>
                <w:szCs w:val="24"/>
              </w:rPr>
              <w:t>将持续优化客户结构和产品结构，进一步拓展新客户和新项目，特别是国内外头部整车厂商和大型零部件企业等知名品牌客户的平台化和热销车型项目，不断提高单车型或单个项目的配套价值。另一方面，公司将积极引入高端技术和管理人才，进一步提升经营管理水平和研发创新能力，不断对原有产品进行技术迭代，持续加强成本与费用控制，提升企业综合竞争能力，保持稳定盈利水平。另外，公司将利用资本市场，在合适时机通过并购、投资等方式，积极探索发展新的业务领域，争取实现公司价值和股东利益的最大化。</w:t>
            </w:r>
          </w:p>
          <w:p w14:paraId="374E03C4">
            <w:pPr>
              <w:rPr>
                <w:rFonts w:hint="eastAsia" w:ascii="Times New Roman" w:hAnsi="Times New Roman" w:cs="Times New Roman"/>
                <w:b w:val="0"/>
                <w:bCs w:val="0"/>
                <w:sz w:val="24"/>
                <w:szCs w:val="24"/>
                <w:lang w:val="en-US" w:eastAsia="zh-CN"/>
              </w:rPr>
            </w:pPr>
          </w:p>
          <w:p w14:paraId="20A5D8A7">
            <w:pPr>
              <w:numPr>
                <w:ilvl w:val="0"/>
                <w:numId w:val="0"/>
              </w:numPr>
              <w:spacing w:line="240" w:lineRule="auto"/>
              <w:ind w:leftChars="0"/>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问题3：公司是否有意向拓展新兴产业？</w:t>
            </w:r>
          </w:p>
          <w:p w14:paraId="5FE5202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答：公司将持续</w:t>
            </w:r>
            <w:r>
              <w:rPr>
                <w:rFonts w:ascii="宋体" w:hAnsi="宋体" w:eastAsia="宋体" w:cs="宋体"/>
                <w:b w:val="0"/>
                <w:sz w:val="24"/>
                <w:szCs w:val="24"/>
              </w:rPr>
              <w:t>提升经营管理水平和研发创新能力，不断对原有产品进行技术迭代，持续加强成本与费用控制，提升企业综合竞争能力，保持稳定盈利水平</w:t>
            </w:r>
            <w:r>
              <w:rPr>
                <w:rFonts w:hint="eastAsia" w:ascii="宋体" w:hAnsi="宋体" w:eastAsia="宋体" w:cs="宋体"/>
                <w:b w:val="0"/>
                <w:bCs w:val="0"/>
                <w:sz w:val="24"/>
                <w:lang w:val="en-US" w:eastAsia="zh-CN"/>
              </w:rPr>
              <w:t>，做大做强主业。在做好主业的同时，也将不断探索拓展新的业绩增长渠道。</w:t>
            </w:r>
          </w:p>
          <w:p w14:paraId="3418495F">
            <w:pPr>
              <w:rPr>
                <w:rFonts w:hint="default" w:ascii="Times New Roman" w:hAnsi="Times New Roman" w:cs="Times New Roman"/>
                <w:b w:val="0"/>
                <w:bCs w:val="0"/>
                <w:sz w:val="24"/>
                <w:szCs w:val="24"/>
                <w:lang w:val="en-US" w:eastAsia="zh-CN"/>
              </w:rPr>
            </w:pPr>
          </w:p>
          <w:p w14:paraId="170DF47A">
            <w:pPr>
              <w:pStyle w:val="21"/>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firstLine="0" w:firstLineChars="0"/>
              <w:textAlignment w:val="auto"/>
              <w:rPr>
                <w:rFonts w:hint="eastAsia" w:ascii="宋体" w:hAnsi="宋体" w:eastAsia="宋体" w:cs="宋体"/>
                <w:b/>
                <w:bCs/>
                <w:color w:val="000000"/>
                <w:kern w:val="0"/>
                <w:sz w:val="24"/>
                <w:szCs w:val="24"/>
                <w:lang w:val="en-US" w:eastAsia="zh-CN" w:bidi="ar"/>
              </w:rPr>
            </w:pPr>
            <w:r>
              <w:rPr>
                <w:rFonts w:hint="eastAsia"/>
                <w:b/>
                <w:bCs/>
                <w:lang w:val="en-US" w:eastAsia="zh-CN"/>
              </w:rPr>
              <w:t>问题4：</w:t>
            </w:r>
            <w:r>
              <w:rPr>
                <w:rFonts w:hint="eastAsia" w:ascii="宋体" w:hAnsi="宋体" w:eastAsia="宋体" w:cs="宋体"/>
                <w:b/>
                <w:bCs/>
                <w:color w:val="000000"/>
                <w:kern w:val="0"/>
                <w:sz w:val="24"/>
                <w:szCs w:val="24"/>
                <w:lang w:val="en-US" w:eastAsia="zh-CN" w:bidi="ar"/>
              </w:rPr>
              <w:t>公司具备模具开发能力吗？</w:t>
            </w:r>
          </w:p>
          <w:p w14:paraId="2195A7B0">
            <w:pP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答：</w:t>
            </w:r>
            <w:r>
              <w:rPr>
                <w:rFonts w:hint="default" w:ascii="宋体" w:hAnsi="宋体" w:eastAsia="宋体" w:cs="宋体"/>
                <w:color w:val="000000"/>
                <w:kern w:val="0"/>
                <w:sz w:val="24"/>
                <w:szCs w:val="24"/>
                <w:lang w:val="en-US" w:eastAsia="zh-CN" w:bidi="ar"/>
              </w:rPr>
              <w:t>公司具备较强的模具自主开发能力，设有集模具设计、加工、组装、调试、检测及售后服务为一体的模具事业部，拥有一批专业的模具开发和设计人才。通过自主开发模具，公司能够大幅缩短产品开发周期、及时响应和协同客户需求、保障产品质量，有效提升了公司的综合竞争力。</w:t>
            </w:r>
          </w:p>
          <w:p w14:paraId="10A32383">
            <w:pPr>
              <w:rPr>
                <w:rStyle w:val="11"/>
                <w:rFonts w:hint="eastAsia" w:ascii="宋体" w:hAnsi="宋体" w:eastAsia="宋体" w:cs="宋体"/>
                <w:b w:val="0"/>
                <w:color w:val="0F1115"/>
                <w:sz w:val="24"/>
                <w:szCs w:val="24"/>
                <w:shd w:val="clear" w:color="auto" w:fill="FFFFFF"/>
              </w:rPr>
            </w:pPr>
          </w:p>
          <w:p w14:paraId="4F44B102">
            <w:pPr>
              <w:rPr>
                <w:rFonts w:hint="eastAsia" w:ascii="宋体" w:hAnsi="宋体" w:eastAsia="宋体" w:cs="宋体"/>
                <w:b/>
                <w:bCs/>
                <w:color w:val="0F1115"/>
                <w:sz w:val="24"/>
                <w:szCs w:val="24"/>
                <w:shd w:val="clear" w:color="auto" w:fill="FFFFFF"/>
              </w:rPr>
            </w:pPr>
            <w:r>
              <w:rPr>
                <w:rFonts w:hint="eastAsia" w:ascii="宋体" w:hAnsi="宋体" w:eastAsia="宋体" w:cs="宋体"/>
                <w:b/>
                <w:bCs/>
                <w:color w:val="0F1115"/>
                <w:sz w:val="24"/>
                <w:szCs w:val="24"/>
                <w:shd w:val="clear" w:color="auto" w:fill="FFFFFF"/>
                <w:lang w:val="en-US" w:eastAsia="zh-CN"/>
              </w:rPr>
              <w:t>问题5：</w:t>
            </w:r>
            <w:r>
              <w:rPr>
                <w:rFonts w:hint="eastAsia" w:ascii="宋体" w:hAnsi="宋体" w:eastAsia="宋体" w:cs="宋体"/>
                <w:b/>
                <w:bCs/>
                <w:color w:val="0F1115"/>
                <w:sz w:val="24"/>
                <w:szCs w:val="24"/>
                <w:shd w:val="clear" w:color="auto" w:fill="FFFFFF"/>
              </w:rPr>
              <w:t>公司主要</w:t>
            </w:r>
            <w:r>
              <w:rPr>
                <w:rFonts w:hint="eastAsia" w:ascii="宋体" w:hAnsi="宋体" w:eastAsia="宋体" w:cs="宋体"/>
                <w:b/>
                <w:bCs/>
                <w:color w:val="0F1115"/>
                <w:sz w:val="24"/>
                <w:szCs w:val="24"/>
                <w:shd w:val="clear" w:color="auto" w:fill="FFFFFF"/>
                <w:lang w:val="en-US" w:eastAsia="zh-CN"/>
              </w:rPr>
              <w:t>的</w:t>
            </w:r>
            <w:r>
              <w:rPr>
                <w:rFonts w:hint="eastAsia" w:ascii="宋体" w:hAnsi="宋体" w:eastAsia="宋体" w:cs="宋体"/>
                <w:b/>
                <w:bCs/>
                <w:color w:val="0F1115"/>
                <w:sz w:val="24"/>
                <w:szCs w:val="24"/>
                <w:shd w:val="clear" w:color="auto" w:fill="FFFFFF"/>
              </w:rPr>
              <w:t>研发方向有哪些？</w:t>
            </w:r>
          </w:p>
          <w:p w14:paraId="1FF3E592">
            <w:pPr>
              <w:rPr>
                <w:rFonts w:hint="eastAsia" w:ascii="宋体" w:hAnsi="宋体" w:eastAsia="宋体" w:cs="宋体"/>
                <w:color w:val="0F1115"/>
                <w:sz w:val="24"/>
                <w:szCs w:val="24"/>
                <w:shd w:val="clear" w:color="auto" w:fill="FFFFFF"/>
                <w:lang w:val="en-US" w:eastAsia="zh-CN"/>
              </w:rPr>
            </w:pPr>
            <w:r>
              <w:rPr>
                <w:rFonts w:hint="eastAsia" w:ascii="宋体" w:hAnsi="宋体" w:eastAsia="宋体" w:cs="宋体"/>
                <w:color w:val="0F1115"/>
                <w:sz w:val="24"/>
                <w:szCs w:val="24"/>
                <w:shd w:val="clear" w:color="auto" w:fill="FFFFFF"/>
              </w:rPr>
              <w:t>答：公司一直重视研发创新能力建设，近年来不断引进研发技术人才，提高产品创新和迭代能力。在研发方向上，公司重点聚焦以下几个方面：一是汽车轻量化技术，包括高强度钢、铝合金等轻质材料的应用；二是</w:t>
            </w:r>
            <w:r>
              <w:rPr>
                <w:rFonts w:hint="eastAsia" w:ascii="宋体" w:hAnsi="宋体" w:eastAsia="宋体" w:cs="宋体"/>
                <w:color w:val="0F1115"/>
                <w:sz w:val="24"/>
                <w:szCs w:val="24"/>
                <w:shd w:val="clear" w:color="auto" w:fill="FFFFFF"/>
                <w:lang w:val="en-US" w:eastAsia="zh-CN"/>
              </w:rPr>
              <w:t>推动</w:t>
            </w:r>
            <w:r>
              <w:rPr>
                <w:rFonts w:hint="eastAsia" w:ascii="宋体" w:hAnsi="宋体" w:eastAsia="宋体" w:cs="宋体"/>
                <w:color w:val="0F1115"/>
                <w:sz w:val="24"/>
                <w:szCs w:val="24"/>
                <w:shd w:val="clear" w:color="auto" w:fill="FFFFFF"/>
              </w:rPr>
              <w:t>产品</w:t>
            </w:r>
            <w:r>
              <w:rPr>
                <w:rFonts w:hint="eastAsia" w:ascii="宋体" w:hAnsi="宋体" w:eastAsia="宋体" w:cs="宋体"/>
                <w:color w:val="0F1115"/>
                <w:sz w:val="24"/>
                <w:szCs w:val="24"/>
                <w:shd w:val="clear" w:color="auto" w:fill="FFFFFF"/>
                <w:lang w:val="en-US" w:eastAsia="zh-CN"/>
              </w:rPr>
              <w:t>向</w:t>
            </w:r>
            <w:r>
              <w:rPr>
                <w:rFonts w:hint="eastAsia" w:ascii="宋体" w:hAnsi="宋体" w:eastAsia="宋体" w:cs="宋体"/>
                <w:color w:val="0F1115"/>
                <w:sz w:val="24"/>
                <w:szCs w:val="24"/>
                <w:shd w:val="clear" w:color="auto" w:fill="FFFFFF"/>
              </w:rPr>
              <w:t>电气化升级；三是</w:t>
            </w:r>
            <w:r>
              <w:rPr>
                <w:rFonts w:hint="eastAsia" w:ascii="宋体" w:hAnsi="宋体" w:eastAsia="宋体" w:cs="宋体"/>
                <w:color w:val="0F1115"/>
                <w:sz w:val="24"/>
                <w:szCs w:val="24"/>
                <w:shd w:val="clear" w:color="auto" w:fill="FFFFFF"/>
                <w:lang w:val="en-US" w:eastAsia="zh-CN"/>
              </w:rPr>
              <w:t>推动产品向模块化、集成化发展，不断提高单车配套价值；四是利用现有产能不断向上下游延伸产品链，推动产品的多元化发展，进一步提升产能利用率。</w:t>
            </w:r>
          </w:p>
          <w:p w14:paraId="31E1DCBB">
            <w:pPr>
              <w:rPr>
                <w:rFonts w:hint="eastAsia" w:ascii="宋体" w:hAnsi="宋体" w:eastAsia="宋体" w:cs="宋体"/>
                <w:color w:val="0F1115"/>
                <w:sz w:val="24"/>
                <w:szCs w:val="24"/>
                <w:shd w:val="clear" w:color="auto" w:fill="FFFFFF"/>
                <w:lang w:val="en-US" w:eastAsia="zh-CN"/>
              </w:rPr>
            </w:pPr>
          </w:p>
          <w:p w14:paraId="4A325D56">
            <w:pPr>
              <w:rPr>
                <w:rStyle w:val="11"/>
                <w:rFonts w:ascii="宋体" w:hAnsi="宋体" w:eastAsia="宋体" w:cs="宋体"/>
                <w:b w:val="0"/>
                <w:color w:val="0F1115"/>
                <w:sz w:val="24"/>
                <w:szCs w:val="24"/>
                <w:shd w:val="clear" w:color="auto" w:fill="FFFFFF"/>
              </w:rPr>
            </w:pPr>
            <w:r>
              <w:rPr>
                <w:rStyle w:val="11"/>
                <w:rFonts w:hint="eastAsia" w:ascii="宋体" w:hAnsi="宋体" w:eastAsia="宋体" w:cs="宋体"/>
                <w:bCs/>
                <w:color w:val="0F1115"/>
                <w:sz w:val="24"/>
                <w:szCs w:val="24"/>
                <w:shd w:val="clear" w:color="auto" w:fill="FFFFFF"/>
              </w:rPr>
              <w:t>问题</w:t>
            </w:r>
            <w:r>
              <w:rPr>
                <w:rStyle w:val="11"/>
                <w:rFonts w:hint="eastAsia" w:ascii="宋体" w:hAnsi="宋体" w:eastAsia="宋体" w:cs="宋体"/>
                <w:bCs/>
                <w:color w:val="0F1115"/>
                <w:sz w:val="24"/>
                <w:szCs w:val="24"/>
                <w:shd w:val="clear" w:color="auto" w:fill="FFFFFF"/>
                <w:lang w:val="en-US" w:eastAsia="zh-CN"/>
              </w:rPr>
              <w:t>6</w:t>
            </w:r>
            <w:r>
              <w:rPr>
                <w:rStyle w:val="11"/>
                <w:rFonts w:hint="eastAsia" w:ascii="宋体" w:hAnsi="宋体" w:eastAsia="宋体" w:cs="宋体"/>
                <w:bCs/>
                <w:color w:val="0F1115"/>
                <w:sz w:val="24"/>
                <w:szCs w:val="24"/>
                <w:shd w:val="clear" w:color="auto" w:fill="FFFFFF"/>
              </w:rPr>
              <w:t>：公司在主要产品技术升级创新方面有何规划？</w:t>
            </w:r>
          </w:p>
          <w:p w14:paraId="18F6DD65">
            <w:pPr>
              <w:rPr>
                <w:rFonts w:hint="default" w:ascii="Times New Roman" w:hAnsi="Times New Roman" w:eastAsia="宋体" w:cs="Times New Roman"/>
                <w:b w:val="0"/>
                <w:sz w:val="24"/>
                <w:szCs w:val="24"/>
                <w:lang w:val="en-US" w:eastAsia="zh-CN"/>
              </w:rPr>
            </w:pPr>
            <w:r>
              <w:rPr>
                <w:rStyle w:val="11"/>
                <w:rFonts w:hint="eastAsia" w:ascii="宋体" w:hAnsi="宋体" w:eastAsia="宋体" w:cs="宋体"/>
                <w:b w:val="0"/>
                <w:color w:val="0F1115"/>
                <w:sz w:val="24"/>
                <w:szCs w:val="24"/>
                <w:shd w:val="clear" w:color="auto" w:fill="FFFFFF"/>
              </w:rPr>
              <w:t>答：公司专业生产汽车/电池结构件及功能件（踏板总成、防撞梁、铰链、限位器、加油/充电口盖总成等）等产品。公司持续加大研发创新投入，紧盯行业发展趋势，逐步推进产品升级迭代。公司产品已逐步由单体、机械式产品</w:t>
            </w:r>
            <w:r>
              <w:rPr>
                <w:rStyle w:val="11"/>
                <w:rFonts w:hint="eastAsia" w:ascii="宋体" w:hAnsi="宋体" w:eastAsia="宋体" w:cs="宋体"/>
                <w:b w:val="0"/>
                <w:color w:val="0F1115"/>
                <w:sz w:val="24"/>
                <w:szCs w:val="24"/>
                <w:shd w:val="clear" w:color="auto" w:fill="FFFFFF"/>
                <w:lang w:val="en-US" w:eastAsia="zh-CN"/>
              </w:rPr>
              <w:t>向</w:t>
            </w:r>
            <w:r>
              <w:rPr>
                <w:rStyle w:val="11"/>
                <w:rFonts w:hint="eastAsia" w:ascii="宋体" w:hAnsi="宋体" w:eastAsia="宋体" w:cs="宋体"/>
                <w:b w:val="0"/>
                <w:color w:val="0F1115"/>
                <w:sz w:val="24"/>
                <w:szCs w:val="24"/>
                <w:shd w:val="clear" w:color="auto" w:fill="FFFFFF"/>
              </w:rPr>
              <w:t>总成模块化、电动化等方向升级发展，单车配套价值不断提高。</w:t>
            </w:r>
          </w:p>
        </w:tc>
      </w:tr>
      <w:tr w14:paraId="3A9B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36480C74">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关于本次活动是否涉及应当披露重大信息的说明</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center"/>
          </w:tcPr>
          <w:p w14:paraId="1BB51810">
            <w:pP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本次活动，公司严格按照相关规定交流沟通，不存在未公开重大信息泄露等情形。</w:t>
            </w:r>
          </w:p>
        </w:tc>
      </w:tr>
      <w:tr w14:paraId="6C33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2938683">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附件清单（如有）</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center"/>
          </w:tcPr>
          <w:p w14:paraId="6C6CC6A6">
            <w:pPr>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无</w:t>
            </w:r>
          </w:p>
        </w:tc>
      </w:tr>
      <w:tr w14:paraId="6BB7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7D10F65">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日期</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center"/>
          </w:tcPr>
          <w:p w14:paraId="0B605C8C">
            <w:pPr>
              <w:jc w:val="lef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2026年</w:t>
            </w:r>
            <w:r>
              <w:rPr>
                <w:rFonts w:hint="eastAsia" w:ascii="Times New Roman" w:hAnsi="Times New Roman" w:eastAsia="宋体" w:cs="Times New Roman"/>
                <w:bCs/>
                <w:iCs/>
                <w:color w:val="000000"/>
                <w:sz w:val="24"/>
                <w:szCs w:val="24"/>
                <w:lang w:val="en-US" w:eastAsia="zh-CN"/>
              </w:rPr>
              <w:t>6</w:t>
            </w:r>
            <w:r>
              <w:rPr>
                <w:rFonts w:hint="eastAsia" w:ascii="Times New Roman" w:hAnsi="Times New Roman" w:eastAsia="宋体" w:cs="Times New Roman"/>
                <w:bCs/>
                <w:iCs/>
                <w:color w:val="000000"/>
                <w:sz w:val="24"/>
                <w:szCs w:val="24"/>
              </w:rPr>
              <w:t>月</w:t>
            </w:r>
            <w:r>
              <w:rPr>
                <w:rFonts w:hint="eastAsia" w:ascii="Times New Roman" w:hAnsi="Times New Roman" w:eastAsia="宋体" w:cs="Times New Roman"/>
                <w:bCs/>
                <w:iCs/>
                <w:color w:val="000000"/>
                <w:sz w:val="24"/>
                <w:szCs w:val="24"/>
                <w:lang w:val="en-US" w:eastAsia="zh-CN"/>
              </w:rPr>
              <w:t>8</w:t>
            </w:r>
            <w:r>
              <w:rPr>
                <w:rFonts w:hint="eastAsia" w:ascii="Times New Roman" w:hAnsi="Times New Roman" w:eastAsia="宋体" w:cs="Times New Roman"/>
                <w:bCs/>
                <w:iCs/>
                <w:color w:val="000000"/>
                <w:sz w:val="24"/>
                <w:szCs w:val="24"/>
              </w:rPr>
              <w:t>日</w:t>
            </w:r>
          </w:p>
        </w:tc>
      </w:tr>
    </w:tbl>
    <w:p w14:paraId="21DA46E3">
      <w:pPr>
        <w:rPr>
          <w:rFonts w:ascii="Times New Roman" w:hAnsi="Times New Roman" w:cs="Times New Roman"/>
          <w:sz w:val="24"/>
          <w:szCs w:val="24"/>
        </w:rPr>
      </w:pPr>
    </w:p>
    <w:sectPr>
      <w:pgSz w:w="11906" w:h="16838"/>
      <w:pgMar w:top="1361"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yMjEyZWQ2MjJjMDMyYjNkOGJiODBjYmQzYWU0NzYifQ=="/>
  </w:docVars>
  <w:rsids>
    <w:rsidRoot w:val="00172A27"/>
    <w:rsid w:val="00014C9A"/>
    <w:rsid w:val="00041346"/>
    <w:rsid w:val="00051138"/>
    <w:rsid w:val="00077269"/>
    <w:rsid w:val="000C202A"/>
    <w:rsid w:val="000C51C5"/>
    <w:rsid w:val="001012FC"/>
    <w:rsid w:val="00135507"/>
    <w:rsid w:val="0016783D"/>
    <w:rsid w:val="00172A27"/>
    <w:rsid w:val="001B2BF9"/>
    <w:rsid w:val="001F21FA"/>
    <w:rsid w:val="0021215C"/>
    <w:rsid w:val="00223F94"/>
    <w:rsid w:val="00270A26"/>
    <w:rsid w:val="002E29D6"/>
    <w:rsid w:val="003268FF"/>
    <w:rsid w:val="00380C08"/>
    <w:rsid w:val="0038452F"/>
    <w:rsid w:val="003B5F7A"/>
    <w:rsid w:val="003E24FB"/>
    <w:rsid w:val="003F124B"/>
    <w:rsid w:val="00466BA7"/>
    <w:rsid w:val="00524A7E"/>
    <w:rsid w:val="005827B7"/>
    <w:rsid w:val="005A6039"/>
    <w:rsid w:val="005D7C44"/>
    <w:rsid w:val="00657B07"/>
    <w:rsid w:val="0066264A"/>
    <w:rsid w:val="00663864"/>
    <w:rsid w:val="00675087"/>
    <w:rsid w:val="006C7B83"/>
    <w:rsid w:val="006D0743"/>
    <w:rsid w:val="007552C4"/>
    <w:rsid w:val="008746DE"/>
    <w:rsid w:val="008E3248"/>
    <w:rsid w:val="00973C3D"/>
    <w:rsid w:val="00991C92"/>
    <w:rsid w:val="009A668A"/>
    <w:rsid w:val="00A21808"/>
    <w:rsid w:val="00A222A4"/>
    <w:rsid w:val="00A25D6E"/>
    <w:rsid w:val="00A4567D"/>
    <w:rsid w:val="00AB2E69"/>
    <w:rsid w:val="00AB4173"/>
    <w:rsid w:val="00B55B2B"/>
    <w:rsid w:val="00B62565"/>
    <w:rsid w:val="00BD4342"/>
    <w:rsid w:val="00C70537"/>
    <w:rsid w:val="00C85A2C"/>
    <w:rsid w:val="00D0612E"/>
    <w:rsid w:val="00D44537"/>
    <w:rsid w:val="00D459F5"/>
    <w:rsid w:val="00D9564B"/>
    <w:rsid w:val="00DC028D"/>
    <w:rsid w:val="00DC1F47"/>
    <w:rsid w:val="00E10369"/>
    <w:rsid w:val="00E328A4"/>
    <w:rsid w:val="00E86208"/>
    <w:rsid w:val="00E90257"/>
    <w:rsid w:val="00E9742B"/>
    <w:rsid w:val="00EA2B85"/>
    <w:rsid w:val="00F15A5A"/>
    <w:rsid w:val="00F22009"/>
    <w:rsid w:val="00F8103E"/>
    <w:rsid w:val="00FA34DF"/>
    <w:rsid w:val="00FB6718"/>
    <w:rsid w:val="00FD0096"/>
    <w:rsid w:val="01062EEC"/>
    <w:rsid w:val="016F5A56"/>
    <w:rsid w:val="01EB1819"/>
    <w:rsid w:val="02385327"/>
    <w:rsid w:val="0375362D"/>
    <w:rsid w:val="03777222"/>
    <w:rsid w:val="03BE7D76"/>
    <w:rsid w:val="03C625F2"/>
    <w:rsid w:val="04161698"/>
    <w:rsid w:val="04DE5A5C"/>
    <w:rsid w:val="05424839"/>
    <w:rsid w:val="05434EA7"/>
    <w:rsid w:val="06976AC0"/>
    <w:rsid w:val="06C84AC8"/>
    <w:rsid w:val="07FE598D"/>
    <w:rsid w:val="083B7C89"/>
    <w:rsid w:val="083E0250"/>
    <w:rsid w:val="08690995"/>
    <w:rsid w:val="089F329F"/>
    <w:rsid w:val="08DC05D3"/>
    <w:rsid w:val="09F96578"/>
    <w:rsid w:val="09FE4360"/>
    <w:rsid w:val="0A283ED3"/>
    <w:rsid w:val="0A4933F3"/>
    <w:rsid w:val="0A5B7E05"/>
    <w:rsid w:val="0A613FA4"/>
    <w:rsid w:val="0AB40311"/>
    <w:rsid w:val="0D0A0C18"/>
    <w:rsid w:val="0D4D1C39"/>
    <w:rsid w:val="0DAC6CBC"/>
    <w:rsid w:val="0DDF7558"/>
    <w:rsid w:val="0E2A0014"/>
    <w:rsid w:val="0E7D1D19"/>
    <w:rsid w:val="1047786D"/>
    <w:rsid w:val="1084548A"/>
    <w:rsid w:val="10A65B38"/>
    <w:rsid w:val="114F61E9"/>
    <w:rsid w:val="116157BF"/>
    <w:rsid w:val="11641C95"/>
    <w:rsid w:val="11BC387F"/>
    <w:rsid w:val="120053C3"/>
    <w:rsid w:val="125235D7"/>
    <w:rsid w:val="12EC4A4B"/>
    <w:rsid w:val="136B71AF"/>
    <w:rsid w:val="13D03611"/>
    <w:rsid w:val="13E0137B"/>
    <w:rsid w:val="14F95EB0"/>
    <w:rsid w:val="15006D95"/>
    <w:rsid w:val="157633D7"/>
    <w:rsid w:val="15874F52"/>
    <w:rsid w:val="1863633D"/>
    <w:rsid w:val="1901601B"/>
    <w:rsid w:val="19B06616"/>
    <w:rsid w:val="19BE73EB"/>
    <w:rsid w:val="1A977CB9"/>
    <w:rsid w:val="1B4F322B"/>
    <w:rsid w:val="1C6E5776"/>
    <w:rsid w:val="1C7B60E4"/>
    <w:rsid w:val="1D786CE6"/>
    <w:rsid w:val="1F2D27EA"/>
    <w:rsid w:val="1FB77D57"/>
    <w:rsid w:val="1FB842FD"/>
    <w:rsid w:val="20131F16"/>
    <w:rsid w:val="21F26E49"/>
    <w:rsid w:val="222C490C"/>
    <w:rsid w:val="2261150A"/>
    <w:rsid w:val="228A52D3"/>
    <w:rsid w:val="23206FB3"/>
    <w:rsid w:val="238D5AC6"/>
    <w:rsid w:val="23F52C20"/>
    <w:rsid w:val="244A1145"/>
    <w:rsid w:val="24C1009C"/>
    <w:rsid w:val="255F07E0"/>
    <w:rsid w:val="26E70454"/>
    <w:rsid w:val="276B1BCF"/>
    <w:rsid w:val="278774F8"/>
    <w:rsid w:val="28BF17CE"/>
    <w:rsid w:val="28CF2509"/>
    <w:rsid w:val="29F574D6"/>
    <w:rsid w:val="2A2E0C3A"/>
    <w:rsid w:val="2AE732C3"/>
    <w:rsid w:val="2B144050"/>
    <w:rsid w:val="2BC5112A"/>
    <w:rsid w:val="2C936FB3"/>
    <w:rsid w:val="2D1E4F96"/>
    <w:rsid w:val="2D5072E5"/>
    <w:rsid w:val="2D60735C"/>
    <w:rsid w:val="2D617A2B"/>
    <w:rsid w:val="2D630BFB"/>
    <w:rsid w:val="2D6D28C8"/>
    <w:rsid w:val="2F020DFC"/>
    <w:rsid w:val="2F2235D9"/>
    <w:rsid w:val="2F53679D"/>
    <w:rsid w:val="2FDE6C5E"/>
    <w:rsid w:val="30FB5027"/>
    <w:rsid w:val="319033EE"/>
    <w:rsid w:val="31AE073A"/>
    <w:rsid w:val="32216AB7"/>
    <w:rsid w:val="32764F2C"/>
    <w:rsid w:val="3499735C"/>
    <w:rsid w:val="34D72A5E"/>
    <w:rsid w:val="35150A87"/>
    <w:rsid w:val="35A029B7"/>
    <w:rsid w:val="35D2229E"/>
    <w:rsid w:val="35DE1708"/>
    <w:rsid w:val="36C879B2"/>
    <w:rsid w:val="37200916"/>
    <w:rsid w:val="37786F81"/>
    <w:rsid w:val="38004C92"/>
    <w:rsid w:val="389649A8"/>
    <w:rsid w:val="3A4C16FD"/>
    <w:rsid w:val="3C306C1A"/>
    <w:rsid w:val="3CA06139"/>
    <w:rsid w:val="3D8E3A72"/>
    <w:rsid w:val="3ECA6D2C"/>
    <w:rsid w:val="3EDE49E6"/>
    <w:rsid w:val="3F06588A"/>
    <w:rsid w:val="3F173293"/>
    <w:rsid w:val="406D3E12"/>
    <w:rsid w:val="41817970"/>
    <w:rsid w:val="41A44F4B"/>
    <w:rsid w:val="42786A9F"/>
    <w:rsid w:val="42BA70B7"/>
    <w:rsid w:val="43486FF0"/>
    <w:rsid w:val="44345251"/>
    <w:rsid w:val="44C85ABB"/>
    <w:rsid w:val="45603F46"/>
    <w:rsid w:val="4597364A"/>
    <w:rsid w:val="46456C98"/>
    <w:rsid w:val="475A2C17"/>
    <w:rsid w:val="4A58343D"/>
    <w:rsid w:val="4B59057D"/>
    <w:rsid w:val="4B6775D5"/>
    <w:rsid w:val="4CF612C3"/>
    <w:rsid w:val="4D5A4A73"/>
    <w:rsid w:val="4DD345B9"/>
    <w:rsid w:val="4E4C5872"/>
    <w:rsid w:val="4E6D76D3"/>
    <w:rsid w:val="4FE86630"/>
    <w:rsid w:val="50646D59"/>
    <w:rsid w:val="50E60BA8"/>
    <w:rsid w:val="511B07C3"/>
    <w:rsid w:val="515178CE"/>
    <w:rsid w:val="52546BE0"/>
    <w:rsid w:val="52795A61"/>
    <w:rsid w:val="52C04276"/>
    <w:rsid w:val="538E1C7E"/>
    <w:rsid w:val="53DE013B"/>
    <w:rsid w:val="55911EF9"/>
    <w:rsid w:val="55927687"/>
    <w:rsid w:val="562C55D2"/>
    <w:rsid w:val="565F7815"/>
    <w:rsid w:val="57DD107A"/>
    <w:rsid w:val="593B28A8"/>
    <w:rsid w:val="59BA0B85"/>
    <w:rsid w:val="59DE0CBD"/>
    <w:rsid w:val="5A3F7C8A"/>
    <w:rsid w:val="5A971D60"/>
    <w:rsid w:val="5ABE6548"/>
    <w:rsid w:val="5B871DD5"/>
    <w:rsid w:val="5BCE2C90"/>
    <w:rsid w:val="5C131119"/>
    <w:rsid w:val="5C30522C"/>
    <w:rsid w:val="5CAB38A1"/>
    <w:rsid w:val="5D746389"/>
    <w:rsid w:val="5DC34C1A"/>
    <w:rsid w:val="5F15160F"/>
    <w:rsid w:val="5F4252CB"/>
    <w:rsid w:val="5F946AAE"/>
    <w:rsid w:val="5FCD7FD2"/>
    <w:rsid w:val="60107661"/>
    <w:rsid w:val="607D37A6"/>
    <w:rsid w:val="60AD0C15"/>
    <w:rsid w:val="60DD72B5"/>
    <w:rsid w:val="61BF394A"/>
    <w:rsid w:val="62C603F1"/>
    <w:rsid w:val="62F67840"/>
    <w:rsid w:val="63A1648C"/>
    <w:rsid w:val="651346D9"/>
    <w:rsid w:val="656D30D8"/>
    <w:rsid w:val="657A60AD"/>
    <w:rsid w:val="65F55820"/>
    <w:rsid w:val="666E0D67"/>
    <w:rsid w:val="676310B8"/>
    <w:rsid w:val="67866B91"/>
    <w:rsid w:val="678F66C0"/>
    <w:rsid w:val="680E72CD"/>
    <w:rsid w:val="681F27A9"/>
    <w:rsid w:val="68AB4C28"/>
    <w:rsid w:val="68E37F41"/>
    <w:rsid w:val="692F7608"/>
    <w:rsid w:val="69920F1F"/>
    <w:rsid w:val="6BCE135A"/>
    <w:rsid w:val="6C094140"/>
    <w:rsid w:val="6C1D7BEB"/>
    <w:rsid w:val="6C7E6029"/>
    <w:rsid w:val="6DFE7D9C"/>
    <w:rsid w:val="6E072901"/>
    <w:rsid w:val="6E3F56D1"/>
    <w:rsid w:val="6E5805C6"/>
    <w:rsid w:val="6E8A571E"/>
    <w:rsid w:val="6F0B4673"/>
    <w:rsid w:val="6F7C52D9"/>
    <w:rsid w:val="6F94661F"/>
    <w:rsid w:val="700510C2"/>
    <w:rsid w:val="70187047"/>
    <w:rsid w:val="705078C9"/>
    <w:rsid w:val="70E242D8"/>
    <w:rsid w:val="71107D1F"/>
    <w:rsid w:val="715A2DA5"/>
    <w:rsid w:val="71AC3CF0"/>
    <w:rsid w:val="72F84F96"/>
    <w:rsid w:val="73025D8D"/>
    <w:rsid w:val="73ED1162"/>
    <w:rsid w:val="744D2BDD"/>
    <w:rsid w:val="74FD680C"/>
    <w:rsid w:val="75E3075A"/>
    <w:rsid w:val="76082698"/>
    <w:rsid w:val="764B0E32"/>
    <w:rsid w:val="76E301FF"/>
    <w:rsid w:val="775841CD"/>
    <w:rsid w:val="77710B57"/>
    <w:rsid w:val="77D72939"/>
    <w:rsid w:val="7813558F"/>
    <w:rsid w:val="7819508C"/>
    <w:rsid w:val="78FB0D39"/>
    <w:rsid w:val="7A2B2D92"/>
    <w:rsid w:val="7A37631C"/>
    <w:rsid w:val="7A8619BC"/>
    <w:rsid w:val="7B1859C4"/>
    <w:rsid w:val="7BCB31C0"/>
    <w:rsid w:val="7C441515"/>
    <w:rsid w:val="7CF33E80"/>
    <w:rsid w:val="7D2D373B"/>
    <w:rsid w:val="7E0273CC"/>
    <w:rsid w:val="7F854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autoRedefine/>
    <w:qFormat/>
    <w:uiPriority w:val="0"/>
    <w:pPr>
      <w:jc w:val="left"/>
    </w:pPr>
  </w:style>
  <w:style w:type="paragraph" w:styleId="4">
    <w:name w:val="Balloon Text"/>
    <w:basedOn w:val="1"/>
    <w:link w:val="15"/>
    <w:autoRedefine/>
    <w:qFormat/>
    <w:uiPriority w:val="0"/>
    <w:rPr>
      <w:sz w:val="18"/>
      <w:szCs w:val="18"/>
    </w:rPr>
  </w:style>
  <w:style w:type="paragraph" w:styleId="5">
    <w:name w:val="footer"/>
    <w:basedOn w:val="1"/>
    <w:link w:val="20"/>
    <w:autoRedefine/>
    <w:qFormat/>
    <w:uiPriority w:val="0"/>
    <w:pPr>
      <w:tabs>
        <w:tab w:val="center" w:pos="4153"/>
        <w:tab w:val="right" w:pos="8306"/>
      </w:tabs>
      <w:snapToGrid w:val="0"/>
      <w:jc w:val="left"/>
    </w:pPr>
    <w:rPr>
      <w:sz w:val="18"/>
      <w:szCs w:val="18"/>
    </w:rPr>
  </w:style>
  <w:style w:type="paragraph" w:styleId="6">
    <w:name w:val="header"/>
    <w:basedOn w:val="1"/>
    <w:link w:val="19"/>
    <w:autoRedefine/>
    <w:qFormat/>
    <w:uiPriority w:val="0"/>
    <w:pPr>
      <w:tabs>
        <w:tab w:val="center" w:pos="4153"/>
        <w:tab w:val="right" w:pos="8306"/>
      </w:tabs>
      <w:snapToGrid w:val="0"/>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rPr>
  </w:style>
  <w:style w:type="paragraph" w:styleId="8">
    <w:name w:val="annotation subject"/>
    <w:basedOn w:val="3"/>
    <w:next w:val="3"/>
    <w:link w:val="17"/>
    <w:autoRedefine/>
    <w:qFormat/>
    <w:uiPriority w:val="0"/>
    <w:rPr>
      <w:b/>
      <w:bCs/>
    </w:rPr>
  </w:style>
  <w:style w:type="character" w:styleId="11">
    <w:name w:val="Strong"/>
    <w:basedOn w:val="10"/>
    <w:qFormat/>
    <w:uiPriority w:val="0"/>
    <w:rPr>
      <w:b/>
    </w:rPr>
  </w:style>
  <w:style w:type="character" w:styleId="12">
    <w:name w:val="Emphasis"/>
    <w:basedOn w:val="10"/>
    <w:autoRedefine/>
    <w:qFormat/>
    <w:uiPriority w:val="0"/>
    <w:rPr>
      <w:i/>
    </w:rPr>
  </w:style>
  <w:style w:type="character" w:styleId="13">
    <w:name w:val="Hyperlink"/>
    <w:basedOn w:val="10"/>
    <w:autoRedefine/>
    <w:unhideWhenUsed/>
    <w:qFormat/>
    <w:uiPriority w:val="99"/>
    <w:rPr>
      <w:color w:val="0000FF"/>
      <w:u w:val="single"/>
    </w:rPr>
  </w:style>
  <w:style w:type="character" w:styleId="14">
    <w:name w:val="annotation reference"/>
    <w:basedOn w:val="10"/>
    <w:autoRedefine/>
    <w:qFormat/>
    <w:uiPriority w:val="0"/>
    <w:rPr>
      <w:sz w:val="21"/>
      <w:szCs w:val="21"/>
    </w:rPr>
  </w:style>
  <w:style w:type="character" w:customStyle="1" w:styleId="15">
    <w:name w:val="批注框文本 字符"/>
    <w:basedOn w:val="10"/>
    <w:link w:val="4"/>
    <w:autoRedefine/>
    <w:qFormat/>
    <w:uiPriority w:val="0"/>
    <w:rPr>
      <w:kern w:val="2"/>
      <w:sz w:val="18"/>
      <w:szCs w:val="18"/>
    </w:rPr>
  </w:style>
  <w:style w:type="character" w:customStyle="1" w:styleId="16">
    <w:name w:val="批注文字 字符"/>
    <w:basedOn w:val="10"/>
    <w:link w:val="3"/>
    <w:autoRedefine/>
    <w:qFormat/>
    <w:uiPriority w:val="0"/>
    <w:rPr>
      <w:kern w:val="2"/>
      <w:sz w:val="21"/>
      <w:szCs w:val="22"/>
    </w:rPr>
  </w:style>
  <w:style w:type="character" w:customStyle="1" w:styleId="17">
    <w:name w:val="批注主题 字符"/>
    <w:basedOn w:val="16"/>
    <w:link w:val="8"/>
    <w:autoRedefine/>
    <w:qFormat/>
    <w:uiPriority w:val="0"/>
    <w:rPr>
      <w:b/>
      <w:bCs/>
      <w:kern w:val="2"/>
      <w:sz w:val="21"/>
      <w:szCs w:val="22"/>
    </w:rPr>
  </w:style>
  <w:style w:type="paragraph" w:customStyle="1" w:styleId="18">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
    <w:name w:val="页眉 字符"/>
    <w:basedOn w:val="10"/>
    <w:link w:val="6"/>
    <w:autoRedefine/>
    <w:qFormat/>
    <w:uiPriority w:val="0"/>
    <w:rPr>
      <w:rFonts w:asciiTheme="minorHAnsi" w:hAnsiTheme="minorHAnsi" w:eastAsiaTheme="minorEastAsia" w:cstheme="minorBidi"/>
      <w:kern w:val="2"/>
      <w:sz w:val="18"/>
      <w:szCs w:val="18"/>
    </w:rPr>
  </w:style>
  <w:style w:type="character" w:customStyle="1" w:styleId="20">
    <w:name w:val="页脚 字符"/>
    <w:basedOn w:val="10"/>
    <w:link w:val="5"/>
    <w:autoRedefine/>
    <w:qFormat/>
    <w:uiPriority w:val="0"/>
    <w:rPr>
      <w:rFonts w:asciiTheme="minorHAnsi" w:hAnsiTheme="minorHAnsi" w:eastAsiaTheme="minorEastAsia" w:cstheme="minorBidi"/>
      <w:kern w:val="2"/>
      <w:sz w:val="18"/>
      <w:szCs w:val="18"/>
    </w:rPr>
  </w:style>
  <w:style w:type="paragraph" w:customStyle="1" w:styleId="21">
    <w:name w:val="005正文"/>
    <w:basedOn w:val="1"/>
    <w:qFormat/>
    <w:uiPriority w:val="0"/>
    <w:pPr>
      <w:spacing w:before="120" w:beforeLines="50" w:after="120" w:afterLines="50" w:line="360" w:lineRule="auto"/>
      <w:ind w:firstLine="480" w:firstLineChars="200"/>
    </w:pPr>
    <w:rPr>
      <w:rFonts w:ascii="Times New Roman" w:hAnsi="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bd20f27b-5362-4e20-bf12-5897ca002bc8</errorID>
      <errorWord>、以及</errorWord>
      <group>L1_Punc</group>
      <groupName>标点问题</groupName>
      <ability>L2_Punc_CN</ability>
      <abilityName>标点符号问题</abilityName>
      <candidateList>
        <item>，以及</item>
      </candidateList>
      <explain>连接词前后不宜使用顿号，建议使用逗号。</explain>
      <paraID> 597E436</paraID>
      <start>27</start>
      <end>30</end>
      <status>unmodified</status>
      <modifiedWord/>
      <trackRevisions>false</trackRevisions>
    </reviewItem>
    <reviewItem>
      <errorID>4bf1577d-ee86-402c-beef-262c467c2590</errorID>
      <errorWord>，，</errorWord>
      <group>L1_Punc</group>
      <groupName>标点问题</groupName>
      <ability>L2_Punc_CN</ability>
      <abilityName>标点符号问题</abilityName>
      <candidateList>
        <item>，</item>
      </candidateList>
      <explain/>
      <paraID> 597E436</paraID>
      <start>240</start>
      <end>242</end>
      <status>unmodified</status>
      <modifiedWord/>
      <trackRevisions>false</trackRevisions>
    </reviewItem>
  </reviewItems>
  <config/>
</contractReview>
</file>

<file path=customXml/itemProps1.xml><?xml version="1.0" encoding="utf-8"?>
<ds:datastoreItem xmlns:ds="http://schemas.openxmlformats.org/officeDocument/2006/customXml" ds:itemID="{79695ffe-95a8-467b-9e43-fcb45d0b4065}">
  <ds:schemaRefs/>
</ds:datastoreItem>
</file>

<file path=docProps/app.xml><?xml version="1.0" encoding="utf-8"?>
<Properties xmlns="http://schemas.openxmlformats.org/officeDocument/2006/extended-properties" xmlns:vt="http://schemas.openxmlformats.org/officeDocument/2006/docPropsVTypes">
  <Template>Normal</Template>
  <Pages>3</Pages>
  <Words>1791</Words>
  <Characters>1819</Characters>
  <Lines>11</Lines>
  <Paragraphs>3</Paragraphs>
  <TotalTime>1</TotalTime>
  <ScaleCrop>false</ScaleCrop>
  <LinksUpToDate>false</LinksUpToDate>
  <CharactersWithSpaces>1942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2024-03-29T09:53:00Z</dcterms:created>
  <dc:creator>季灵杰</dc:creator>
  <cp:lastModifiedBy>L</cp:lastModifiedBy>
  <dcterms:modified xsi:type="dcterms:W3CDTF">2026-06-08T09:23:19Z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08F422800C7C483BAC8ECCEA1E84D5F2_13</vt:lpwstr>
  </property>
  <property fmtid="{D5CDD505-2E9C-101B-9397-08002B2CF9AE}" pid="4" name="KSOTemplateDocerSaveRecord">
    <vt:lpwstr>eyJoZGlkIjoiYmM2OTY4ZDQ3YmYzYjAwZmYxYjIwMTY2ZTJjNzZjZmYiLCJ1c2VySWQiOiI1ODIyNDc4NzIifQ==</vt:lpwstr>
  </property>
</Properties>
</file>