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96"/>
          <w:tab w:val="left" w:pos="6285"/>
        </w:tabs>
        <w:spacing w:line="400" w:lineRule="auto"/>
        <w:rPr>
          <w:sz w:val="24"/>
        </w:rPr>
      </w:pPr>
      <w:r>
        <w:rPr>
          <w:rFonts w:ascii="宋体" w:hAnsi="宋体" w:cs="宋体"/>
          <w:sz w:val="24"/>
        </w:rPr>
        <w:t>证券代</w:t>
      </w:r>
      <w:r>
        <w:rPr>
          <w:sz w:val="24"/>
        </w:rPr>
        <w:t>码：600839</w:t>
      </w:r>
      <w:r>
        <w:rPr>
          <w:sz w:val="24"/>
        </w:rPr>
        <w:tab/>
      </w:r>
      <w:r>
        <w:rPr>
          <w:sz w:val="24"/>
        </w:rPr>
        <w:t>证券简称：四川长虹</w:t>
      </w:r>
    </w:p>
    <w:p>
      <w:pPr>
        <w:spacing w:line="400" w:lineRule="auto"/>
        <w:jc w:val="center"/>
        <w:rPr>
          <w:rFonts w:eastAsia="黑体"/>
          <w:b/>
          <w:sz w:val="32"/>
          <w:szCs w:val="30"/>
        </w:rPr>
      </w:pPr>
      <w:r>
        <w:rPr>
          <w:rFonts w:eastAsia="黑体"/>
          <w:b/>
          <w:sz w:val="32"/>
          <w:szCs w:val="30"/>
        </w:rPr>
        <w:t>四川长虹电器股份有限公司</w:t>
      </w:r>
    </w:p>
    <w:p>
      <w:pPr>
        <w:spacing w:line="400" w:lineRule="auto"/>
        <w:jc w:val="center"/>
        <w:rPr>
          <w:rFonts w:eastAsia="黑体"/>
          <w:b/>
          <w:sz w:val="32"/>
          <w:szCs w:val="30"/>
        </w:rPr>
      </w:pPr>
      <w:r>
        <w:rPr>
          <w:rFonts w:eastAsia="黑体"/>
          <w:b/>
          <w:sz w:val="32"/>
          <w:szCs w:val="30"/>
        </w:rPr>
        <w:t>投资者关系活动记录表</w:t>
      </w:r>
    </w:p>
    <w:p>
      <w:pPr>
        <w:spacing w:line="400" w:lineRule="auto"/>
        <w:jc w:val="right"/>
        <w:rPr>
          <w:rFonts w:hint="default" w:eastAsia="宋体"/>
          <w:b/>
          <w:szCs w:val="21"/>
          <w:lang w:val="en-US" w:eastAsia="zh-CN"/>
        </w:rPr>
      </w:pPr>
      <w:r>
        <w:rPr>
          <w:sz w:val="24"/>
          <w:szCs w:val="24"/>
        </w:rPr>
        <w:t>编号：202</w:t>
      </w:r>
      <w:r>
        <w:rPr>
          <w:rFonts w:hint="eastAsia"/>
          <w:sz w:val="24"/>
          <w:szCs w:val="24"/>
          <w:lang w:eastAsia="zh-CN"/>
        </w:rPr>
        <w:t>6</w:t>
      </w:r>
      <w:r>
        <w:rPr>
          <w:sz w:val="24"/>
          <w:szCs w:val="24"/>
        </w:rPr>
        <w:t>-投关-</w:t>
      </w:r>
      <w:r>
        <w:rPr>
          <w:sz w:val="24"/>
          <w:szCs w:val="24"/>
          <w:lang w:eastAsia="zh"/>
        </w:rPr>
        <w:t>00</w:t>
      </w:r>
      <w:r>
        <w:rPr>
          <w:rFonts w:hint="eastAsia"/>
          <w:sz w:val="24"/>
          <w:szCs w:val="24"/>
          <w:lang w:val="en-US" w:eastAsia="zh-CN"/>
        </w:rPr>
        <w:t>3</w:t>
      </w:r>
    </w:p>
    <w:tbl>
      <w:tblPr>
        <w:tblStyle w:val="12"/>
        <w:tblW w:w="499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2"/>
        <w:gridCol w:w="70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投资者关系活动类别</w:t>
            </w:r>
          </w:p>
        </w:tc>
        <w:tc>
          <w:tcPr>
            <w:tcW w:w="4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特定对象调研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分析师会议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媒体采访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业绩说明会</w:t>
            </w:r>
          </w:p>
          <w:p>
            <w:pPr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新闻发布会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路演活动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现场参观</w:t>
            </w:r>
            <w:r>
              <w:rPr>
                <w:sz w:val="24"/>
                <w:szCs w:val="21"/>
              </w:rPr>
              <w:sym w:font="Wingdings 2" w:char="0052"/>
            </w:r>
            <w:r>
              <w:rPr>
                <w:sz w:val="24"/>
                <w:szCs w:val="21"/>
              </w:rPr>
              <w:t>电话会议</w:t>
            </w:r>
          </w:p>
          <w:p>
            <w:pPr>
              <w:spacing w:line="360" w:lineRule="auto"/>
              <w:rPr>
                <w:rFonts w:hint="eastAsia" w:eastAsia="宋体"/>
                <w:sz w:val="24"/>
                <w:szCs w:val="21"/>
                <w:u w:val="single"/>
                <w:lang w:eastAsia="zh-CN"/>
              </w:rPr>
            </w:pP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参与单位</w:t>
            </w:r>
          </w:p>
          <w:p>
            <w:pPr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名称及人员</w:t>
            </w:r>
          </w:p>
        </w:tc>
        <w:tc>
          <w:tcPr>
            <w:tcW w:w="4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华夏基金 袁泉、长江证券 程潆莹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时间</w:t>
            </w:r>
          </w:p>
        </w:tc>
        <w:tc>
          <w:tcPr>
            <w:tcW w:w="4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eastAsia="zh-CN"/>
              </w:rPr>
              <w:t>6</w:t>
            </w:r>
            <w:r>
              <w:rPr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6</w:t>
            </w:r>
            <w:r>
              <w:rPr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10</w:t>
            </w:r>
            <w:r>
              <w:rPr>
                <w:sz w:val="24"/>
                <w:szCs w:val="21"/>
              </w:rPr>
              <w:t>日（星期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三</w:t>
            </w:r>
            <w:r>
              <w:rPr>
                <w:sz w:val="24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地点</w:t>
            </w:r>
          </w:p>
        </w:tc>
        <w:tc>
          <w:tcPr>
            <w:tcW w:w="4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jc w:val="both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线上电话会议</w:t>
            </w:r>
            <w:bookmarkStart w:id="3" w:name="_GoBack"/>
            <w:bookmarkEnd w:id="3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上市公司接待人员姓名</w:t>
            </w:r>
          </w:p>
        </w:tc>
        <w:tc>
          <w:tcPr>
            <w:tcW w:w="4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360" w:lineRule="auto"/>
              <w:jc w:val="both"/>
              <w:rPr>
                <w:rFonts w:hint="eastAsia" w:eastAsia="宋体"/>
                <w:sz w:val="24"/>
                <w:szCs w:val="21"/>
                <w:lang w:val="en-US" w:eastAsia="zh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董事会秘书赵其林</w:t>
            </w:r>
            <w:r>
              <w:rPr>
                <w:rFonts w:hint="eastAsia"/>
                <w:sz w:val="24"/>
                <w:szCs w:val="21"/>
                <w:lang w:val="en-US" w:eastAsia="zh"/>
              </w:rPr>
              <w:t>，综合管理部（董办）副部长、证券事务代表肖雅，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长虹中国智显产品策划部部长王志成</w:t>
            </w:r>
            <w:r>
              <w:rPr>
                <w:rFonts w:hint="eastAsia"/>
                <w:sz w:val="24"/>
                <w:szCs w:val="21"/>
                <w:lang w:val="en-US" w:eastAsia="zh"/>
              </w:rPr>
              <w:t>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sz w:val="24"/>
                <w:szCs w:val="21"/>
                <w:lang w:bidi="ar"/>
              </w:rPr>
            </w:pPr>
            <w:r>
              <w:rPr>
                <w:b/>
                <w:sz w:val="24"/>
                <w:szCs w:val="21"/>
              </w:rPr>
              <w:t>主要交流内容摘要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公司向投资者介绍了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"/>
              </w:rPr>
              <w:t>四川长虹发展情况并与投资者进行了深入的交流，主要交流内容摘要如下：</w:t>
            </w:r>
          </w:p>
          <w:p>
            <w:pPr>
              <w:spacing w:line="360" w:lineRule="auto"/>
              <w:ind w:firstLine="482" w:firstLineChars="200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bookmarkStart w:id="0" w:name="OLE_LINK3"/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1.</w:t>
            </w:r>
            <w:bookmarkStart w:id="1" w:name="OLE_LINK1"/>
            <w:bookmarkStart w:id="2" w:name="OLE_LINK2"/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当前AI端侧应用发展迅速，公司的黑电产品在AI赋能方面，有哪些成果及产品设计规划</w:t>
            </w:r>
            <w:bookmarkEnd w:id="1"/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？</w:t>
            </w:r>
            <w:bookmarkEnd w:id="2"/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公司始终以用户为中心，聚焦不同用户使用场景特点，持续探索高价值用户场景。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长虹云帆AI大模型全面赋能电视语音交互、个性化影音检索等核心领域，支持复杂任务的推理和编排，实现了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“一句话操控”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，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大提升了用户使用体验，同时还拓展了更多百科知识和生活热点的信息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广度和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深度，让电视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无所不知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，成为客厅的智慧中心。</w:t>
            </w:r>
          </w:p>
          <w:bookmarkEnd w:id="0"/>
          <w:p>
            <w:pPr>
              <w:spacing w:line="360" w:lineRule="auto"/>
              <w:ind w:firstLine="482" w:firstLineChars="200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2.公司家电业务板块2026年经营情况如何，经营发展重点有哪些？</w:t>
            </w:r>
          </w:p>
          <w:p>
            <w:pPr>
              <w:spacing w:line="360" w:lineRule="auto"/>
              <w:ind w:firstLine="480" w:firstLineChars="200"/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  <w:t>公司的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家电板块业务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  <w:t>坚持全球经营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  <w:t>品牌提升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，并持续推进精益管理、经营提效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  <w:t>。在全球经营方面，充分发挥国内产业链优势，稳步推进出口基地建设，完善海外基地布局，实现全价值链协同发展。在品牌提升方面，公司聚焦重要目标市场区域加大品牌建设投入，优化产品品牌矩阵，持续提升品牌美誉度与溢价能力，提高品牌业务占比。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在精益管理方面，公司以价值经营为导向，开源节流、降本控费，推进全产业链的系统降本提效，通过精益管理提效益，通过智改数转提能力，持续提升公司经营质量，追求价值增长。</w:t>
            </w:r>
          </w:p>
          <w:p>
            <w:pPr>
              <w:spacing w:line="360" w:lineRule="auto"/>
              <w:ind w:firstLine="482" w:firstLineChars="200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3.公司旗下长虹华意2026年第一季度净利润同比增长较好，主要有哪些原因？后续有何发展预期？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长虹华意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2026年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一季度净利润增长主要受持续加强技术研发、效率提升与协同深化、产品竞争力增强等因素影响。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长虹华意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所处全封闭活塞压缩机行业属于传统制造业，产能长期过剩、市场竞争充分。叠加宏观经济增速放缓、需求疲软等因素，经营质效承压。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长虹华意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依托长期积淀的规模、技术、品牌、市场及管理优势，将持续研发性能优良、行业领先的产品；夯实基础管理，推进智能工厂建设，稳步提升生产效率与产品品质；精准响应客户需求，坚定不移走高质量发展之路。</w:t>
            </w:r>
          </w:p>
          <w:p>
            <w:pPr>
              <w:spacing w:line="360" w:lineRule="auto"/>
              <w:ind w:firstLine="482" w:firstLineChars="200"/>
              <w:rPr>
                <w:rFonts w:hint="default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4.公司ICT综合服务业务未来发展有什么机遇？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ICT综合服务主要为公司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"/>
              </w:rPr>
              <w:t>旗下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长虹佳华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"/>
              </w:rPr>
              <w:t>相关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业务。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消费类业务方面，长虹佳华紧抓AI产品迭代与提振消费政策机遇，依托大数据与AI技术驱动，持续升级数字智能综合服务平台，高效联接生态，衍生新商业机会，拓展优势产品，稳固下沉渠道，强化线上运营与线上线下融合零售，PC业务保持领先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企业类业务方面，长虹佳华加大技术投入，打造云生态与解决方案聚合平台，深化在AI大模型部署、云服务等领域的品牌合作，提供优质数字产品与差异化技术服务，持续提升业务价值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创新业务方面，长虹佳华以智能分销为基础，深耕云生态、低空经济、数字营销等战略领域，培育新动能；构建高效云生态体系，提供低空经济数字化整合方案；发挥技术商业化能力，为科技及出海企业提供数字营销服务，探索新模式。</w:t>
            </w:r>
          </w:p>
          <w:p>
            <w:pPr>
              <w:spacing w:line="360" w:lineRule="auto"/>
              <w:ind w:firstLine="482" w:firstLineChars="200"/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5.公司2026年发展目标及计划。</w:t>
            </w:r>
          </w:p>
          <w:p>
            <w:pPr>
              <w:spacing w:line="360" w:lineRule="auto"/>
              <w:ind w:firstLine="480" w:firstLineChars="200"/>
              <w:rPr>
                <w:rFonts w:hint="default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  <w:t>面对复杂多变的产业环境和日趋激烈的竞争格局，公司抢抓技术变革与国家产业结构升级等机遇，积极应对经济低增速、逆全球化等挑战，秉承战略牵引下的创新驱动发展理念，贯彻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"/>
              </w:rPr>
              <w:t>“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  <w:t>稳进提质增效，协同创新赋能，品牌智造卓越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"/>
              </w:rPr>
              <w:t>”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  <w:t>的经营方针，通过技术创新和精细化管理双轮驱动，国内及海外市场均衡布局，持续推进高质量发展，朝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着“打造世界一流电子信息企业”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  <w:t>的宏伟目标稳步迈进。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附件清单（如有）</w:t>
            </w:r>
          </w:p>
        </w:tc>
        <w:tc>
          <w:tcPr>
            <w:tcW w:w="4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风险提示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ind w:firstLine="480" w:firstLineChars="200"/>
              <w:rPr>
                <w:sz w:val="24"/>
                <w:szCs w:val="21"/>
                <w:lang w:bidi="ar"/>
              </w:rPr>
            </w:pPr>
            <w:r>
              <w:rPr>
                <w:sz w:val="24"/>
                <w:szCs w:val="21"/>
                <w:lang w:bidi="ar"/>
              </w:rPr>
              <w:t>公司郑重提醒广大投资者，以上如涉及对行业的预测、公司发展战略规划等相关内容，不能视作公司或管理层对行业、公司发展或业绩的承诺和保证，有关公司信息以公司在上海证券交易所网站（www.sse.com.cn）和法定信息披露媒体刊登的相关公告为准，敬请广大投资者理性投资，注意投资风险。</w:t>
            </w:r>
          </w:p>
          <w:p>
            <w:pPr>
              <w:tabs>
                <w:tab w:val="left" w:pos="682"/>
              </w:tabs>
              <w:spacing w:line="360" w:lineRule="auto"/>
              <w:ind w:firstLine="480" w:firstLineChars="200"/>
              <w:rPr>
                <w:rFonts w:hint="eastAsia" w:eastAsia="宋体"/>
                <w:sz w:val="24"/>
                <w:szCs w:val="21"/>
                <w:lang w:eastAsia="zh-CN"/>
              </w:rPr>
            </w:pPr>
            <w:r>
              <w:rPr>
                <w:sz w:val="24"/>
                <w:szCs w:val="21"/>
                <w:lang w:bidi="ar"/>
              </w:rPr>
              <w:t>公司对长期以来关注和支持公司发展的广大投资者表示衷心感谢！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日期</w:t>
            </w:r>
          </w:p>
        </w:tc>
        <w:tc>
          <w:tcPr>
            <w:tcW w:w="4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6</w:t>
            </w:r>
            <w:r>
              <w:rPr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6</w:t>
            </w:r>
            <w:r>
              <w:rPr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11</w:t>
            </w:r>
            <w:r>
              <w:rPr>
                <w:sz w:val="24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F7A9E"/>
    <w:multiLevelType w:val="multilevel"/>
    <w:tmpl w:val="2C9F7A9E"/>
    <w:lvl w:ilvl="0" w:tentative="0">
      <w:start w:val="1"/>
      <w:numFmt w:val="decimal"/>
      <w:pStyle w:val="2"/>
      <w:suff w:val="nothing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MGJlMDUzYzkxOGVmZjEzNGI3OGU1NmRiMDhkZjcifQ=="/>
  </w:docVars>
  <w:rsids>
    <w:rsidRoot w:val="00172A27"/>
    <w:rsid w:val="000009DF"/>
    <w:rsid w:val="00001D35"/>
    <w:rsid w:val="00004E3B"/>
    <w:rsid w:val="00011F3F"/>
    <w:rsid w:val="00012C27"/>
    <w:rsid w:val="00013E42"/>
    <w:rsid w:val="000207BE"/>
    <w:rsid w:val="00022DBB"/>
    <w:rsid w:val="00024460"/>
    <w:rsid w:val="00025AEF"/>
    <w:rsid w:val="0002610E"/>
    <w:rsid w:val="0002674D"/>
    <w:rsid w:val="00026B3A"/>
    <w:rsid w:val="00031606"/>
    <w:rsid w:val="00033496"/>
    <w:rsid w:val="00033A06"/>
    <w:rsid w:val="0003496B"/>
    <w:rsid w:val="000357C1"/>
    <w:rsid w:val="0004074F"/>
    <w:rsid w:val="0004432C"/>
    <w:rsid w:val="00045E17"/>
    <w:rsid w:val="0004791C"/>
    <w:rsid w:val="000519C8"/>
    <w:rsid w:val="000521B5"/>
    <w:rsid w:val="000568D0"/>
    <w:rsid w:val="00057287"/>
    <w:rsid w:val="000645A7"/>
    <w:rsid w:val="000671EC"/>
    <w:rsid w:val="00071D2D"/>
    <w:rsid w:val="00075241"/>
    <w:rsid w:val="000842CB"/>
    <w:rsid w:val="00093B78"/>
    <w:rsid w:val="00096B51"/>
    <w:rsid w:val="000974A9"/>
    <w:rsid w:val="000978B2"/>
    <w:rsid w:val="00097E92"/>
    <w:rsid w:val="000A0319"/>
    <w:rsid w:val="000A2614"/>
    <w:rsid w:val="000A2ACE"/>
    <w:rsid w:val="000A6D49"/>
    <w:rsid w:val="000C7B53"/>
    <w:rsid w:val="000D1F5D"/>
    <w:rsid w:val="000D4F0A"/>
    <w:rsid w:val="000D5794"/>
    <w:rsid w:val="000D7C15"/>
    <w:rsid w:val="000E2AED"/>
    <w:rsid w:val="000F165E"/>
    <w:rsid w:val="000F24BD"/>
    <w:rsid w:val="000F3A63"/>
    <w:rsid w:val="000F72AA"/>
    <w:rsid w:val="0010195F"/>
    <w:rsid w:val="001026EA"/>
    <w:rsid w:val="00102F52"/>
    <w:rsid w:val="00103A8E"/>
    <w:rsid w:val="00110BCA"/>
    <w:rsid w:val="00117913"/>
    <w:rsid w:val="0012292B"/>
    <w:rsid w:val="00122F6A"/>
    <w:rsid w:val="00124070"/>
    <w:rsid w:val="001276EC"/>
    <w:rsid w:val="00127AD7"/>
    <w:rsid w:val="00133BEF"/>
    <w:rsid w:val="00147BE9"/>
    <w:rsid w:val="00147C81"/>
    <w:rsid w:val="00150204"/>
    <w:rsid w:val="001516C8"/>
    <w:rsid w:val="001537FD"/>
    <w:rsid w:val="001572A5"/>
    <w:rsid w:val="0016092A"/>
    <w:rsid w:val="00163435"/>
    <w:rsid w:val="0016343A"/>
    <w:rsid w:val="00164B57"/>
    <w:rsid w:val="00165AC3"/>
    <w:rsid w:val="00166A85"/>
    <w:rsid w:val="00170398"/>
    <w:rsid w:val="001722CE"/>
    <w:rsid w:val="00173B1C"/>
    <w:rsid w:val="00177F6D"/>
    <w:rsid w:val="001818EF"/>
    <w:rsid w:val="00181CF6"/>
    <w:rsid w:val="00183A24"/>
    <w:rsid w:val="0018657D"/>
    <w:rsid w:val="00186F1F"/>
    <w:rsid w:val="00187A23"/>
    <w:rsid w:val="00187B11"/>
    <w:rsid w:val="001927CD"/>
    <w:rsid w:val="001940CC"/>
    <w:rsid w:val="00195FEA"/>
    <w:rsid w:val="001A1D60"/>
    <w:rsid w:val="001A3E1E"/>
    <w:rsid w:val="001A4EFB"/>
    <w:rsid w:val="001B2246"/>
    <w:rsid w:val="001B2FE0"/>
    <w:rsid w:val="001B74A7"/>
    <w:rsid w:val="001C004C"/>
    <w:rsid w:val="001C48C6"/>
    <w:rsid w:val="001D441C"/>
    <w:rsid w:val="001D5F2C"/>
    <w:rsid w:val="001E0752"/>
    <w:rsid w:val="001E421D"/>
    <w:rsid w:val="001E6882"/>
    <w:rsid w:val="001F0216"/>
    <w:rsid w:val="001F0D3C"/>
    <w:rsid w:val="001F4AB1"/>
    <w:rsid w:val="001F6D88"/>
    <w:rsid w:val="00201FE1"/>
    <w:rsid w:val="00203156"/>
    <w:rsid w:val="002034D8"/>
    <w:rsid w:val="00205808"/>
    <w:rsid w:val="00207E35"/>
    <w:rsid w:val="00214DB5"/>
    <w:rsid w:val="00215979"/>
    <w:rsid w:val="00221CFA"/>
    <w:rsid w:val="00222A29"/>
    <w:rsid w:val="0022389D"/>
    <w:rsid w:val="002248D9"/>
    <w:rsid w:val="00226C8F"/>
    <w:rsid w:val="002301AD"/>
    <w:rsid w:val="00237658"/>
    <w:rsid w:val="00240F2C"/>
    <w:rsid w:val="002418E8"/>
    <w:rsid w:val="002434F5"/>
    <w:rsid w:val="002465FE"/>
    <w:rsid w:val="00246637"/>
    <w:rsid w:val="00250190"/>
    <w:rsid w:val="0025310A"/>
    <w:rsid w:val="00254A6F"/>
    <w:rsid w:val="00256C2F"/>
    <w:rsid w:val="00256E4A"/>
    <w:rsid w:val="0026172A"/>
    <w:rsid w:val="002659D5"/>
    <w:rsid w:val="00265FA0"/>
    <w:rsid w:val="0027125B"/>
    <w:rsid w:val="0027186B"/>
    <w:rsid w:val="00271A05"/>
    <w:rsid w:val="00273478"/>
    <w:rsid w:val="0027692F"/>
    <w:rsid w:val="00280EAE"/>
    <w:rsid w:val="002930B5"/>
    <w:rsid w:val="002A498E"/>
    <w:rsid w:val="002A4BD4"/>
    <w:rsid w:val="002A4DF4"/>
    <w:rsid w:val="002A4EC7"/>
    <w:rsid w:val="002A54D6"/>
    <w:rsid w:val="002A77E1"/>
    <w:rsid w:val="002B74CD"/>
    <w:rsid w:val="002C1FC2"/>
    <w:rsid w:val="002C4216"/>
    <w:rsid w:val="002D568D"/>
    <w:rsid w:val="002D5881"/>
    <w:rsid w:val="002E48F5"/>
    <w:rsid w:val="002E5604"/>
    <w:rsid w:val="002E765C"/>
    <w:rsid w:val="002F6A45"/>
    <w:rsid w:val="002F7225"/>
    <w:rsid w:val="002F764E"/>
    <w:rsid w:val="002F78F7"/>
    <w:rsid w:val="002F7D70"/>
    <w:rsid w:val="002F7F90"/>
    <w:rsid w:val="00300137"/>
    <w:rsid w:val="00300C12"/>
    <w:rsid w:val="003027CE"/>
    <w:rsid w:val="00303CD7"/>
    <w:rsid w:val="00312713"/>
    <w:rsid w:val="003148D6"/>
    <w:rsid w:val="00316B22"/>
    <w:rsid w:val="00320AD8"/>
    <w:rsid w:val="00321DC0"/>
    <w:rsid w:val="00322CD2"/>
    <w:rsid w:val="00325F12"/>
    <w:rsid w:val="00330F51"/>
    <w:rsid w:val="00331005"/>
    <w:rsid w:val="003335CB"/>
    <w:rsid w:val="00336724"/>
    <w:rsid w:val="00337728"/>
    <w:rsid w:val="00344181"/>
    <w:rsid w:val="00345708"/>
    <w:rsid w:val="00347AB1"/>
    <w:rsid w:val="00347CBB"/>
    <w:rsid w:val="00354384"/>
    <w:rsid w:val="00355669"/>
    <w:rsid w:val="00364983"/>
    <w:rsid w:val="00366946"/>
    <w:rsid w:val="00372CAE"/>
    <w:rsid w:val="00373E43"/>
    <w:rsid w:val="0037440A"/>
    <w:rsid w:val="0037485D"/>
    <w:rsid w:val="00377D1D"/>
    <w:rsid w:val="00382487"/>
    <w:rsid w:val="00385B3C"/>
    <w:rsid w:val="00393FAA"/>
    <w:rsid w:val="00395813"/>
    <w:rsid w:val="00395C4C"/>
    <w:rsid w:val="00397A6F"/>
    <w:rsid w:val="003A54D9"/>
    <w:rsid w:val="003A7388"/>
    <w:rsid w:val="003B0839"/>
    <w:rsid w:val="003B1B40"/>
    <w:rsid w:val="003B50FA"/>
    <w:rsid w:val="003B6682"/>
    <w:rsid w:val="003C7779"/>
    <w:rsid w:val="003D043C"/>
    <w:rsid w:val="003D1E44"/>
    <w:rsid w:val="003D78E3"/>
    <w:rsid w:val="003E7826"/>
    <w:rsid w:val="003F2843"/>
    <w:rsid w:val="003F2A73"/>
    <w:rsid w:val="003F3149"/>
    <w:rsid w:val="003F734F"/>
    <w:rsid w:val="00403762"/>
    <w:rsid w:val="00404811"/>
    <w:rsid w:val="004048A7"/>
    <w:rsid w:val="00405255"/>
    <w:rsid w:val="004122F8"/>
    <w:rsid w:val="004127A2"/>
    <w:rsid w:val="00413A9E"/>
    <w:rsid w:val="0041526D"/>
    <w:rsid w:val="0041532C"/>
    <w:rsid w:val="00427917"/>
    <w:rsid w:val="00433C74"/>
    <w:rsid w:val="00440997"/>
    <w:rsid w:val="00443651"/>
    <w:rsid w:val="004444EA"/>
    <w:rsid w:val="0044531C"/>
    <w:rsid w:val="00445754"/>
    <w:rsid w:val="00446467"/>
    <w:rsid w:val="0044746F"/>
    <w:rsid w:val="00450A7A"/>
    <w:rsid w:val="00450D2F"/>
    <w:rsid w:val="004562D0"/>
    <w:rsid w:val="00456619"/>
    <w:rsid w:val="0045772E"/>
    <w:rsid w:val="00460D87"/>
    <w:rsid w:val="00461D19"/>
    <w:rsid w:val="00463B63"/>
    <w:rsid w:val="00467161"/>
    <w:rsid w:val="004732AE"/>
    <w:rsid w:val="00474024"/>
    <w:rsid w:val="00477321"/>
    <w:rsid w:val="00477823"/>
    <w:rsid w:val="00480396"/>
    <w:rsid w:val="00481308"/>
    <w:rsid w:val="004830CC"/>
    <w:rsid w:val="004903A8"/>
    <w:rsid w:val="00492CCE"/>
    <w:rsid w:val="00496CB8"/>
    <w:rsid w:val="004A0325"/>
    <w:rsid w:val="004A269A"/>
    <w:rsid w:val="004A64DD"/>
    <w:rsid w:val="004B03CF"/>
    <w:rsid w:val="004B0D73"/>
    <w:rsid w:val="004B175A"/>
    <w:rsid w:val="004B5953"/>
    <w:rsid w:val="004B5CB6"/>
    <w:rsid w:val="004B7F99"/>
    <w:rsid w:val="004C02C9"/>
    <w:rsid w:val="004C1BA9"/>
    <w:rsid w:val="004C31F3"/>
    <w:rsid w:val="004D018E"/>
    <w:rsid w:val="004D142B"/>
    <w:rsid w:val="004D4EAA"/>
    <w:rsid w:val="004F1F4A"/>
    <w:rsid w:val="004F704E"/>
    <w:rsid w:val="00500620"/>
    <w:rsid w:val="00502C06"/>
    <w:rsid w:val="00503E7B"/>
    <w:rsid w:val="005054CB"/>
    <w:rsid w:val="005055C8"/>
    <w:rsid w:val="00511249"/>
    <w:rsid w:val="00517578"/>
    <w:rsid w:val="00522AA6"/>
    <w:rsid w:val="005239C0"/>
    <w:rsid w:val="00523CAA"/>
    <w:rsid w:val="0052467E"/>
    <w:rsid w:val="00525A40"/>
    <w:rsid w:val="00526163"/>
    <w:rsid w:val="00537137"/>
    <w:rsid w:val="00540386"/>
    <w:rsid w:val="00542E7D"/>
    <w:rsid w:val="00551041"/>
    <w:rsid w:val="00557508"/>
    <w:rsid w:val="005618F9"/>
    <w:rsid w:val="005658EF"/>
    <w:rsid w:val="00570718"/>
    <w:rsid w:val="005712D8"/>
    <w:rsid w:val="0057183A"/>
    <w:rsid w:val="00572D55"/>
    <w:rsid w:val="00573170"/>
    <w:rsid w:val="0058059D"/>
    <w:rsid w:val="0058166D"/>
    <w:rsid w:val="0058390F"/>
    <w:rsid w:val="005842E5"/>
    <w:rsid w:val="00584442"/>
    <w:rsid w:val="00584607"/>
    <w:rsid w:val="00592B51"/>
    <w:rsid w:val="00594485"/>
    <w:rsid w:val="005A1142"/>
    <w:rsid w:val="005A147D"/>
    <w:rsid w:val="005A2E87"/>
    <w:rsid w:val="005A5641"/>
    <w:rsid w:val="005A6693"/>
    <w:rsid w:val="005A7D99"/>
    <w:rsid w:val="005B137C"/>
    <w:rsid w:val="005B37C1"/>
    <w:rsid w:val="005C0C85"/>
    <w:rsid w:val="005C315A"/>
    <w:rsid w:val="005C46E2"/>
    <w:rsid w:val="005C6C47"/>
    <w:rsid w:val="005D093E"/>
    <w:rsid w:val="005D13D9"/>
    <w:rsid w:val="005D403D"/>
    <w:rsid w:val="005E3A98"/>
    <w:rsid w:val="005E5FB5"/>
    <w:rsid w:val="005F67FD"/>
    <w:rsid w:val="005F75B1"/>
    <w:rsid w:val="0060309E"/>
    <w:rsid w:val="006034F4"/>
    <w:rsid w:val="006242E9"/>
    <w:rsid w:val="00627E41"/>
    <w:rsid w:val="0063104A"/>
    <w:rsid w:val="0063571B"/>
    <w:rsid w:val="00640F2F"/>
    <w:rsid w:val="006414D3"/>
    <w:rsid w:val="0064495E"/>
    <w:rsid w:val="00645544"/>
    <w:rsid w:val="00645EF6"/>
    <w:rsid w:val="00646394"/>
    <w:rsid w:val="00654745"/>
    <w:rsid w:val="00654EBE"/>
    <w:rsid w:val="00656601"/>
    <w:rsid w:val="00660BEB"/>
    <w:rsid w:val="00664156"/>
    <w:rsid w:val="0066418A"/>
    <w:rsid w:val="00666AB5"/>
    <w:rsid w:val="00673971"/>
    <w:rsid w:val="00674196"/>
    <w:rsid w:val="006811DE"/>
    <w:rsid w:val="0068209C"/>
    <w:rsid w:val="0068474C"/>
    <w:rsid w:val="00685EB8"/>
    <w:rsid w:val="006905B0"/>
    <w:rsid w:val="00694204"/>
    <w:rsid w:val="00696E43"/>
    <w:rsid w:val="006A2BCD"/>
    <w:rsid w:val="006A509F"/>
    <w:rsid w:val="006B0166"/>
    <w:rsid w:val="006B4E50"/>
    <w:rsid w:val="006B7A12"/>
    <w:rsid w:val="006C26D7"/>
    <w:rsid w:val="006D0379"/>
    <w:rsid w:val="006E0618"/>
    <w:rsid w:val="006F2118"/>
    <w:rsid w:val="006F42B2"/>
    <w:rsid w:val="006F4461"/>
    <w:rsid w:val="006F5559"/>
    <w:rsid w:val="006F7BF6"/>
    <w:rsid w:val="007048A1"/>
    <w:rsid w:val="00707C22"/>
    <w:rsid w:val="007205F5"/>
    <w:rsid w:val="00721B52"/>
    <w:rsid w:val="00723FEE"/>
    <w:rsid w:val="00726C31"/>
    <w:rsid w:val="00726F53"/>
    <w:rsid w:val="0072773C"/>
    <w:rsid w:val="00740F90"/>
    <w:rsid w:val="00741274"/>
    <w:rsid w:val="00742997"/>
    <w:rsid w:val="00742B59"/>
    <w:rsid w:val="00742E4A"/>
    <w:rsid w:val="00751472"/>
    <w:rsid w:val="00753C69"/>
    <w:rsid w:val="00753F95"/>
    <w:rsid w:val="00754150"/>
    <w:rsid w:val="007553C0"/>
    <w:rsid w:val="007579B5"/>
    <w:rsid w:val="007703FA"/>
    <w:rsid w:val="00772682"/>
    <w:rsid w:val="00774660"/>
    <w:rsid w:val="007757B3"/>
    <w:rsid w:val="0077590F"/>
    <w:rsid w:val="00776006"/>
    <w:rsid w:val="00776327"/>
    <w:rsid w:val="007778C2"/>
    <w:rsid w:val="0078074E"/>
    <w:rsid w:val="007841BF"/>
    <w:rsid w:val="00784687"/>
    <w:rsid w:val="00784E89"/>
    <w:rsid w:val="00793A27"/>
    <w:rsid w:val="00795568"/>
    <w:rsid w:val="0079789D"/>
    <w:rsid w:val="007A016E"/>
    <w:rsid w:val="007A448D"/>
    <w:rsid w:val="007A4C5C"/>
    <w:rsid w:val="007A6944"/>
    <w:rsid w:val="007A7C22"/>
    <w:rsid w:val="007B1F18"/>
    <w:rsid w:val="007B73C4"/>
    <w:rsid w:val="007C2CE4"/>
    <w:rsid w:val="007C36F2"/>
    <w:rsid w:val="007D0A3C"/>
    <w:rsid w:val="007D46D5"/>
    <w:rsid w:val="007E03CE"/>
    <w:rsid w:val="007E066A"/>
    <w:rsid w:val="007E16B3"/>
    <w:rsid w:val="007E56AD"/>
    <w:rsid w:val="007E63DC"/>
    <w:rsid w:val="007E7EA2"/>
    <w:rsid w:val="007F11D6"/>
    <w:rsid w:val="007F11E5"/>
    <w:rsid w:val="007F3A7D"/>
    <w:rsid w:val="007F445E"/>
    <w:rsid w:val="007F4C90"/>
    <w:rsid w:val="007F61AC"/>
    <w:rsid w:val="007F726A"/>
    <w:rsid w:val="00801198"/>
    <w:rsid w:val="0080231C"/>
    <w:rsid w:val="00816CBD"/>
    <w:rsid w:val="0081782D"/>
    <w:rsid w:val="0082178E"/>
    <w:rsid w:val="00830593"/>
    <w:rsid w:val="00832138"/>
    <w:rsid w:val="008335F3"/>
    <w:rsid w:val="0084102A"/>
    <w:rsid w:val="00842501"/>
    <w:rsid w:val="00851773"/>
    <w:rsid w:val="00865786"/>
    <w:rsid w:val="00865F6C"/>
    <w:rsid w:val="008727E6"/>
    <w:rsid w:val="008759DD"/>
    <w:rsid w:val="0087700B"/>
    <w:rsid w:val="00882A7B"/>
    <w:rsid w:val="00896AB9"/>
    <w:rsid w:val="00897414"/>
    <w:rsid w:val="00897EEF"/>
    <w:rsid w:val="008A5295"/>
    <w:rsid w:val="008B1BF7"/>
    <w:rsid w:val="008B223D"/>
    <w:rsid w:val="008B257F"/>
    <w:rsid w:val="008B42A2"/>
    <w:rsid w:val="008B752F"/>
    <w:rsid w:val="008C6597"/>
    <w:rsid w:val="008D226D"/>
    <w:rsid w:val="008D3DA3"/>
    <w:rsid w:val="008E0C03"/>
    <w:rsid w:val="008E1406"/>
    <w:rsid w:val="008E2A3F"/>
    <w:rsid w:val="008E2DF3"/>
    <w:rsid w:val="008E5B7B"/>
    <w:rsid w:val="008E5D4D"/>
    <w:rsid w:val="008F0A33"/>
    <w:rsid w:val="008F3389"/>
    <w:rsid w:val="008F3B88"/>
    <w:rsid w:val="00905BBA"/>
    <w:rsid w:val="00910A39"/>
    <w:rsid w:val="00911355"/>
    <w:rsid w:val="009117D2"/>
    <w:rsid w:val="009123CD"/>
    <w:rsid w:val="0091303A"/>
    <w:rsid w:val="009156C4"/>
    <w:rsid w:val="009159B0"/>
    <w:rsid w:val="00917A52"/>
    <w:rsid w:val="00922A8D"/>
    <w:rsid w:val="00924808"/>
    <w:rsid w:val="00927401"/>
    <w:rsid w:val="00936326"/>
    <w:rsid w:val="00937609"/>
    <w:rsid w:val="00942000"/>
    <w:rsid w:val="0094234D"/>
    <w:rsid w:val="00943FC3"/>
    <w:rsid w:val="009507F3"/>
    <w:rsid w:val="009549A6"/>
    <w:rsid w:val="00960499"/>
    <w:rsid w:val="0096366B"/>
    <w:rsid w:val="00963C59"/>
    <w:rsid w:val="00967FCB"/>
    <w:rsid w:val="009706DA"/>
    <w:rsid w:val="00974E31"/>
    <w:rsid w:val="009756D9"/>
    <w:rsid w:val="00976549"/>
    <w:rsid w:val="00976E9E"/>
    <w:rsid w:val="0098379C"/>
    <w:rsid w:val="00984927"/>
    <w:rsid w:val="009869D6"/>
    <w:rsid w:val="00990BC0"/>
    <w:rsid w:val="00990F50"/>
    <w:rsid w:val="009A0BAA"/>
    <w:rsid w:val="009A4D68"/>
    <w:rsid w:val="009A7C15"/>
    <w:rsid w:val="009B2897"/>
    <w:rsid w:val="009B51D9"/>
    <w:rsid w:val="009B7395"/>
    <w:rsid w:val="009C0DB2"/>
    <w:rsid w:val="009D00E3"/>
    <w:rsid w:val="009D39A8"/>
    <w:rsid w:val="009D4702"/>
    <w:rsid w:val="009D5E4A"/>
    <w:rsid w:val="009D5F53"/>
    <w:rsid w:val="009E1462"/>
    <w:rsid w:val="009E2085"/>
    <w:rsid w:val="009E5FAD"/>
    <w:rsid w:val="009E7760"/>
    <w:rsid w:val="009F4785"/>
    <w:rsid w:val="009F57E1"/>
    <w:rsid w:val="009F70FF"/>
    <w:rsid w:val="00A00A55"/>
    <w:rsid w:val="00A06485"/>
    <w:rsid w:val="00A074D1"/>
    <w:rsid w:val="00A07B8B"/>
    <w:rsid w:val="00A11ED3"/>
    <w:rsid w:val="00A13ACE"/>
    <w:rsid w:val="00A141C9"/>
    <w:rsid w:val="00A14F0A"/>
    <w:rsid w:val="00A26CC9"/>
    <w:rsid w:val="00A27D37"/>
    <w:rsid w:val="00A35DC9"/>
    <w:rsid w:val="00A4193C"/>
    <w:rsid w:val="00A431D4"/>
    <w:rsid w:val="00A4496A"/>
    <w:rsid w:val="00A51D21"/>
    <w:rsid w:val="00A57BA4"/>
    <w:rsid w:val="00A65D3D"/>
    <w:rsid w:val="00A66D88"/>
    <w:rsid w:val="00A670F2"/>
    <w:rsid w:val="00A84707"/>
    <w:rsid w:val="00A850EA"/>
    <w:rsid w:val="00A91BAE"/>
    <w:rsid w:val="00A93C47"/>
    <w:rsid w:val="00A93F96"/>
    <w:rsid w:val="00A97261"/>
    <w:rsid w:val="00AA0495"/>
    <w:rsid w:val="00AA18CC"/>
    <w:rsid w:val="00AA3E52"/>
    <w:rsid w:val="00AA6BAE"/>
    <w:rsid w:val="00AB01E4"/>
    <w:rsid w:val="00AB2A3E"/>
    <w:rsid w:val="00AB7427"/>
    <w:rsid w:val="00AB796C"/>
    <w:rsid w:val="00AC0E57"/>
    <w:rsid w:val="00AC3566"/>
    <w:rsid w:val="00AC52C5"/>
    <w:rsid w:val="00AC5C01"/>
    <w:rsid w:val="00AC76DA"/>
    <w:rsid w:val="00AD4A3A"/>
    <w:rsid w:val="00AD4CD5"/>
    <w:rsid w:val="00AE0DFB"/>
    <w:rsid w:val="00B05291"/>
    <w:rsid w:val="00B06C1E"/>
    <w:rsid w:val="00B07C44"/>
    <w:rsid w:val="00B10481"/>
    <w:rsid w:val="00B1108B"/>
    <w:rsid w:val="00B13BC8"/>
    <w:rsid w:val="00B14269"/>
    <w:rsid w:val="00B204DF"/>
    <w:rsid w:val="00B23279"/>
    <w:rsid w:val="00B23801"/>
    <w:rsid w:val="00B25412"/>
    <w:rsid w:val="00B276CA"/>
    <w:rsid w:val="00B32F44"/>
    <w:rsid w:val="00B36568"/>
    <w:rsid w:val="00B36A41"/>
    <w:rsid w:val="00B36E91"/>
    <w:rsid w:val="00B43D8A"/>
    <w:rsid w:val="00B520BB"/>
    <w:rsid w:val="00B5748A"/>
    <w:rsid w:val="00B613AF"/>
    <w:rsid w:val="00B668C4"/>
    <w:rsid w:val="00B759D7"/>
    <w:rsid w:val="00B75D43"/>
    <w:rsid w:val="00B83AFA"/>
    <w:rsid w:val="00B856C4"/>
    <w:rsid w:val="00B87239"/>
    <w:rsid w:val="00B929F3"/>
    <w:rsid w:val="00B96099"/>
    <w:rsid w:val="00BA4C88"/>
    <w:rsid w:val="00BA737E"/>
    <w:rsid w:val="00BB0D7F"/>
    <w:rsid w:val="00BB15B0"/>
    <w:rsid w:val="00BB3E10"/>
    <w:rsid w:val="00BC507A"/>
    <w:rsid w:val="00BC6098"/>
    <w:rsid w:val="00BD02F3"/>
    <w:rsid w:val="00BD1C0D"/>
    <w:rsid w:val="00BD5914"/>
    <w:rsid w:val="00BD7159"/>
    <w:rsid w:val="00BE034A"/>
    <w:rsid w:val="00BE24BB"/>
    <w:rsid w:val="00BE680C"/>
    <w:rsid w:val="00BE6C25"/>
    <w:rsid w:val="00BF0109"/>
    <w:rsid w:val="00BF0AD9"/>
    <w:rsid w:val="00BF0E19"/>
    <w:rsid w:val="00BF1D8A"/>
    <w:rsid w:val="00BF48AE"/>
    <w:rsid w:val="00BF513D"/>
    <w:rsid w:val="00BF60E1"/>
    <w:rsid w:val="00BF7494"/>
    <w:rsid w:val="00BF7736"/>
    <w:rsid w:val="00C02258"/>
    <w:rsid w:val="00C02D88"/>
    <w:rsid w:val="00C07CF7"/>
    <w:rsid w:val="00C07D06"/>
    <w:rsid w:val="00C10498"/>
    <w:rsid w:val="00C116D9"/>
    <w:rsid w:val="00C1378E"/>
    <w:rsid w:val="00C2194B"/>
    <w:rsid w:val="00C2318B"/>
    <w:rsid w:val="00C250F6"/>
    <w:rsid w:val="00C35B2D"/>
    <w:rsid w:val="00C36448"/>
    <w:rsid w:val="00C379BE"/>
    <w:rsid w:val="00C40175"/>
    <w:rsid w:val="00C42010"/>
    <w:rsid w:val="00C44E94"/>
    <w:rsid w:val="00C50210"/>
    <w:rsid w:val="00C505E8"/>
    <w:rsid w:val="00C50FDD"/>
    <w:rsid w:val="00C518E9"/>
    <w:rsid w:val="00C54857"/>
    <w:rsid w:val="00C74E4A"/>
    <w:rsid w:val="00C7727B"/>
    <w:rsid w:val="00C8096D"/>
    <w:rsid w:val="00C8377F"/>
    <w:rsid w:val="00C867B6"/>
    <w:rsid w:val="00C90C97"/>
    <w:rsid w:val="00C942DD"/>
    <w:rsid w:val="00C97824"/>
    <w:rsid w:val="00CA1511"/>
    <w:rsid w:val="00CB3D55"/>
    <w:rsid w:val="00CB456C"/>
    <w:rsid w:val="00CB5E08"/>
    <w:rsid w:val="00CC0CE1"/>
    <w:rsid w:val="00CC38B3"/>
    <w:rsid w:val="00CC4F40"/>
    <w:rsid w:val="00CD001C"/>
    <w:rsid w:val="00CD1138"/>
    <w:rsid w:val="00CD5112"/>
    <w:rsid w:val="00CD5132"/>
    <w:rsid w:val="00CD5BBF"/>
    <w:rsid w:val="00CE305A"/>
    <w:rsid w:val="00CE7382"/>
    <w:rsid w:val="00CF177A"/>
    <w:rsid w:val="00CF2B1D"/>
    <w:rsid w:val="00CF2D3A"/>
    <w:rsid w:val="00D034E1"/>
    <w:rsid w:val="00D07DB6"/>
    <w:rsid w:val="00D07DE8"/>
    <w:rsid w:val="00D13570"/>
    <w:rsid w:val="00D1398A"/>
    <w:rsid w:val="00D13CCC"/>
    <w:rsid w:val="00D149EA"/>
    <w:rsid w:val="00D14F78"/>
    <w:rsid w:val="00D155E9"/>
    <w:rsid w:val="00D223F3"/>
    <w:rsid w:val="00D23F66"/>
    <w:rsid w:val="00D248F3"/>
    <w:rsid w:val="00D25EA7"/>
    <w:rsid w:val="00D30A04"/>
    <w:rsid w:val="00D40333"/>
    <w:rsid w:val="00D42621"/>
    <w:rsid w:val="00D426E4"/>
    <w:rsid w:val="00D5414E"/>
    <w:rsid w:val="00D55417"/>
    <w:rsid w:val="00D56C8E"/>
    <w:rsid w:val="00D60AF9"/>
    <w:rsid w:val="00D62201"/>
    <w:rsid w:val="00D6255A"/>
    <w:rsid w:val="00D62D23"/>
    <w:rsid w:val="00D6426A"/>
    <w:rsid w:val="00D829CB"/>
    <w:rsid w:val="00D87F95"/>
    <w:rsid w:val="00D904EB"/>
    <w:rsid w:val="00D93E16"/>
    <w:rsid w:val="00DA010D"/>
    <w:rsid w:val="00DA1771"/>
    <w:rsid w:val="00DA2A46"/>
    <w:rsid w:val="00DA454C"/>
    <w:rsid w:val="00DA7C7E"/>
    <w:rsid w:val="00DA7DD3"/>
    <w:rsid w:val="00DB2776"/>
    <w:rsid w:val="00DB33D8"/>
    <w:rsid w:val="00DB468E"/>
    <w:rsid w:val="00DB4ECE"/>
    <w:rsid w:val="00DB5A9B"/>
    <w:rsid w:val="00DB696E"/>
    <w:rsid w:val="00DB7CD4"/>
    <w:rsid w:val="00DC516C"/>
    <w:rsid w:val="00DC6FD7"/>
    <w:rsid w:val="00DC73ED"/>
    <w:rsid w:val="00DD605D"/>
    <w:rsid w:val="00DE24DC"/>
    <w:rsid w:val="00DE333A"/>
    <w:rsid w:val="00DE5B36"/>
    <w:rsid w:val="00DE6380"/>
    <w:rsid w:val="00DE73CB"/>
    <w:rsid w:val="00DE7627"/>
    <w:rsid w:val="00DE7D18"/>
    <w:rsid w:val="00DF1613"/>
    <w:rsid w:val="00E04051"/>
    <w:rsid w:val="00E072FE"/>
    <w:rsid w:val="00E12842"/>
    <w:rsid w:val="00E137A5"/>
    <w:rsid w:val="00E14C75"/>
    <w:rsid w:val="00E15FED"/>
    <w:rsid w:val="00E21CDF"/>
    <w:rsid w:val="00E227CB"/>
    <w:rsid w:val="00E24557"/>
    <w:rsid w:val="00E2626A"/>
    <w:rsid w:val="00E336AC"/>
    <w:rsid w:val="00E35463"/>
    <w:rsid w:val="00E36FE4"/>
    <w:rsid w:val="00E40D44"/>
    <w:rsid w:val="00E50B51"/>
    <w:rsid w:val="00E51760"/>
    <w:rsid w:val="00E549C7"/>
    <w:rsid w:val="00E60209"/>
    <w:rsid w:val="00E610DD"/>
    <w:rsid w:val="00E64E4C"/>
    <w:rsid w:val="00E6551C"/>
    <w:rsid w:val="00E6580B"/>
    <w:rsid w:val="00E71235"/>
    <w:rsid w:val="00E71DE0"/>
    <w:rsid w:val="00E73053"/>
    <w:rsid w:val="00E76D7F"/>
    <w:rsid w:val="00E81CFF"/>
    <w:rsid w:val="00E825FB"/>
    <w:rsid w:val="00E84826"/>
    <w:rsid w:val="00E84EC5"/>
    <w:rsid w:val="00E87804"/>
    <w:rsid w:val="00E9006C"/>
    <w:rsid w:val="00E90310"/>
    <w:rsid w:val="00E90A0F"/>
    <w:rsid w:val="00E917F3"/>
    <w:rsid w:val="00E9238D"/>
    <w:rsid w:val="00E97B91"/>
    <w:rsid w:val="00E97F42"/>
    <w:rsid w:val="00EA019A"/>
    <w:rsid w:val="00EA0A68"/>
    <w:rsid w:val="00EA15D0"/>
    <w:rsid w:val="00EA53C9"/>
    <w:rsid w:val="00EB40AA"/>
    <w:rsid w:val="00EB7383"/>
    <w:rsid w:val="00EC0FF1"/>
    <w:rsid w:val="00EC1665"/>
    <w:rsid w:val="00EC303A"/>
    <w:rsid w:val="00EC4E34"/>
    <w:rsid w:val="00EC508C"/>
    <w:rsid w:val="00ED0921"/>
    <w:rsid w:val="00ED3273"/>
    <w:rsid w:val="00ED3712"/>
    <w:rsid w:val="00EF30EE"/>
    <w:rsid w:val="00EF3989"/>
    <w:rsid w:val="00EF3EC0"/>
    <w:rsid w:val="00EF4EEF"/>
    <w:rsid w:val="00EF4F32"/>
    <w:rsid w:val="00EF61E5"/>
    <w:rsid w:val="00F0137B"/>
    <w:rsid w:val="00F04F18"/>
    <w:rsid w:val="00F06A11"/>
    <w:rsid w:val="00F06C2C"/>
    <w:rsid w:val="00F105F1"/>
    <w:rsid w:val="00F13A66"/>
    <w:rsid w:val="00F15B17"/>
    <w:rsid w:val="00F20363"/>
    <w:rsid w:val="00F216A2"/>
    <w:rsid w:val="00F23C03"/>
    <w:rsid w:val="00F253C7"/>
    <w:rsid w:val="00F2570D"/>
    <w:rsid w:val="00F32C5D"/>
    <w:rsid w:val="00F3313A"/>
    <w:rsid w:val="00F33C95"/>
    <w:rsid w:val="00F378E1"/>
    <w:rsid w:val="00F461C1"/>
    <w:rsid w:val="00F46B63"/>
    <w:rsid w:val="00F55BE1"/>
    <w:rsid w:val="00F56583"/>
    <w:rsid w:val="00F60464"/>
    <w:rsid w:val="00F6189E"/>
    <w:rsid w:val="00F621D7"/>
    <w:rsid w:val="00F65031"/>
    <w:rsid w:val="00F65622"/>
    <w:rsid w:val="00F66BB4"/>
    <w:rsid w:val="00F72453"/>
    <w:rsid w:val="00F74993"/>
    <w:rsid w:val="00F803BC"/>
    <w:rsid w:val="00F828D4"/>
    <w:rsid w:val="00F844E4"/>
    <w:rsid w:val="00F84708"/>
    <w:rsid w:val="00F869C8"/>
    <w:rsid w:val="00F87E0C"/>
    <w:rsid w:val="00F919A4"/>
    <w:rsid w:val="00F93DDC"/>
    <w:rsid w:val="00F95AC3"/>
    <w:rsid w:val="00FA0C1D"/>
    <w:rsid w:val="00FB01C7"/>
    <w:rsid w:val="00FB2DDE"/>
    <w:rsid w:val="00FC3399"/>
    <w:rsid w:val="00FC43A7"/>
    <w:rsid w:val="00FD2D6B"/>
    <w:rsid w:val="00FD50D7"/>
    <w:rsid w:val="00FD5A7E"/>
    <w:rsid w:val="00FE0C71"/>
    <w:rsid w:val="00FE261D"/>
    <w:rsid w:val="00FE47EE"/>
    <w:rsid w:val="00FE585B"/>
    <w:rsid w:val="00FE7614"/>
    <w:rsid w:val="00FF21B1"/>
    <w:rsid w:val="00FF4BAE"/>
    <w:rsid w:val="00FF5F68"/>
    <w:rsid w:val="00FF7647"/>
    <w:rsid w:val="02724AA8"/>
    <w:rsid w:val="03612D4A"/>
    <w:rsid w:val="03615C9F"/>
    <w:rsid w:val="039C5126"/>
    <w:rsid w:val="046F433F"/>
    <w:rsid w:val="04A326A5"/>
    <w:rsid w:val="04A35B04"/>
    <w:rsid w:val="055E50A5"/>
    <w:rsid w:val="0567082C"/>
    <w:rsid w:val="05880374"/>
    <w:rsid w:val="0624066B"/>
    <w:rsid w:val="06606195"/>
    <w:rsid w:val="07091040"/>
    <w:rsid w:val="08166745"/>
    <w:rsid w:val="088F16F1"/>
    <w:rsid w:val="08E35E0A"/>
    <w:rsid w:val="0A2B7645"/>
    <w:rsid w:val="0B033C90"/>
    <w:rsid w:val="0B092A8A"/>
    <w:rsid w:val="0C237709"/>
    <w:rsid w:val="0C393788"/>
    <w:rsid w:val="0C4722B6"/>
    <w:rsid w:val="0C48085D"/>
    <w:rsid w:val="0C49044A"/>
    <w:rsid w:val="0CCC2132"/>
    <w:rsid w:val="0E820080"/>
    <w:rsid w:val="0EAE3551"/>
    <w:rsid w:val="0F061353"/>
    <w:rsid w:val="0F64150A"/>
    <w:rsid w:val="0F8F259B"/>
    <w:rsid w:val="0FA062BD"/>
    <w:rsid w:val="0FF03089"/>
    <w:rsid w:val="0FF568D0"/>
    <w:rsid w:val="106B579D"/>
    <w:rsid w:val="11055662"/>
    <w:rsid w:val="1123320C"/>
    <w:rsid w:val="119360AE"/>
    <w:rsid w:val="12085416"/>
    <w:rsid w:val="1236122B"/>
    <w:rsid w:val="12747CFC"/>
    <w:rsid w:val="128B384A"/>
    <w:rsid w:val="13064443"/>
    <w:rsid w:val="13835254"/>
    <w:rsid w:val="14053442"/>
    <w:rsid w:val="145A10F1"/>
    <w:rsid w:val="149401B5"/>
    <w:rsid w:val="154B3A00"/>
    <w:rsid w:val="163836F0"/>
    <w:rsid w:val="164B756B"/>
    <w:rsid w:val="16B72126"/>
    <w:rsid w:val="17036B58"/>
    <w:rsid w:val="172F064F"/>
    <w:rsid w:val="184469B3"/>
    <w:rsid w:val="1A727B85"/>
    <w:rsid w:val="1AA475A6"/>
    <w:rsid w:val="1AAB26E2"/>
    <w:rsid w:val="1C533839"/>
    <w:rsid w:val="1CFC3007"/>
    <w:rsid w:val="1D0709CE"/>
    <w:rsid w:val="1D604346"/>
    <w:rsid w:val="1D8148D9"/>
    <w:rsid w:val="1ED06D2B"/>
    <w:rsid w:val="1F4679C6"/>
    <w:rsid w:val="1FCE0E85"/>
    <w:rsid w:val="205B3624"/>
    <w:rsid w:val="21AA7792"/>
    <w:rsid w:val="21CC42B4"/>
    <w:rsid w:val="22153D82"/>
    <w:rsid w:val="227E0409"/>
    <w:rsid w:val="22DF73CD"/>
    <w:rsid w:val="22FC0AE3"/>
    <w:rsid w:val="235356C5"/>
    <w:rsid w:val="23784CBC"/>
    <w:rsid w:val="23CE0A96"/>
    <w:rsid w:val="24101F1D"/>
    <w:rsid w:val="24452D64"/>
    <w:rsid w:val="2536BBFE"/>
    <w:rsid w:val="255C10AB"/>
    <w:rsid w:val="25873566"/>
    <w:rsid w:val="25A477D9"/>
    <w:rsid w:val="27285AD4"/>
    <w:rsid w:val="276FD8C5"/>
    <w:rsid w:val="27733581"/>
    <w:rsid w:val="27924830"/>
    <w:rsid w:val="27B775BB"/>
    <w:rsid w:val="28A53EAF"/>
    <w:rsid w:val="28CA391A"/>
    <w:rsid w:val="292063FE"/>
    <w:rsid w:val="294D774F"/>
    <w:rsid w:val="298A77DB"/>
    <w:rsid w:val="29C26EC0"/>
    <w:rsid w:val="29C8162C"/>
    <w:rsid w:val="2A0048DD"/>
    <w:rsid w:val="2A7F5620"/>
    <w:rsid w:val="2B1879FF"/>
    <w:rsid w:val="2C584B2B"/>
    <w:rsid w:val="2C9E5CA9"/>
    <w:rsid w:val="2CDA1616"/>
    <w:rsid w:val="2CE50302"/>
    <w:rsid w:val="2F0F4950"/>
    <w:rsid w:val="2F6A2714"/>
    <w:rsid w:val="2F7236BA"/>
    <w:rsid w:val="2FC63594"/>
    <w:rsid w:val="2FC79C01"/>
    <w:rsid w:val="30564A47"/>
    <w:rsid w:val="30EC72E7"/>
    <w:rsid w:val="32CB66A9"/>
    <w:rsid w:val="32EC783B"/>
    <w:rsid w:val="33076BA5"/>
    <w:rsid w:val="33240B25"/>
    <w:rsid w:val="339D3ADA"/>
    <w:rsid w:val="33F45993"/>
    <w:rsid w:val="34162282"/>
    <w:rsid w:val="35012BE5"/>
    <w:rsid w:val="350B2CF5"/>
    <w:rsid w:val="354A1C91"/>
    <w:rsid w:val="36081D26"/>
    <w:rsid w:val="36160F00"/>
    <w:rsid w:val="36370AC5"/>
    <w:rsid w:val="37BF0726"/>
    <w:rsid w:val="37C14E9C"/>
    <w:rsid w:val="38556E4F"/>
    <w:rsid w:val="38CE63BC"/>
    <w:rsid w:val="390A6CE1"/>
    <w:rsid w:val="39DB7958"/>
    <w:rsid w:val="3A3E4084"/>
    <w:rsid w:val="3A5A3FC5"/>
    <w:rsid w:val="3BC46B81"/>
    <w:rsid w:val="3BE53A7D"/>
    <w:rsid w:val="3C9708C1"/>
    <w:rsid w:val="3CBA5E05"/>
    <w:rsid w:val="3CE51BE6"/>
    <w:rsid w:val="3CE60AB2"/>
    <w:rsid w:val="3D52080A"/>
    <w:rsid w:val="3DA92E74"/>
    <w:rsid w:val="3FB44AA4"/>
    <w:rsid w:val="3FCE2BA7"/>
    <w:rsid w:val="3FF41F2A"/>
    <w:rsid w:val="40697139"/>
    <w:rsid w:val="40962DFC"/>
    <w:rsid w:val="41653874"/>
    <w:rsid w:val="417A5739"/>
    <w:rsid w:val="41FB746A"/>
    <w:rsid w:val="42B0071B"/>
    <w:rsid w:val="42E84796"/>
    <w:rsid w:val="42FE511F"/>
    <w:rsid w:val="43FA78A0"/>
    <w:rsid w:val="44B70002"/>
    <w:rsid w:val="46687724"/>
    <w:rsid w:val="469733D3"/>
    <w:rsid w:val="46CE39CB"/>
    <w:rsid w:val="476201A5"/>
    <w:rsid w:val="47AE3270"/>
    <w:rsid w:val="47C92D76"/>
    <w:rsid w:val="47EB1507"/>
    <w:rsid w:val="48401642"/>
    <w:rsid w:val="484F16A2"/>
    <w:rsid w:val="4850706D"/>
    <w:rsid w:val="48F22448"/>
    <w:rsid w:val="48FD4CD3"/>
    <w:rsid w:val="49647B28"/>
    <w:rsid w:val="499031D8"/>
    <w:rsid w:val="49CE2F18"/>
    <w:rsid w:val="4A1219B9"/>
    <w:rsid w:val="4A205E2E"/>
    <w:rsid w:val="4ADE773B"/>
    <w:rsid w:val="4B3A6FE7"/>
    <w:rsid w:val="4BAC2F53"/>
    <w:rsid w:val="4C1241B1"/>
    <w:rsid w:val="4C211F55"/>
    <w:rsid w:val="4C306087"/>
    <w:rsid w:val="4C5C4D3B"/>
    <w:rsid w:val="4C8F6EBF"/>
    <w:rsid w:val="4C915AE9"/>
    <w:rsid w:val="4CD772CF"/>
    <w:rsid w:val="508B166B"/>
    <w:rsid w:val="50901E52"/>
    <w:rsid w:val="50AB6231"/>
    <w:rsid w:val="522E6796"/>
    <w:rsid w:val="539773DC"/>
    <w:rsid w:val="5421565F"/>
    <w:rsid w:val="54396A84"/>
    <w:rsid w:val="54495E34"/>
    <w:rsid w:val="553C5611"/>
    <w:rsid w:val="55A60F8C"/>
    <w:rsid w:val="561476FE"/>
    <w:rsid w:val="56EF690F"/>
    <w:rsid w:val="5711061D"/>
    <w:rsid w:val="5769498C"/>
    <w:rsid w:val="57B23CF7"/>
    <w:rsid w:val="57FE5EE6"/>
    <w:rsid w:val="58005114"/>
    <w:rsid w:val="58573E5D"/>
    <w:rsid w:val="585D77E3"/>
    <w:rsid w:val="58663426"/>
    <w:rsid w:val="58EC3A8A"/>
    <w:rsid w:val="598C4B32"/>
    <w:rsid w:val="59B92527"/>
    <w:rsid w:val="59FF56D2"/>
    <w:rsid w:val="5A551748"/>
    <w:rsid w:val="5AF97761"/>
    <w:rsid w:val="5AFB4E8A"/>
    <w:rsid w:val="5BC0341A"/>
    <w:rsid w:val="5D37331E"/>
    <w:rsid w:val="5D680442"/>
    <w:rsid w:val="5D8851F8"/>
    <w:rsid w:val="5DD9BD59"/>
    <w:rsid w:val="5E764A19"/>
    <w:rsid w:val="5E804465"/>
    <w:rsid w:val="5EA04F5B"/>
    <w:rsid w:val="5EFB581D"/>
    <w:rsid w:val="5F367D70"/>
    <w:rsid w:val="5F460F35"/>
    <w:rsid w:val="5FA85454"/>
    <w:rsid w:val="5FBD1807"/>
    <w:rsid w:val="5FFBF642"/>
    <w:rsid w:val="6031310B"/>
    <w:rsid w:val="60582E95"/>
    <w:rsid w:val="60A051FA"/>
    <w:rsid w:val="60CA0A94"/>
    <w:rsid w:val="61A41828"/>
    <w:rsid w:val="620D0B5A"/>
    <w:rsid w:val="62A85B24"/>
    <w:rsid w:val="62DA3B7B"/>
    <w:rsid w:val="62DE69B8"/>
    <w:rsid w:val="63660A3F"/>
    <w:rsid w:val="64633ABD"/>
    <w:rsid w:val="648C7B20"/>
    <w:rsid w:val="64B654D9"/>
    <w:rsid w:val="6563707A"/>
    <w:rsid w:val="6590181E"/>
    <w:rsid w:val="66282E41"/>
    <w:rsid w:val="66471729"/>
    <w:rsid w:val="66D567E5"/>
    <w:rsid w:val="671007B9"/>
    <w:rsid w:val="67672ABA"/>
    <w:rsid w:val="677B487F"/>
    <w:rsid w:val="67A621D7"/>
    <w:rsid w:val="68D858BA"/>
    <w:rsid w:val="68E9E395"/>
    <w:rsid w:val="68F24605"/>
    <w:rsid w:val="69443571"/>
    <w:rsid w:val="69E45CED"/>
    <w:rsid w:val="6A7E4C4C"/>
    <w:rsid w:val="6AEA7C1F"/>
    <w:rsid w:val="6B5E496D"/>
    <w:rsid w:val="6BF51E76"/>
    <w:rsid w:val="6C0E4FD4"/>
    <w:rsid w:val="6C9633C5"/>
    <w:rsid w:val="6CDA4698"/>
    <w:rsid w:val="6D4261A5"/>
    <w:rsid w:val="6D766A0F"/>
    <w:rsid w:val="6D8008ED"/>
    <w:rsid w:val="6DAD0789"/>
    <w:rsid w:val="6EB35C62"/>
    <w:rsid w:val="6EBC7287"/>
    <w:rsid w:val="6F315F7B"/>
    <w:rsid w:val="6FB5AB7F"/>
    <w:rsid w:val="6FB8EEFE"/>
    <w:rsid w:val="6FC4744F"/>
    <w:rsid w:val="7027096B"/>
    <w:rsid w:val="7029347D"/>
    <w:rsid w:val="710C6445"/>
    <w:rsid w:val="71236846"/>
    <w:rsid w:val="71854408"/>
    <w:rsid w:val="71C42522"/>
    <w:rsid w:val="729C0897"/>
    <w:rsid w:val="72B63290"/>
    <w:rsid w:val="73095109"/>
    <w:rsid w:val="73CA0659"/>
    <w:rsid w:val="73D95932"/>
    <w:rsid w:val="75654CE1"/>
    <w:rsid w:val="759959D3"/>
    <w:rsid w:val="7669611C"/>
    <w:rsid w:val="77464668"/>
    <w:rsid w:val="77655F55"/>
    <w:rsid w:val="77862AE9"/>
    <w:rsid w:val="77BE6557"/>
    <w:rsid w:val="782D419B"/>
    <w:rsid w:val="787F7BD2"/>
    <w:rsid w:val="788E58F4"/>
    <w:rsid w:val="7951505C"/>
    <w:rsid w:val="79886200"/>
    <w:rsid w:val="79C420A0"/>
    <w:rsid w:val="79F1799D"/>
    <w:rsid w:val="7A7D4257"/>
    <w:rsid w:val="7AB01A0F"/>
    <w:rsid w:val="7ABF906F"/>
    <w:rsid w:val="7B023082"/>
    <w:rsid w:val="7B3C18DF"/>
    <w:rsid w:val="7B66BDD6"/>
    <w:rsid w:val="7B72704F"/>
    <w:rsid w:val="7BCE666D"/>
    <w:rsid w:val="7BE44BE8"/>
    <w:rsid w:val="7C550B4E"/>
    <w:rsid w:val="7C6F3167"/>
    <w:rsid w:val="7C707DC2"/>
    <w:rsid w:val="7CC40E57"/>
    <w:rsid w:val="7DFB0025"/>
    <w:rsid w:val="7E511C25"/>
    <w:rsid w:val="7E7CB6F7"/>
    <w:rsid w:val="7EFE0857"/>
    <w:rsid w:val="7EFF47C8"/>
    <w:rsid w:val="7F5B2324"/>
    <w:rsid w:val="7FAC3308"/>
    <w:rsid w:val="7FB0146F"/>
    <w:rsid w:val="7FCB7D56"/>
    <w:rsid w:val="7FDF6988"/>
    <w:rsid w:val="9DFF8B2B"/>
    <w:rsid w:val="A7FDE100"/>
    <w:rsid w:val="B6EE6370"/>
    <w:rsid w:val="B7E68EAD"/>
    <w:rsid w:val="B8E15BA6"/>
    <w:rsid w:val="BFF75BD5"/>
    <w:rsid w:val="D7747F8E"/>
    <w:rsid w:val="DFF7F02C"/>
    <w:rsid w:val="EBBD8E9A"/>
    <w:rsid w:val="EFEDD357"/>
    <w:rsid w:val="F3F55A79"/>
    <w:rsid w:val="F5559920"/>
    <w:rsid w:val="F7DB5380"/>
    <w:rsid w:val="FAA19679"/>
    <w:rsid w:val="FBFD045B"/>
    <w:rsid w:val="FCFEBD69"/>
    <w:rsid w:val="FD7F2C81"/>
    <w:rsid w:val="FDDBB626"/>
    <w:rsid w:val="FEF43DF1"/>
    <w:rsid w:val="FFDEA84C"/>
    <w:rsid w:val="FFFF2E8B"/>
    <w:rsid w:val="FFFF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numPr>
        <w:ilvl w:val="0"/>
        <w:numId w:val="1"/>
      </w:numPr>
      <w:spacing w:line="480" w:lineRule="exact"/>
      <w:outlineLvl w:val="0"/>
    </w:pPr>
    <w:rPr>
      <w:rFonts w:ascii="宋体" w:hAnsi="宋体" w:cs="宋体"/>
      <w:b/>
      <w:sz w:val="24"/>
      <w:szCs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18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paragraph" w:styleId="11">
    <w:name w:val="annotation subject"/>
    <w:basedOn w:val="4"/>
    <w:next w:val="4"/>
    <w:link w:val="22"/>
    <w:unhideWhenUsed/>
    <w:qFormat/>
    <w:uiPriority w:val="99"/>
    <w:rPr>
      <w:b/>
      <w:bCs/>
    </w:rPr>
  </w:style>
  <w:style w:type="character" w:styleId="14">
    <w:name w:val="Emphasis"/>
    <w:qFormat/>
    <w:uiPriority w:val="20"/>
    <w:rPr>
      <w:i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标题 1 字符"/>
    <w:link w:val="2"/>
    <w:qFormat/>
    <w:uiPriority w:val="9"/>
    <w:rPr>
      <w:rFonts w:ascii="宋体" w:hAnsi="宋体" w:cs="宋体"/>
      <w:b/>
      <w:kern w:val="2"/>
      <w:sz w:val="24"/>
      <w:szCs w:val="21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link w:val="6"/>
    <w:semiHidden/>
    <w:qFormat/>
    <w:uiPriority w:val="99"/>
    <w:rPr>
      <w:rFonts w:cs="Times New Roman"/>
      <w:sz w:val="18"/>
      <w:szCs w:val="18"/>
    </w:rPr>
  </w:style>
  <w:style w:type="character" w:customStyle="1" w:styleId="19">
    <w:name w:val="页脚 字符"/>
    <w:link w:val="7"/>
    <w:qFormat/>
    <w:uiPriority w:val="99"/>
    <w:rPr>
      <w:rFonts w:cs="Times New Roman"/>
      <w:sz w:val="18"/>
      <w:szCs w:val="18"/>
    </w:rPr>
  </w:style>
  <w:style w:type="character" w:customStyle="1" w:styleId="20">
    <w:name w:val="页眉 字符"/>
    <w:link w:val="8"/>
    <w:qFormat/>
    <w:uiPriority w:val="99"/>
    <w:rPr>
      <w:rFonts w:cs="Times New Roman"/>
      <w:sz w:val="18"/>
      <w:szCs w:val="18"/>
    </w:rPr>
  </w:style>
  <w:style w:type="character" w:customStyle="1" w:styleId="21">
    <w:name w:val="副标题 字符"/>
    <w:link w:val="9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22">
    <w:name w:val="批注主题 字符"/>
    <w:link w:val="11"/>
    <w:semiHidden/>
    <w:qFormat/>
    <w:uiPriority w:val="99"/>
    <w:rPr>
      <w:b/>
      <w:bCs/>
      <w:kern w:val="2"/>
      <w:sz w:val="21"/>
      <w:szCs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4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highligh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1121</Characters>
  <Lines>1</Lines>
  <Paragraphs>1</Paragraphs>
  <TotalTime>2</TotalTime>
  <ScaleCrop>false</ScaleCrop>
  <LinksUpToDate>false</LinksUpToDate>
  <CharactersWithSpaces>1315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2025-09-06T11:12:00Z</dcterms:created>
  <dc:creator>Ziyi Liu</dc:creator>
  <cp:lastModifiedBy>刁文萱</cp:lastModifiedBy>
  <cp:lastPrinted>2026-06-11T07:56:00Z</cp:lastPrinted>
  <dcterms:modified xsi:type="dcterms:W3CDTF">2026-06-11T09:59:28Z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7E6304F9643D4C9F84B62ACFBFF5557C</vt:lpwstr>
  </property>
</Properties>
</file>