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E33D">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14:paraId="28F34A71">
      <w:pPr>
        <w:widowControl/>
        <w:jc w:val="center"/>
        <w:rPr>
          <w:rFonts w:hint="eastAsia" w:ascii="宋体" w:hAnsi="宋体"/>
          <w:bCs/>
          <w:iCs/>
          <w:color w:val="000000"/>
          <w:sz w:val="24"/>
        </w:rPr>
      </w:pPr>
    </w:p>
    <w:p w14:paraId="187B9C22">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14:paraId="592177FA">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14:paraId="7404916D">
      <w:pPr>
        <w:spacing w:line="360" w:lineRule="auto"/>
        <w:rPr>
          <w:rFonts w:hint="default" w:ascii="宋体" w:hAnsi="宋体" w:eastAsia="宋体"/>
          <w:bCs/>
          <w:iCs/>
          <w:color w:val="000000"/>
          <w:szCs w:val="21"/>
          <w:highlight w:val="yellow"/>
          <w:lang w:val="en-US" w:eastAsia="zh-CN"/>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w:t>
      </w:r>
      <w:r>
        <w:rPr>
          <w:rFonts w:hint="eastAsia" w:ascii="宋体" w:hAnsi="宋体"/>
          <w:bCs/>
          <w:iCs/>
          <w:color w:val="000000"/>
          <w:szCs w:val="21"/>
          <w:lang w:val="en-US" w:eastAsia="zh-CN"/>
        </w:rPr>
        <w:t>6</w:t>
      </w:r>
      <w:r>
        <w:rPr>
          <w:rFonts w:ascii="宋体" w:hAnsi="宋体"/>
          <w:bCs/>
          <w:iCs/>
          <w:color w:val="000000"/>
          <w:szCs w:val="21"/>
        </w:rPr>
        <w:t>-</w:t>
      </w:r>
      <w:r>
        <w:rPr>
          <w:rFonts w:hint="eastAsia" w:ascii="宋体" w:hAnsi="宋体"/>
          <w:bCs/>
          <w:iCs/>
          <w:color w:val="000000"/>
          <w:szCs w:val="21"/>
          <w:highlight w:val="none"/>
          <w:lang w:val="en-US" w:eastAsia="zh-CN"/>
        </w:rPr>
        <w:t>02</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14:paraId="2DA1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E4BFA1B">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14:paraId="73C6D338">
            <w:pPr>
              <w:spacing w:line="360" w:lineRule="auto"/>
              <w:jc w:val="left"/>
              <w:rPr>
                <w:rFonts w:hint="eastAsia" w:ascii="宋体" w:hAnsi="宋体"/>
                <w:bCs/>
                <w:iCs/>
                <w:color w:val="000000"/>
                <w:szCs w:val="21"/>
              </w:rPr>
            </w:pPr>
            <w:r>
              <w:rPr>
                <w:rFonts w:hint="eastAsia" w:ascii="宋体" w:hAnsi="宋体"/>
                <w:bCs/>
                <w:iCs/>
                <w:color w:val="000000"/>
                <w:szCs w:val="21"/>
                <w:lang w:eastAsia="zh-CN"/>
              </w:rPr>
              <w:t>☑</w:t>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hint="eastAsia" w:ascii="宋体" w:hAnsi="宋体"/>
                <w:color w:val="000000"/>
                <w:szCs w:val="21"/>
                <w:lang w:eastAsia="zh-CN"/>
              </w:rPr>
              <w:t>□</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sym w:font="Wingdings 2" w:char="00A3"/>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14:paraId="69F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47" w:type="dxa"/>
            <w:vAlign w:val="center"/>
          </w:tcPr>
          <w:p w14:paraId="3A8563EC">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14:paraId="7BD554DA">
            <w:pPr>
              <w:spacing w:line="276" w:lineRule="auto"/>
              <w:rPr>
                <w:rFonts w:hint="default" w:ascii="宋体" w:hAnsi="宋体"/>
                <w:bCs/>
                <w:iCs/>
                <w:color w:val="000000"/>
                <w:szCs w:val="21"/>
                <w:lang w:val="en-US" w:eastAsia="zh-CN"/>
              </w:rPr>
            </w:pPr>
            <w:r>
              <w:rPr>
                <w:rFonts w:hint="eastAsia" w:ascii="宋体" w:hAnsi="宋体"/>
                <w:bCs/>
                <w:iCs/>
                <w:color w:val="000000"/>
                <w:szCs w:val="21"/>
                <w:lang w:val="en-US" w:eastAsia="zh-CN"/>
              </w:rPr>
              <w:t>华泰证券、华源证券、东方财富证券、招商证券、中航证券、浙商证券、国都证券、国寿养老、招商基金、永赢基金、星石投资、海星股份</w:t>
            </w:r>
          </w:p>
        </w:tc>
      </w:tr>
      <w:tr w14:paraId="3EE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10F336D4">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14:paraId="5D8B2A92">
            <w:pPr>
              <w:spacing w:line="276" w:lineRule="auto"/>
              <w:rPr>
                <w:rFonts w:hint="default" w:ascii="宋体" w:hAnsi="宋体" w:eastAsia="宋体"/>
                <w:bCs/>
                <w:iCs/>
                <w:color w:val="000000"/>
                <w:szCs w:val="21"/>
                <w:lang w:val="en-US" w:eastAsia="zh-CN"/>
              </w:rPr>
            </w:pPr>
            <w:r>
              <w:rPr>
                <w:rFonts w:ascii="宋体" w:hAnsi="宋体"/>
                <w:bCs/>
                <w:iCs/>
                <w:color w:val="000000"/>
                <w:szCs w:val="21"/>
              </w:rPr>
              <w:t>202</w:t>
            </w:r>
            <w:r>
              <w:rPr>
                <w:rFonts w:hint="eastAsia" w:ascii="宋体" w:hAnsi="宋体"/>
                <w:bCs/>
                <w:iCs/>
                <w:color w:val="000000"/>
                <w:szCs w:val="21"/>
                <w:lang w:val="en-US" w:eastAsia="zh-CN"/>
              </w:rPr>
              <w:t>6年5月</w:t>
            </w:r>
          </w:p>
        </w:tc>
      </w:tr>
      <w:tr w14:paraId="440F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75D1681">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14:paraId="39351267">
            <w:pPr>
              <w:spacing w:line="276" w:lineRule="auto"/>
              <w:rPr>
                <w:rFonts w:hint="default" w:ascii="宋体" w:hAnsi="宋体" w:eastAsia="宋体"/>
                <w:bCs/>
                <w:iCs/>
                <w:color w:val="000000"/>
                <w:szCs w:val="21"/>
                <w:lang w:val="en-US" w:eastAsia="zh-CN"/>
              </w:rPr>
            </w:pPr>
            <w:r>
              <w:rPr>
                <w:rFonts w:hint="eastAsia" w:ascii="宋体" w:hAnsi="宋体"/>
                <w:bCs/>
                <w:iCs/>
                <w:color w:val="000000"/>
                <w:szCs w:val="21"/>
                <w:lang w:val="en-US" w:eastAsia="zh-CN"/>
              </w:rPr>
              <w:t>公司总部会议室</w:t>
            </w:r>
          </w:p>
        </w:tc>
      </w:tr>
      <w:tr w14:paraId="73B2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E565A95">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14:paraId="697FFD06">
            <w:pPr>
              <w:spacing w:line="276" w:lineRule="auto"/>
              <w:rPr>
                <w:rFonts w:hint="eastAsia" w:ascii="宋体" w:hAnsi="宋体" w:cs="宋体"/>
                <w:color w:val="000000"/>
                <w:kern w:val="0"/>
                <w:szCs w:val="21"/>
              </w:rPr>
            </w:pPr>
            <w:r>
              <w:rPr>
                <w:rFonts w:hint="eastAsia" w:ascii="宋体" w:hAnsi="宋体" w:cs="宋体"/>
                <w:color w:val="000000"/>
                <w:kern w:val="0"/>
                <w:szCs w:val="21"/>
              </w:rPr>
              <w:t xml:space="preserve">董事、副总经理、董事会秘书：郭晓雷 </w:t>
            </w:r>
          </w:p>
          <w:p w14:paraId="0E5F3186">
            <w:pPr>
              <w:spacing w:line="276" w:lineRule="auto"/>
              <w:rPr>
                <w:rFonts w:hint="eastAsia" w:ascii="宋体" w:hAnsi="宋体" w:cs="宋体"/>
                <w:color w:val="000000"/>
                <w:kern w:val="0"/>
                <w:szCs w:val="21"/>
              </w:rPr>
            </w:pPr>
            <w:r>
              <w:rPr>
                <w:rFonts w:hint="eastAsia" w:ascii="宋体" w:hAnsi="宋体" w:cs="宋体"/>
                <w:color w:val="000000"/>
                <w:kern w:val="0"/>
                <w:szCs w:val="21"/>
              </w:rPr>
              <w:t>投资者关系总监：孙宇翔</w:t>
            </w:r>
          </w:p>
          <w:p w14:paraId="41DDC3F2">
            <w:pPr>
              <w:spacing w:line="276" w:lineRule="auto"/>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证券部经理、证券事务代表：陈冬梅</w:t>
            </w:r>
          </w:p>
          <w:p w14:paraId="03078682">
            <w:pPr>
              <w:spacing w:line="276" w:lineRule="auto"/>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证券部副经理：王尧</w:t>
            </w:r>
          </w:p>
        </w:tc>
      </w:tr>
      <w:tr w14:paraId="2D4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28CCB7C">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14:paraId="5E672FAF">
            <w:pPr>
              <w:spacing w:before="156" w:beforeLines="50"/>
              <w:ind w:firstLine="420" w:firstLineChars="200"/>
              <w:rPr>
                <w:rFonts w:hint="eastAsia" w:ascii="宋体" w:hAnsi="宋体"/>
              </w:rPr>
            </w:pPr>
          </w:p>
        </w:tc>
        <w:tc>
          <w:tcPr>
            <w:tcW w:w="7088" w:type="dxa"/>
          </w:tcPr>
          <w:p w14:paraId="79D69BCC">
            <w:pPr>
              <w:spacing w:before="156" w:beforeLines="50"/>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1、公司目前稀土业务产能利用率情况如何，如何看待今年下半年稀土行情？</w:t>
            </w:r>
          </w:p>
          <w:p w14:paraId="2AA1E62A">
            <w:pPr>
              <w:spacing w:before="156" w:beforeLines="50"/>
              <w:ind w:firstLine="420" w:firstLineChars="200"/>
              <w:rPr>
                <w:rFonts w:hint="eastAsia" w:ascii="宋体" w:hAnsi="宋体" w:eastAsia="宋体" w:cs="宋体"/>
                <w:b w:val="0"/>
                <w:bCs w:val="0"/>
                <w:sz w:val="18"/>
                <w:szCs w:val="18"/>
                <w:lang w:val="en-US" w:eastAsia="zh-CN"/>
              </w:rPr>
            </w:pPr>
            <w:r>
              <w:rPr>
                <w:rFonts w:hint="eastAsia" w:ascii="宋体" w:hAnsi="宋体" w:eastAsia="宋体" w:cs="宋体"/>
                <w:b w:val="0"/>
                <w:bCs w:val="0"/>
                <w:lang w:val="en-US" w:eastAsia="zh-CN"/>
              </w:rPr>
              <w:t>答：公司稀土冶炼分离业务严格遵循国家产业政策指引开展。伴随着国内《稀土管理条例》全面实施，产业整合日益深化、指标管控有所收紧，稀土产品的供给弹性受到一定影响；需求端，以钕铁硼为代表的下游新型功能材料需求预计仍将继续保持较高增速，稀土行业供需格局有望持续改善，从而支撑产品价格并带动行业维持高景气运行。</w:t>
            </w:r>
          </w:p>
          <w:p w14:paraId="6B37AC66">
            <w:pPr>
              <w:spacing w:before="156" w:beforeLines="50"/>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2、公司收购的江阴加华工厂运行情况如何？</w:t>
            </w:r>
          </w:p>
          <w:p w14:paraId="15B46FCF">
            <w:pPr>
              <w:spacing w:before="156" w:beforeLines="50"/>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答：2025年，公司完成了对于江阴加华工厂的收购，江阴加华是一家稀土分离企业，以</w:t>
            </w:r>
            <w:r>
              <w:rPr>
                <w:rFonts w:hint="eastAsia" w:ascii="宋体" w:hAnsi="宋体" w:cs="宋体"/>
                <w:b w:val="0"/>
                <w:bCs w:val="0"/>
                <w:lang w:val="en-US" w:eastAsia="zh-CN"/>
              </w:rPr>
              <w:t>离子型稀土</w:t>
            </w:r>
            <w:r>
              <w:rPr>
                <w:rFonts w:hint="eastAsia" w:ascii="宋体" w:hAnsi="宋体" w:eastAsia="宋体" w:cs="宋体"/>
                <w:b w:val="0"/>
                <w:bCs w:val="0"/>
                <w:lang w:val="en-US" w:eastAsia="zh-CN"/>
              </w:rPr>
              <w:t>矿为</w:t>
            </w:r>
            <w:r>
              <w:rPr>
                <w:rFonts w:hint="eastAsia" w:ascii="宋体" w:hAnsi="宋体" w:cs="宋体"/>
                <w:b w:val="0"/>
                <w:bCs w:val="0"/>
                <w:lang w:val="en-US" w:eastAsia="zh-CN"/>
              </w:rPr>
              <w:t>主要</w:t>
            </w:r>
            <w:r>
              <w:rPr>
                <w:rFonts w:hint="eastAsia" w:ascii="宋体" w:hAnsi="宋体" w:eastAsia="宋体" w:cs="宋体"/>
                <w:b w:val="0"/>
                <w:bCs w:val="0"/>
                <w:lang w:val="en-US" w:eastAsia="zh-CN"/>
              </w:rPr>
              <w:t>原料，主要生产稀土氧化物</w:t>
            </w:r>
            <w:r>
              <w:rPr>
                <w:rFonts w:hint="eastAsia" w:ascii="宋体" w:hAnsi="宋体" w:cs="宋体"/>
                <w:b w:val="0"/>
                <w:bCs w:val="0"/>
                <w:lang w:val="en-US" w:eastAsia="zh-CN"/>
              </w:rPr>
              <w:t>、高纯稀土产品</w:t>
            </w:r>
            <w:r>
              <w:rPr>
                <w:rFonts w:hint="eastAsia" w:ascii="宋体" w:hAnsi="宋体" w:eastAsia="宋体" w:cs="宋体"/>
                <w:b w:val="0"/>
                <w:bCs w:val="0"/>
                <w:lang w:val="en-US" w:eastAsia="zh-CN"/>
              </w:rPr>
              <w:t>及稀土</w:t>
            </w:r>
            <w:r>
              <w:rPr>
                <w:rFonts w:hint="eastAsia" w:ascii="宋体" w:hAnsi="宋体" w:cs="宋体"/>
                <w:b w:val="0"/>
                <w:bCs w:val="0"/>
                <w:lang w:val="en-US" w:eastAsia="zh-CN"/>
              </w:rPr>
              <w:t>化合</w:t>
            </w:r>
            <w:r>
              <w:rPr>
                <w:rFonts w:hint="eastAsia" w:ascii="宋体" w:hAnsi="宋体" w:eastAsia="宋体" w:cs="宋体"/>
                <w:b w:val="0"/>
                <w:bCs w:val="0"/>
                <w:lang w:val="en-US" w:eastAsia="zh-CN"/>
              </w:rPr>
              <w:t>物</w:t>
            </w:r>
            <w:r>
              <w:rPr>
                <w:rFonts w:hint="eastAsia" w:ascii="宋体" w:hAnsi="宋体" w:cs="宋体"/>
                <w:b w:val="0"/>
                <w:bCs w:val="0"/>
                <w:lang w:val="en-US" w:eastAsia="zh-CN"/>
              </w:rPr>
              <w:t>等</w:t>
            </w:r>
            <w:r>
              <w:rPr>
                <w:rFonts w:hint="eastAsia" w:ascii="宋体" w:hAnsi="宋体" w:eastAsia="宋体" w:cs="宋体"/>
                <w:b w:val="0"/>
                <w:bCs w:val="0"/>
                <w:lang w:val="en-US" w:eastAsia="zh-CN"/>
              </w:rPr>
              <w:t>，核准的稀土分离能力为3800吨（RE0）/年。项目完成交割后，江阴加华工厂推进了安全环保全面升级，已于2026年3月完工，恢复正常生产运营，并有望充分受益于产品价格及中重稀土分离环节加工费的上涨，成为公司全年业绩的重要增长点之一。</w:t>
            </w:r>
          </w:p>
          <w:p w14:paraId="3D15CD6D">
            <w:pPr>
              <w:spacing w:before="156" w:beforeLines="50"/>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3、公司减持MP股票的情况以及后续考虑？</w:t>
            </w:r>
          </w:p>
          <w:p w14:paraId="598E9C15">
            <w:pPr>
              <w:spacing w:before="156" w:beforeLines="50"/>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答：截至 2025年12月31日，公司持有MP公司股份554</w:t>
            </w:r>
            <w:r>
              <w:rPr>
                <w:rFonts w:hint="eastAsia" w:ascii="宋体" w:hAnsi="宋体" w:cs="宋体"/>
                <w:b w:val="0"/>
                <w:bCs w:val="0"/>
                <w:lang w:val="en-US" w:eastAsia="zh-CN"/>
              </w:rPr>
              <w:t>.</w:t>
            </w:r>
            <w:r>
              <w:rPr>
                <w:rFonts w:hint="eastAsia" w:ascii="宋体" w:hAnsi="宋体" w:eastAsia="宋体" w:cs="宋体"/>
                <w:b w:val="0"/>
                <w:bCs w:val="0"/>
                <w:lang w:val="en-US" w:eastAsia="zh-CN"/>
              </w:rPr>
              <w:t>6</w:t>
            </w:r>
            <w:r>
              <w:rPr>
                <w:rFonts w:hint="eastAsia" w:ascii="宋体" w:hAnsi="宋体" w:cs="宋体"/>
                <w:b w:val="0"/>
                <w:bCs w:val="0"/>
                <w:lang w:val="en-US" w:eastAsia="zh-CN"/>
              </w:rPr>
              <w:t>1万</w:t>
            </w:r>
            <w:r>
              <w:rPr>
                <w:rFonts w:hint="eastAsia" w:ascii="宋体" w:hAnsi="宋体" w:eastAsia="宋体" w:cs="宋体"/>
                <w:b w:val="0"/>
                <w:bCs w:val="0"/>
                <w:lang w:val="en-US" w:eastAsia="zh-CN"/>
              </w:rPr>
              <w:t>股，2025年共减持股票约817万股。公司对MP公司的投资作为其他权益工具投资，该科目以公允价值计量且其变动计入其他综合收益（不影响当期损益）</w:t>
            </w:r>
            <w:r>
              <w:rPr>
                <w:rFonts w:hint="eastAsia" w:ascii="宋体" w:hAnsi="宋体" w:cs="宋体"/>
                <w:b w:val="0"/>
                <w:bCs w:val="0"/>
                <w:lang w:val="en-US" w:eastAsia="zh-CN"/>
              </w:rPr>
              <w:t>，减持的税后所得直接计入留存收益，用于公司经营发展以及回报股东。</w:t>
            </w:r>
            <w:r>
              <w:rPr>
                <w:rFonts w:hint="eastAsia" w:ascii="宋体" w:hAnsi="宋体" w:eastAsia="宋体" w:cs="宋体"/>
                <w:b w:val="0"/>
                <w:bCs w:val="0"/>
                <w:lang w:val="en-US" w:eastAsia="zh-CN"/>
              </w:rPr>
              <w:t>后续公司将根据自身资金需求对</w:t>
            </w:r>
            <w:r>
              <w:rPr>
                <w:rFonts w:hint="eastAsia" w:ascii="宋体" w:hAnsi="宋体" w:cs="宋体"/>
                <w:b w:val="0"/>
                <w:bCs w:val="0"/>
                <w:lang w:val="en-US" w:eastAsia="zh-CN"/>
              </w:rPr>
              <w:t>所持MP公司股份</w:t>
            </w:r>
            <w:r>
              <w:rPr>
                <w:rFonts w:hint="eastAsia" w:ascii="宋体" w:hAnsi="宋体" w:eastAsia="宋体" w:cs="宋体"/>
                <w:b w:val="0"/>
                <w:bCs w:val="0"/>
                <w:lang w:val="en-US" w:eastAsia="zh-CN"/>
              </w:rPr>
              <w:t>进行灵活处置。</w:t>
            </w:r>
          </w:p>
          <w:p w14:paraId="04184F84">
            <w:pPr>
              <w:spacing w:before="156" w:beforeLines="50"/>
              <w:ind w:firstLine="420" w:firstLineChars="200"/>
              <w:rPr>
                <w:rFonts w:hint="eastAsia" w:ascii="宋体" w:hAnsi="宋体" w:eastAsia="宋体" w:cs="宋体"/>
                <w:b w:val="0"/>
                <w:bCs w:val="0"/>
                <w:lang w:val="en-US" w:eastAsia="zh-CN"/>
              </w:rPr>
            </w:pPr>
            <w:r>
              <w:rPr>
                <w:rFonts w:hint="eastAsia" w:ascii="宋体" w:hAnsi="宋体" w:cs="宋体"/>
                <w:b w:val="0"/>
                <w:bCs w:val="0"/>
                <w:lang w:val="en-US" w:eastAsia="zh-CN"/>
              </w:rPr>
              <w:t>4</w:t>
            </w:r>
            <w:r>
              <w:rPr>
                <w:rFonts w:hint="eastAsia" w:ascii="宋体" w:hAnsi="宋体" w:eastAsia="宋体" w:cs="宋体"/>
                <w:b w:val="0"/>
                <w:bCs w:val="0"/>
                <w:lang w:val="en-US" w:eastAsia="zh-CN"/>
              </w:rPr>
              <w:t>、公司统筹推进集团级业财一体化平台建设最新进展，该业务未来的规划和期待达成的目标？</w:t>
            </w:r>
          </w:p>
          <w:p w14:paraId="307ADA98">
            <w:pPr>
              <w:spacing w:before="156" w:beforeLines="50"/>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答：集团级业财一体化信息平台是公司数字化转型的核心工程，也是提升管理效率、强化风险管控、支撑战略决策的重要基石。截至目前，平台核心功能已完成开发、测试及试点验证，各项性能指标达到预期，正处于全面上线的最后准备阶段，包括最终的数据迁移、用户培训及切换演练。公司正按计划全力推进，确保于今年12月底前实现全集团范围内的正式建成与上线运行。未来三年，公司将围绕“业财深度融合、数据驱动决策、风险实时防控”三大方向，持续挖掘平台价值。</w:t>
            </w:r>
          </w:p>
          <w:p w14:paraId="427B626C">
            <w:pPr>
              <w:spacing w:before="156" w:beforeLines="50"/>
              <w:ind w:firstLine="420" w:firstLineChars="200"/>
              <w:rPr>
                <w:rFonts w:hint="eastAsia" w:ascii="宋体" w:hAnsi="宋体" w:eastAsia="宋体" w:cs="宋体"/>
                <w:b w:val="0"/>
                <w:bCs w:val="0"/>
                <w:lang w:val="en-US" w:eastAsia="zh-CN"/>
              </w:rPr>
            </w:pPr>
            <w:r>
              <w:rPr>
                <w:rFonts w:hint="eastAsia" w:ascii="宋体" w:hAnsi="宋体" w:cs="宋体"/>
                <w:b w:val="0"/>
                <w:bCs w:val="0"/>
                <w:lang w:val="en-US" w:eastAsia="zh-CN"/>
              </w:rPr>
              <w:t>5</w:t>
            </w:r>
            <w:r>
              <w:rPr>
                <w:rFonts w:hint="eastAsia" w:ascii="宋体" w:hAnsi="宋体" w:eastAsia="宋体" w:cs="宋体"/>
                <w:b w:val="0"/>
                <w:bCs w:val="0"/>
                <w:lang w:val="en-US" w:eastAsia="zh-CN"/>
              </w:rPr>
              <w:t>、公司对于分红事项的决策主要有哪些考虑，未来是否会持续加大分红力度？</w:t>
            </w:r>
          </w:p>
          <w:p w14:paraId="582D3089">
            <w:pPr>
              <w:spacing w:before="156" w:beforeLines="50"/>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答：公司《未来三年（2026-2028年）股东回报规划》经2026年4月9日第九届董事会第七次会议审议通过。公司</w:t>
            </w:r>
            <w:r>
              <w:rPr>
                <w:rFonts w:hint="eastAsia" w:ascii="宋体" w:hAnsi="宋体" w:cs="宋体"/>
                <w:b w:val="0"/>
                <w:bCs w:val="0"/>
                <w:lang w:val="en-US" w:eastAsia="zh-CN"/>
              </w:rPr>
              <w:t>将</w:t>
            </w:r>
            <w:r>
              <w:rPr>
                <w:rFonts w:hint="eastAsia" w:ascii="宋体" w:hAnsi="宋体" w:eastAsia="宋体" w:cs="宋体"/>
                <w:b w:val="0"/>
                <w:bCs w:val="0"/>
                <w:lang w:val="en-US" w:eastAsia="zh-CN"/>
              </w:rPr>
              <w:t>按照上述规划的要求</w:t>
            </w:r>
            <w:r>
              <w:rPr>
                <w:rFonts w:hint="eastAsia" w:ascii="宋体" w:hAnsi="宋体" w:cs="宋体"/>
                <w:b w:val="0"/>
                <w:bCs w:val="0"/>
                <w:lang w:val="en-US" w:eastAsia="zh-CN"/>
              </w:rPr>
              <w:t>，综合平衡公司发展的资金需求和股东回报，</w:t>
            </w:r>
            <w:r>
              <w:rPr>
                <w:rFonts w:hint="eastAsia" w:ascii="宋体" w:hAnsi="宋体" w:eastAsia="宋体" w:cs="宋体"/>
                <w:b w:val="0"/>
                <w:bCs w:val="0"/>
                <w:lang w:val="en-US" w:eastAsia="zh-CN"/>
              </w:rPr>
              <w:t>合理提高分红率和股息率，提高分红的稳定性、及时性和可预期性。</w:t>
            </w:r>
          </w:p>
          <w:p w14:paraId="00049829">
            <w:pPr>
              <w:spacing w:before="156" w:beforeLines="50"/>
              <w:ind w:firstLine="420" w:firstLineChars="200"/>
              <w:rPr>
                <w:rFonts w:hint="eastAsia" w:ascii="宋体" w:hAnsi="宋体" w:eastAsia="宋体" w:cs="宋体"/>
                <w:b w:val="0"/>
                <w:bCs w:val="0"/>
                <w:lang w:val="en-US" w:eastAsia="zh-CN"/>
              </w:rPr>
            </w:pPr>
            <w:r>
              <w:rPr>
                <w:rFonts w:hint="eastAsia" w:ascii="宋体" w:hAnsi="宋体" w:cs="宋体"/>
                <w:b w:val="0"/>
                <w:bCs w:val="0"/>
                <w:lang w:val="en-US" w:eastAsia="zh-CN"/>
              </w:rPr>
              <w:t>6</w:t>
            </w:r>
            <w:r>
              <w:rPr>
                <w:rFonts w:hint="eastAsia" w:ascii="宋体" w:hAnsi="宋体" w:eastAsia="宋体" w:cs="宋体"/>
                <w:b w:val="0"/>
                <w:bCs w:val="0"/>
                <w:lang w:val="en-US" w:eastAsia="zh-CN"/>
              </w:rPr>
              <w:t>、近期公司推出回购计划的主要考量是什么？</w:t>
            </w:r>
          </w:p>
          <w:p w14:paraId="4FEC09D0">
            <w:pPr>
              <w:spacing w:before="156" w:beforeLines="50"/>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答：公司推出此次回购计划主要出于维护全体股东的利益、激励核心团队的积极性以及向市场传达公司对未来持续发展的信心等几方面考虑。公司计划将本次回购的股份用于开展股权激励</w:t>
            </w:r>
            <w:r>
              <w:rPr>
                <w:rFonts w:hint="eastAsia" w:ascii="宋体" w:hAnsi="宋体" w:cs="宋体"/>
                <w:b w:val="0"/>
                <w:bCs w:val="0"/>
                <w:lang w:val="en-US" w:eastAsia="zh-CN"/>
              </w:rPr>
              <w:t>或</w:t>
            </w:r>
            <w:r>
              <w:rPr>
                <w:rFonts w:hint="eastAsia" w:ascii="宋体" w:hAnsi="宋体" w:eastAsia="宋体" w:cs="宋体"/>
                <w:b w:val="0"/>
                <w:bCs w:val="0"/>
                <w:lang w:val="en-US" w:eastAsia="zh-CN"/>
              </w:rPr>
              <w:t>员工持股计划，激励对象拟向核心管理人员及技术（业务）骨干等对公司经营业绩和未来发展有直接影响的关键岗位人员倾斜，这将有助于建立、健全公司长效激励机制，贯彻以经营业</w:t>
            </w:r>
            <w:r>
              <w:rPr>
                <w:rFonts w:hint="eastAsia" w:ascii="宋体" w:hAnsi="宋体" w:cs="宋体"/>
                <w:b w:val="0"/>
                <w:bCs w:val="0"/>
                <w:lang w:val="en-US" w:eastAsia="zh-CN"/>
              </w:rPr>
              <w:t>绩为</w:t>
            </w:r>
            <w:r>
              <w:rPr>
                <w:rFonts w:hint="eastAsia" w:ascii="宋体" w:hAnsi="宋体" w:eastAsia="宋体" w:cs="宋体"/>
                <w:b w:val="0"/>
                <w:bCs w:val="0"/>
                <w:lang w:val="en-US" w:eastAsia="zh-CN"/>
              </w:rPr>
              <w:t>导向的“共创、共担、共赢、共享”的经营文化，并有效地将股东利益、公司利益和经营者个人利益结合在一起，打造利益共同体、事业共同体，并给公司、股东、核心经营团队带来更高效、更持久的回报。</w:t>
            </w:r>
          </w:p>
          <w:p w14:paraId="30F4A4DC">
            <w:pPr>
              <w:spacing w:before="156" w:beforeLines="50"/>
              <w:ind w:firstLine="420" w:firstLineChars="200"/>
              <w:rPr>
                <w:rFonts w:hint="eastAsia" w:ascii="宋体" w:hAnsi="宋体" w:eastAsia="宋体" w:cs="宋体"/>
                <w:b w:val="0"/>
                <w:bCs w:val="0"/>
                <w:lang w:val="en-US" w:eastAsia="zh-CN"/>
              </w:rPr>
            </w:pPr>
            <w:r>
              <w:rPr>
                <w:rFonts w:hint="eastAsia" w:ascii="宋体" w:hAnsi="宋体" w:cs="宋体"/>
                <w:b w:val="0"/>
                <w:bCs w:val="0"/>
                <w:lang w:val="en-US" w:eastAsia="zh-CN"/>
              </w:rPr>
              <w:t>7</w:t>
            </w:r>
            <w:r>
              <w:rPr>
                <w:rFonts w:hint="eastAsia" w:ascii="宋体" w:hAnsi="宋体" w:eastAsia="宋体" w:cs="宋体"/>
                <w:b w:val="0"/>
                <w:bCs w:val="0"/>
                <w:lang w:val="en-US" w:eastAsia="zh-CN"/>
              </w:rPr>
              <w:t>、如何看待未来稀土废料回收产业的发展？公司如何把握产业的发展机遇？</w:t>
            </w:r>
          </w:p>
          <w:p w14:paraId="6F757416">
            <w:pPr>
              <w:spacing w:before="156" w:beforeLines="50"/>
              <w:ind w:firstLine="420" w:firstLineChars="200"/>
              <w:rPr>
                <w:rFonts w:hint="default" w:cs="Times New Roman"/>
                <w:b/>
                <w:bCs/>
                <w:lang w:val="en-US" w:eastAsia="zh-CN"/>
              </w:rPr>
            </w:pPr>
            <w:r>
              <w:rPr>
                <w:rFonts w:hint="eastAsia" w:ascii="宋体" w:hAnsi="宋体" w:eastAsia="宋体" w:cs="宋体"/>
                <w:b w:val="0"/>
                <w:bCs w:val="0"/>
                <w:lang w:val="en-US" w:eastAsia="zh-CN"/>
              </w:rPr>
              <w:t>答：随着国内磁材行业的发展及产品产量的增加，钕铁硼废料的供应将随之增长；叠加早期风电、新能源汽车等下游产业报废周期的到来，钕铁硼拆解废料也将成为行业原料的重要补充渠道。多年以来，公司着力布局多元化原料获取渠道，通过长期与产业链上下游企业的深度合作在业内树立了良好的口碑，并与多家磁材厂建立了稳定的废料供应合作关系，保障了工厂原料的充足供应。根据公司发布的《2026-2028年发展规划》，公司将继续重视和发展废料回收业务，力争实现规划期末循环利用产能达到15,000吨/年的目标。</w:t>
            </w:r>
          </w:p>
        </w:tc>
      </w:tr>
      <w:tr w14:paraId="63FA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E908EEA">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14:paraId="4AC789B0">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14:paraId="5FCF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9F4BB5B">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14:paraId="0CC43FC5">
            <w:pPr>
              <w:spacing w:line="360" w:lineRule="auto"/>
              <w:jc w:val="center"/>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lang w:val="en-US" w:eastAsia="zh-CN"/>
              </w:rPr>
              <w:t>6</w:t>
            </w:r>
            <w:r>
              <w:rPr>
                <w:rFonts w:hint="eastAsia" w:ascii="宋体" w:hAnsi="宋体"/>
                <w:bCs/>
                <w:iCs/>
                <w:color w:val="000000"/>
                <w:szCs w:val="21"/>
              </w:rPr>
              <w:t>年</w:t>
            </w:r>
            <w:r>
              <w:rPr>
                <w:rFonts w:hint="eastAsia" w:ascii="宋体" w:hAnsi="宋体"/>
                <w:bCs/>
                <w:iCs/>
                <w:color w:val="000000"/>
                <w:szCs w:val="21"/>
                <w:lang w:val="en-US" w:eastAsia="zh-CN"/>
              </w:rPr>
              <w:t>6</w:t>
            </w:r>
            <w:r>
              <w:rPr>
                <w:rFonts w:hint="eastAsia" w:ascii="宋体" w:hAnsi="宋体"/>
                <w:bCs/>
                <w:iCs/>
                <w:color w:val="000000"/>
                <w:szCs w:val="21"/>
              </w:rPr>
              <w:t>月</w:t>
            </w:r>
            <w:r>
              <w:rPr>
                <w:rFonts w:hint="eastAsia" w:ascii="宋体" w:hAnsi="宋体"/>
                <w:bCs/>
                <w:iCs/>
                <w:color w:val="000000"/>
                <w:szCs w:val="21"/>
                <w:highlight w:val="none"/>
                <w:lang w:val="en-US" w:eastAsia="zh-CN"/>
              </w:rPr>
              <w:t>12</w:t>
            </w:r>
            <w:r>
              <w:rPr>
                <w:rFonts w:hint="eastAsia" w:ascii="宋体" w:hAnsi="宋体"/>
                <w:bCs/>
                <w:iCs/>
                <w:color w:val="000000"/>
                <w:szCs w:val="21"/>
              </w:rPr>
              <w:t>日</w:t>
            </w:r>
          </w:p>
        </w:tc>
      </w:tr>
      <w:bookmarkEnd w:id="0"/>
    </w:tbl>
    <w:p w14:paraId="264E70DC">
      <w:pPr>
        <w:widowControl/>
        <w:jc w:val="left"/>
        <w:rPr>
          <w:rFonts w:hint="eastAsia" w:ascii="仿宋" w:hAnsi="仿宋" w:eastAsia="仿宋"/>
          <w:sz w:val="28"/>
          <w:szCs w:val="28"/>
        </w:rPr>
      </w:pPr>
      <w:bookmarkStart w:id="2" w:name="_GoBack"/>
      <w:bookmarkEnd w:id="2"/>
    </w:p>
    <w:sectPr>
      <w:footerReference r:id="rId5" w:type="default"/>
      <w:footerReference r:id="rId6" w:type="even"/>
      <w:pgSz w:w="11906" w:h="16838"/>
      <w:pgMar w:top="1701" w:right="1797" w:bottom="1134" w:left="1797"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2BE8">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14:paraId="16671FD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8579">
    <w:pPr>
      <w:pStyle w:val="7"/>
      <w:framePr w:wrap="around" w:vAnchor="text" w:hAnchor="margin" w:xAlign="center" w:y="1"/>
      <w:rPr>
        <w:rStyle w:val="14"/>
      </w:rPr>
    </w:pPr>
    <w:r>
      <w:fldChar w:fldCharType="begin"/>
    </w:r>
    <w:r>
      <w:rPr>
        <w:rStyle w:val="14"/>
      </w:rPr>
      <w:instrText xml:space="preserve">PAGE  </w:instrText>
    </w:r>
    <w:r>
      <w:fldChar w:fldCharType="end"/>
    </w:r>
  </w:p>
  <w:p w14:paraId="7FA730D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1203A"/>
    <w:rsid w:val="00013509"/>
    <w:rsid w:val="00036947"/>
    <w:rsid w:val="000532C1"/>
    <w:rsid w:val="000550EB"/>
    <w:rsid w:val="0007285A"/>
    <w:rsid w:val="000731BB"/>
    <w:rsid w:val="00081574"/>
    <w:rsid w:val="000A4871"/>
    <w:rsid w:val="000A6FEC"/>
    <w:rsid w:val="000B37B1"/>
    <w:rsid w:val="000B620F"/>
    <w:rsid w:val="000B7E1C"/>
    <w:rsid w:val="000D7761"/>
    <w:rsid w:val="00126512"/>
    <w:rsid w:val="00176F31"/>
    <w:rsid w:val="00177EC3"/>
    <w:rsid w:val="00180568"/>
    <w:rsid w:val="001A04B5"/>
    <w:rsid w:val="001A09A4"/>
    <w:rsid w:val="001C1D99"/>
    <w:rsid w:val="001F4540"/>
    <w:rsid w:val="002001C1"/>
    <w:rsid w:val="00214702"/>
    <w:rsid w:val="0023626F"/>
    <w:rsid w:val="00273F00"/>
    <w:rsid w:val="00295305"/>
    <w:rsid w:val="002B7B99"/>
    <w:rsid w:val="002E1978"/>
    <w:rsid w:val="002F790C"/>
    <w:rsid w:val="0031359B"/>
    <w:rsid w:val="003543E6"/>
    <w:rsid w:val="003635FB"/>
    <w:rsid w:val="003751F0"/>
    <w:rsid w:val="003E0D6D"/>
    <w:rsid w:val="003F075D"/>
    <w:rsid w:val="00431FFB"/>
    <w:rsid w:val="004460E0"/>
    <w:rsid w:val="004C55DA"/>
    <w:rsid w:val="004D4ECC"/>
    <w:rsid w:val="004E149C"/>
    <w:rsid w:val="004E7079"/>
    <w:rsid w:val="004F5FC7"/>
    <w:rsid w:val="00503F30"/>
    <w:rsid w:val="00593A9B"/>
    <w:rsid w:val="005B097F"/>
    <w:rsid w:val="005B151D"/>
    <w:rsid w:val="005C1E93"/>
    <w:rsid w:val="005F33F1"/>
    <w:rsid w:val="0060780A"/>
    <w:rsid w:val="00621A53"/>
    <w:rsid w:val="006401DD"/>
    <w:rsid w:val="00650410"/>
    <w:rsid w:val="00656C48"/>
    <w:rsid w:val="00676A4E"/>
    <w:rsid w:val="00681D44"/>
    <w:rsid w:val="006924FD"/>
    <w:rsid w:val="006D761D"/>
    <w:rsid w:val="007549ED"/>
    <w:rsid w:val="0077568A"/>
    <w:rsid w:val="007A7D5B"/>
    <w:rsid w:val="007C2390"/>
    <w:rsid w:val="007C5823"/>
    <w:rsid w:val="007D4949"/>
    <w:rsid w:val="007E1E56"/>
    <w:rsid w:val="007E4551"/>
    <w:rsid w:val="007E7F4E"/>
    <w:rsid w:val="007F5049"/>
    <w:rsid w:val="007F51F0"/>
    <w:rsid w:val="00814133"/>
    <w:rsid w:val="008359E8"/>
    <w:rsid w:val="00836509"/>
    <w:rsid w:val="00871D04"/>
    <w:rsid w:val="0089239A"/>
    <w:rsid w:val="008C3B4A"/>
    <w:rsid w:val="008C44AA"/>
    <w:rsid w:val="008D5F92"/>
    <w:rsid w:val="008F346F"/>
    <w:rsid w:val="00905BC4"/>
    <w:rsid w:val="009456A9"/>
    <w:rsid w:val="00953981"/>
    <w:rsid w:val="009628D4"/>
    <w:rsid w:val="00992AD5"/>
    <w:rsid w:val="009B0861"/>
    <w:rsid w:val="009F4110"/>
    <w:rsid w:val="009F45A2"/>
    <w:rsid w:val="00A05D19"/>
    <w:rsid w:val="00A103B1"/>
    <w:rsid w:val="00A130E2"/>
    <w:rsid w:val="00A30EA4"/>
    <w:rsid w:val="00A46045"/>
    <w:rsid w:val="00A540D5"/>
    <w:rsid w:val="00A903B2"/>
    <w:rsid w:val="00AA3A2F"/>
    <w:rsid w:val="00AB65AE"/>
    <w:rsid w:val="00AC431B"/>
    <w:rsid w:val="00AE0CFB"/>
    <w:rsid w:val="00AE58F2"/>
    <w:rsid w:val="00AF6245"/>
    <w:rsid w:val="00B0411F"/>
    <w:rsid w:val="00B10F99"/>
    <w:rsid w:val="00B22C28"/>
    <w:rsid w:val="00B23358"/>
    <w:rsid w:val="00B34641"/>
    <w:rsid w:val="00B61496"/>
    <w:rsid w:val="00B61558"/>
    <w:rsid w:val="00B943F5"/>
    <w:rsid w:val="00BB0618"/>
    <w:rsid w:val="00BC283B"/>
    <w:rsid w:val="00BE138D"/>
    <w:rsid w:val="00BF20BB"/>
    <w:rsid w:val="00C00ED0"/>
    <w:rsid w:val="00C037C8"/>
    <w:rsid w:val="00C125C5"/>
    <w:rsid w:val="00C3495A"/>
    <w:rsid w:val="00C40C24"/>
    <w:rsid w:val="00C655A8"/>
    <w:rsid w:val="00C73011"/>
    <w:rsid w:val="00C74CFE"/>
    <w:rsid w:val="00C8030F"/>
    <w:rsid w:val="00CC0983"/>
    <w:rsid w:val="00CE0A43"/>
    <w:rsid w:val="00CE6605"/>
    <w:rsid w:val="00D03E6A"/>
    <w:rsid w:val="00D0557B"/>
    <w:rsid w:val="00D15A3A"/>
    <w:rsid w:val="00D16C08"/>
    <w:rsid w:val="00D23B76"/>
    <w:rsid w:val="00D346BD"/>
    <w:rsid w:val="00D35C68"/>
    <w:rsid w:val="00D41450"/>
    <w:rsid w:val="00D53AA6"/>
    <w:rsid w:val="00D5647D"/>
    <w:rsid w:val="00D70AE6"/>
    <w:rsid w:val="00D74D49"/>
    <w:rsid w:val="00DA7E5B"/>
    <w:rsid w:val="00DB45D0"/>
    <w:rsid w:val="00DE22B5"/>
    <w:rsid w:val="00E62C0E"/>
    <w:rsid w:val="00E877F5"/>
    <w:rsid w:val="00E91845"/>
    <w:rsid w:val="00E92BDF"/>
    <w:rsid w:val="00EA062D"/>
    <w:rsid w:val="00EC0E1C"/>
    <w:rsid w:val="00EC289B"/>
    <w:rsid w:val="00ED31BF"/>
    <w:rsid w:val="00F273B8"/>
    <w:rsid w:val="00F4436E"/>
    <w:rsid w:val="00F536E6"/>
    <w:rsid w:val="00F619A6"/>
    <w:rsid w:val="00F72C4E"/>
    <w:rsid w:val="00F958D0"/>
    <w:rsid w:val="00FA38A8"/>
    <w:rsid w:val="00FA7A09"/>
    <w:rsid w:val="00FB5270"/>
    <w:rsid w:val="00FD2C33"/>
    <w:rsid w:val="035E62A9"/>
    <w:rsid w:val="0C1C4875"/>
    <w:rsid w:val="0E9771F2"/>
    <w:rsid w:val="0ECB5A9B"/>
    <w:rsid w:val="115D3D0D"/>
    <w:rsid w:val="1CAB2405"/>
    <w:rsid w:val="1E38504E"/>
    <w:rsid w:val="222A111F"/>
    <w:rsid w:val="28A91541"/>
    <w:rsid w:val="2C0B44D1"/>
    <w:rsid w:val="2DD8111C"/>
    <w:rsid w:val="30F228E0"/>
    <w:rsid w:val="31B04883"/>
    <w:rsid w:val="36C22E36"/>
    <w:rsid w:val="3878105D"/>
    <w:rsid w:val="3A8638A8"/>
    <w:rsid w:val="3ED65E91"/>
    <w:rsid w:val="40075FB4"/>
    <w:rsid w:val="40692574"/>
    <w:rsid w:val="41C10393"/>
    <w:rsid w:val="4599357F"/>
    <w:rsid w:val="5539593A"/>
    <w:rsid w:val="58535244"/>
    <w:rsid w:val="5CC34FC4"/>
    <w:rsid w:val="5D864CC7"/>
    <w:rsid w:val="5E0F28E8"/>
    <w:rsid w:val="5FE86BB1"/>
    <w:rsid w:val="60F224FB"/>
    <w:rsid w:val="62EC076F"/>
    <w:rsid w:val="63133F4E"/>
    <w:rsid w:val="658E7179"/>
    <w:rsid w:val="6AC94A9A"/>
    <w:rsid w:val="759A0CAC"/>
    <w:rsid w:val="B8DF46EA"/>
    <w:rsid w:val="BB77B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 w:type="paragraph" w:customStyle="1" w:styleId="2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SC</Company>
  <Pages>3</Pages>
  <Words>1760</Words>
  <Characters>1833</Characters>
  <Lines>74</Lines>
  <Paragraphs>53</Paragraphs>
  <TotalTime>15</TotalTime>
  <ScaleCrop>false</ScaleCrop>
  <LinksUpToDate>false</LinksUpToDate>
  <CharactersWithSpaces>1959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2025-05-08T01:01:00Z</dcterms:created>
  <dc:creator>Li</dc:creator>
  <cp:lastModifiedBy>chendm</cp:lastModifiedBy>
  <cp:lastPrinted>2010-08-04T22:50:00Z</cp:lastPrinted>
  <dcterms:modified xsi:type="dcterms:W3CDTF">2026-06-12T08:54:56Z</dcterms:modified>
  <dc:title>四川省上市公司协会文件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0182983502D94D6AB2659CF8A1F47704_13</vt:lpwstr>
  </property>
  <property fmtid="{D5CDD505-2E9C-101B-9397-08002B2CF9AE}" pid="4" name="KSOTemplateDocerSaveRecord">
    <vt:lpwstr>eyJoZGlkIjoiY2YwZWVjYmM2OTViOTQzMTVkZDU5ZGY3ZjQyZWJmZmIiLCJ1c2VySWQiOiI3OTU5OTU1OTgifQ==</vt:lpwstr>
  </property>
</Properties>
</file>