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BF972">
      <w:pPr>
        <w:spacing w:before="156" w:beforeLines="50" w:after="156" w:afterLines="50" w:line="400" w:lineRule="exact"/>
        <w:rPr>
          <w:rFonts w:ascii="Times New Roman" w:hAnsi="Times New Roman" w:eastAsia="宋体" w:cs="Times New Roman"/>
          <w:bCs/>
          <w:iCs/>
          <w:color w:val="000000"/>
          <w:sz w:val="24"/>
          <w:szCs w:val="24"/>
        </w:rPr>
      </w:pPr>
      <w:r>
        <w:rPr>
          <w:rFonts w:ascii="Times New Roman" w:hAnsi="宋体" w:eastAsia="宋体" w:cs="Times New Roman"/>
          <w:bCs/>
          <w:iCs/>
          <w:color w:val="000000"/>
          <w:sz w:val="24"/>
          <w:szCs w:val="24"/>
        </w:rPr>
        <w:t>证券代码：</w:t>
      </w:r>
      <w:r>
        <w:rPr>
          <w:rFonts w:ascii="Times New Roman" w:hAnsi="Times New Roman" w:eastAsia="宋体" w:cs="Times New Roman"/>
          <w:bCs/>
          <w:iCs/>
          <w:color w:val="000000"/>
          <w:sz w:val="24"/>
          <w:szCs w:val="24"/>
        </w:rPr>
        <w:t xml:space="preserve"> </w:t>
      </w:r>
      <w:r>
        <w:rPr>
          <w:rFonts w:ascii="Times New Roman" w:hAnsi="Times New Roman" w:eastAsia="宋体" w:cs="Times New Roman"/>
          <w:color w:val="000000"/>
          <w:sz w:val="24"/>
          <w:szCs w:val="24"/>
        </w:rPr>
        <w:t xml:space="preserve">600579                             </w:t>
      </w:r>
      <w:r>
        <w:rPr>
          <w:rFonts w:ascii="Times New Roman" w:hAnsi="宋体" w:eastAsia="宋体" w:cs="Times New Roman"/>
          <w:bCs/>
          <w:iCs/>
          <w:color w:val="000000"/>
          <w:sz w:val="24"/>
          <w:szCs w:val="24"/>
        </w:rPr>
        <w:t>证券简称：</w:t>
      </w:r>
      <w:r>
        <w:rPr>
          <w:rFonts w:hint="eastAsia" w:ascii="Times New Roman" w:hAnsi="宋体" w:eastAsia="宋体" w:cs="Times New Roman"/>
          <w:bCs/>
          <w:iCs/>
          <w:color w:val="000000"/>
          <w:sz w:val="24"/>
          <w:szCs w:val="24"/>
        </w:rPr>
        <w:t>中化装备</w:t>
      </w:r>
    </w:p>
    <w:p w14:paraId="4BAD4ADA">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rPr>
        <w:t>中化装备科技</w:t>
      </w:r>
      <w:r>
        <w:rPr>
          <w:rFonts w:ascii="宋体" w:hAnsi="宋体" w:eastAsia="宋体" w:cs="Times New Roman"/>
          <w:b/>
          <w:bCs/>
          <w:iCs/>
          <w:color w:val="000000"/>
          <w:sz w:val="32"/>
          <w:szCs w:val="32"/>
        </w:rPr>
        <w:t>(青岛)股份有限公司</w:t>
      </w:r>
      <w:r>
        <w:rPr>
          <w:rFonts w:hint="eastAsia" w:ascii="宋体" w:hAnsi="宋体" w:eastAsia="宋体" w:cs="Times New Roman"/>
          <w:b/>
          <w:bCs/>
          <w:iCs/>
          <w:color w:val="000000"/>
          <w:sz w:val="32"/>
          <w:szCs w:val="32"/>
        </w:rPr>
        <w:t>投资者关系活动记录表</w:t>
      </w:r>
    </w:p>
    <w:p w14:paraId="521D6F20">
      <w:pPr>
        <w:spacing w:line="400" w:lineRule="exact"/>
        <w:rPr>
          <w:rFonts w:ascii="Times New Roman" w:hAnsi="Times New Roman" w:eastAsia="宋体" w:cs="Times New Roman"/>
          <w:bCs/>
          <w:iCs/>
          <w:color w:val="000000"/>
          <w:sz w:val="24"/>
          <w:szCs w:val="24"/>
        </w:rPr>
      </w:pPr>
      <w:r>
        <w:rPr>
          <w:rFonts w:hint="eastAsia" w:ascii="宋体" w:hAnsi="宋体" w:eastAsia="宋体" w:cs="Times New Roman"/>
          <w:bCs/>
          <w:iCs/>
          <w:color w:val="000000"/>
          <w:sz w:val="24"/>
          <w:szCs w:val="24"/>
        </w:rPr>
        <w:t xml:space="preserve">                                                     </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11CA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667C422">
            <w:pPr>
              <w:spacing w:line="420" w:lineRule="exact"/>
              <w:jc w:val="center"/>
              <w:rPr>
                <w:rFonts w:ascii="Times New Roman" w:hAnsi="Times New Roman" w:eastAsia="宋体" w:cs="Times New Roman"/>
                <w:bCs/>
                <w:iCs/>
                <w:color w:val="000000"/>
                <w:sz w:val="24"/>
                <w:szCs w:val="24"/>
              </w:rPr>
            </w:pPr>
            <w:r>
              <w:rPr>
                <w:rFonts w:ascii="Times New Roman" w:hAnsi="宋体" w:eastAsia="宋体" w:cs="Times New Roman"/>
                <w:bCs/>
                <w:iCs/>
                <w:color w:val="000000"/>
                <w:kern w:val="0"/>
                <w:sz w:val="24"/>
                <w:szCs w:val="24"/>
              </w:rPr>
              <w:t>投资者关系活动类别</w:t>
            </w:r>
          </w:p>
        </w:tc>
        <w:tc>
          <w:tcPr>
            <w:tcW w:w="6847" w:type="dxa"/>
            <w:tcBorders>
              <w:top w:val="single" w:color="auto" w:sz="4" w:space="0"/>
              <w:left w:val="single" w:color="auto" w:sz="4" w:space="0"/>
              <w:bottom w:val="single" w:color="auto" w:sz="4" w:space="0"/>
              <w:right w:val="single" w:color="auto" w:sz="4" w:space="0"/>
            </w:tcBorders>
          </w:tcPr>
          <w:p w14:paraId="25DC1CAD">
            <w:pPr>
              <w:spacing w:line="420" w:lineRule="exac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特定对象调研</w:t>
            </w:r>
            <w:r>
              <w:rPr>
                <w:rFonts w:ascii="Times New Roman" w:hAnsi="Times New Roman" w:eastAsia="宋体" w:cs="Times New Roman"/>
                <w:kern w:val="0"/>
                <w:sz w:val="24"/>
                <w:szCs w:val="24"/>
              </w:rPr>
              <w:t xml:space="preserve">        </w:t>
            </w: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分析师会议</w:t>
            </w:r>
          </w:p>
          <w:p w14:paraId="0844E7E7">
            <w:pPr>
              <w:spacing w:line="420" w:lineRule="exact"/>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媒体采访</w:t>
            </w:r>
            <w:r>
              <w:rPr>
                <w:rFonts w:ascii="Times New Roman" w:hAnsi="Times New Roman" w:eastAsia="宋体" w:cs="Times New Roman"/>
                <w:kern w:val="0"/>
                <w:sz w:val="24"/>
                <w:szCs w:val="24"/>
              </w:rPr>
              <w:t xml:space="preserve">            </w:t>
            </w:r>
            <w:r>
              <w:rPr>
                <w:rFonts w:hint="eastAsia" w:ascii="Times New Roman" w:hAnsi="Times New Roman" w:eastAsia="宋体" w:cs="Times New Roman"/>
                <w:bCs/>
                <w:iCs/>
                <w:color w:val="000000"/>
                <w:kern w:val="0"/>
                <w:sz w:val="24"/>
                <w:szCs w:val="24"/>
              </w:rPr>
              <w:t>√</w:t>
            </w:r>
            <w:r>
              <w:rPr>
                <w:rFonts w:ascii="Times New Roman" w:hAnsi="宋体" w:eastAsia="宋体" w:cs="Times New Roman"/>
                <w:kern w:val="0"/>
                <w:sz w:val="24"/>
                <w:szCs w:val="24"/>
              </w:rPr>
              <w:t>业绩说明会</w:t>
            </w:r>
          </w:p>
          <w:p w14:paraId="56812E3B">
            <w:pPr>
              <w:spacing w:line="420" w:lineRule="exact"/>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新闻发布会</w:t>
            </w:r>
            <w:r>
              <w:rPr>
                <w:rFonts w:ascii="Times New Roman" w:hAnsi="Times New Roman" w:eastAsia="宋体" w:cs="Times New Roman"/>
                <w:kern w:val="0"/>
                <w:sz w:val="24"/>
                <w:szCs w:val="24"/>
              </w:rPr>
              <w:t xml:space="preserve">          </w:t>
            </w: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路演活动</w:t>
            </w:r>
          </w:p>
          <w:p w14:paraId="34D778CF">
            <w:pPr>
              <w:tabs>
                <w:tab w:val="left" w:pos="3045"/>
                <w:tab w:val="center" w:pos="3199"/>
              </w:tabs>
              <w:spacing w:line="420" w:lineRule="exact"/>
              <w:rPr>
                <w:rFonts w:ascii="Times New Roman" w:hAnsi="Times New Roman" w:eastAsia="宋体" w:cs="Times New Roman"/>
                <w:bCs/>
                <w:iCs/>
                <w:color w:val="000000"/>
                <w:kern w:val="0"/>
                <w:sz w:val="24"/>
                <w:szCs w:val="24"/>
              </w:rPr>
            </w:pP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现场参观</w:t>
            </w:r>
            <w:r>
              <w:rPr>
                <w:rFonts w:ascii="Times New Roman" w:hAnsi="Times New Roman" w:eastAsia="宋体" w:cs="Times New Roman"/>
                <w:bCs/>
                <w:iCs/>
                <w:color w:val="000000"/>
                <w:kern w:val="0"/>
                <w:sz w:val="24"/>
                <w:szCs w:val="24"/>
              </w:rPr>
              <w:tab/>
            </w:r>
          </w:p>
          <w:p w14:paraId="49425BD7">
            <w:pPr>
              <w:tabs>
                <w:tab w:val="center" w:pos="3199"/>
              </w:tabs>
              <w:spacing w:line="420" w:lineRule="exac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kern w:val="0"/>
                <w:sz w:val="24"/>
                <w:szCs w:val="24"/>
              </w:rPr>
              <w:t>□</w:t>
            </w:r>
            <w:r>
              <w:rPr>
                <w:rFonts w:hint="eastAsia" w:ascii="Times New Roman" w:hAnsi="Times New Roman" w:eastAsia="宋体" w:cs="Times New Roman"/>
                <w:bCs/>
                <w:iCs/>
                <w:color w:val="000000"/>
                <w:kern w:val="0"/>
                <w:sz w:val="24"/>
                <w:szCs w:val="24"/>
              </w:rPr>
              <w:t xml:space="preserve"> </w:t>
            </w:r>
            <w:r>
              <w:rPr>
                <w:rFonts w:ascii="Times New Roman" w:hAnsi="宋体" w:eastAsia="宋体" w:cs="Times New Roman"/>
                <w:kern w:val="0"/>
                <w:sz w:val="24"/>
                <w:szCs w:val="24"/>
              </w:rPr>
              <w:t>其他</w:t>
            </w:r>
            <w:r>
              <w:rPr>
                <w:rFonts w:ascii="Times New Roman" w:hAnsi="Times New Roman" w:eastAsia="宋体" w:cs="Times New Roman"/>
                <w:kern w:val="0"/>
                <w:sz w:val="24"/>
                <w:szCs w:val="24"/>
              </w:rPr>
              <w:t xml:space="preserve"> </w:t>
            </w:r>
          </w:p>
        </w:tc>
      </w:tr>
      <w:tr w14:paraId="5E8E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9514A0C">
            <w:pPr>
              <w:spacing w:line="420" w:lineRule="exact"/>
              <w:jc w:val="center"/>
              <w:rPr>
                <w:rFonts w:ascii="Times New Roman" w:hAnsi="宋体" w:eastAsia="宋体" w:cs="Times New Roman"/>
                <w:bCs/>
                <w:iCs/>
                <w:color w:val="000000"/>
                <w:kern w:val="0"/>
                <w:sz w:val="24"/>
                <w:szCs w:val="24"/>
              </w:rPr>
            </w:pPr>
            <w:r>
              <w:rPr>
                <w:rFonts w:hint="eastAsia" w:ascii="Times New Roman" w:hAnsi="宋体" w:eastAsia="宋体" w:cs="Times New Roman"/>
                <w:bCs/>
                <w:iCs/>
                <w:color w:val="000000"/>
                <w:kern w:val="0"/>
                <w:sz w:val="24"/>
                <w:szCs w:val="24"/>
              </w:rPr>
              <w:t>参与单位名称及</w:t>
            </w:r>
          </w:p>
          <w:p w14:paraId="66AB880D">
            <w:pPr>
              <w:spacing w:line="420" w:lineRule="exact"/>
              <w:jc w:val="center"/>
              <w:rPr>
                <w:rFonts w:ascii="Times New Roman" w:hAnsi="宋体" w:eastAsia="宋体" w:cs="Times New Roman"/>
                <w:bCs/>
                <w:iCs/>
                <w:color w:val="000000"/>
                <w:kern w:val="0"/>
                <w:sz w:val="24"/>
                <w:szCs w:val="24"/>
              </w:rPr>
            </w:pPr>
            <w:r>
              <w:rPr>
                <w:rFonts w:hint="eastAsia" w:ascii="Times New Roman" w:hAnsi="宋体" w:eastAsia="宋体" w:cs="Times New Roman"/>
                <w:bCs/>
                <w:iCs/>
                <w:color w:val="000000"/>
                <w:kern w:val="0"/>
                <w:sz w:val="24"/>
                <w:szCs w:val="24"/>
              </w:rPr>
              <w:t>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5D8F53CE">
            <w:pPr>
              <w:spacing w:line="420" w:lineRule="exac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投资者网上提问</w:t>
            </w:r>
          </w:p>
        </w:tc>
      </w:tr>
      <w:tr w14:paraId="0EE5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91AA239">
            <w:pPr>
              <w:spacing w:line="420" w:lineRule="exact"/>
              <w:jc w:val="center"/>
              <w:rPr>
                <w:rFonts w:ascii="Times New Roman" w:hAnsi="Times New Roman" w:eastAsia="宋体" w:cs="Times New Roman"/>
                <w:bCs/>
                <w:iCs/>
                <w:color w:val="000000"/>
                <w:kern w:val="0"/>
                <w:sz w:val="24"/>
                <w:szCs w:val="24"/>
              </w:rPr>
            </w:pPr>
            <w:r>
              <w:rPr>
                <w:rFonts w:ascii="Times New Roman" w:hAnsi="宋体" w:eastAsia="宋体" w:cs="Times New Roman"/>
                <w:bCs/>
                <w:iCs/>
                <w:color w:val="000000"/>
                <w:kern w:val="0"/>
                <w:sz w:val="24"/>
                <w:szCs w:val="24"/>
              </w:rPr>
              <w:t>时间</w:t>
            </w:r>
          </w:p>
        </w:tc>
        <w:tc>
          <w:tcPr>
            <w:tcW w:w="6847" w:type="dxa"/>
            <w:tcBorders>
              <w:top w:val="single" w:color="auto" w:sz="4" w:space="0"/>
              <w:left w:val="single" w:color="auto" w:sz="4" w:space="0"/>
              <w:bottom w:val="single" w:color="auto" w:sz="4" w:space="0"/>
              <w:right w:val="single" w:color="auto" w:sz="4" w:space="0"/>
            </w:tcBorders>
          </w:tcPr>
          <w:p w14:paraId="1DCE5028">
            <w:pPr>
              <w:spacing w:line="420" w:lineRule="exac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6</w:t>
            </w:r>
            <w:r>
              <w:rPr>
                <w:rFonts w:ascii="Times New Roman" w:hAnsi="Times New Roman" w:eastAsia="宋体" w:cs="Times New Roman"/>
                <w:bCs/>
                <w:iCs/>
                <w:color w:val="000000"/>
                <w:sz w:val="24"/>
                <w:szCs w:val="24"/>
              </w:rPr>
              <w:t>年</w:t>
            </w:r>
            <w:r>
              <w:rPr>
                <w:rFonts w:hint="eastAsia" w:ascii="Times New Roman" w:hAnsi="Times New Roman" w:eastAsia="宋体" w:cs="Times New Roman"/>
                <w:bCs/>
                <w:iCs/>
                <w:color w:val="000000"/>
                <w:sz w:val="24"/>
                <w:szCs w:val="24"/>
                <w:lang w:val="en-US" w:eastAsia="zh-CN"/>
              </w:rPr>
              <w:t>6</w:t>
            </w:r>
            <w:r>
              <w:rPr>
                <w:rFonts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17</w:t>
            </w:r>
            <w:r>
              <w:rPr>
                <w:rFonts w:ascii="Times New Roman" w:hAnsi="Times New Roman" w:eastAsia="宋体" w:cs="Times New Roman"/>
                <w:bCs/>
                <w:iCs/>
                <w:color w:val="000000"/>
                <w:sz w:val="24"/>
                <w:szCs w:val="24"/>
              </w:rPr>
              <w:t>日</w:t>
            </w:r>
            <w:r>
              <w:rPr>
                <w:rFonts w:hint="eastAsia" w:ascii="Times New Roman" w:hAnsi="Times New Roman" w:eastAsia="宋体" w:cs="Times New Roman"/>
                <w:bCs/>
                <w:iCs/>
                <w:color w:val="000000"/>
                <w:sz w:val="24"/>
                <w:szCs w:val="24"/>
              </w:rPr>
              <w:t>下午</w:t>
            </w:r>
            <w:r>
              <w:rPr>
                <w:rFonts w:ascii="Times New Roman" w:hAnsi="Times New Roman" w:eastAsia="宋体" w:cs="Times New Roman"/>
                <w:bCs/>
                <w:iCs/>
                <w:color w:val="000000"/>
                <w:sz w:val="24"/>
                <w:szCs w:val="24"/>
              </w:rPr>
              <w:t xml:space="preserve"> 13:30-14:30</w:t>
            </w:r>
          </w:p>
        </w:tc>
      </w:tr>
      <w:tr w14:paraId="3E05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208391B">
            <w:pPr>
              <w:spacing w:line="420" w:lineRule="exact"/>
              <w:jc w:val="center"/>
              <w:rPr>
                <w:rFonts w:ascii="Times New Roman" w:hAnsi="Times New Roman" w:eastAsia="宋体" w:cs="Times New Roman"/>
                <w:bCs/>
                <w:iCs/>
                <w:color w:val="000000"/>
                <w:kern w:val="0"/>
                <w:sz w:val="24"/>
                <w:szCs w:val="24"/>
              </w:rPr>
            </w:pPr>
            <w:r>
              <w:rPr>
                <w:rFonts w:ascii="Times New Roman" w:hAnsi="宋体" w:eastAsia="宋体" w:cs="Times New Roman"/>
                <w:bCs/>
                <w:iCs/>
                <w:color w:val="000000"/>
                <w:kern w:val="0"/>
                <w:sz w:val="24"/>
                <w:szCs w:val="24"/>
              </w:rPr>
              <w:t>地点</w:t>
            </w:r>
          </w:p>
        </w:tc>
        <w:tc>
          <w:tcPr>
            <w:tcW w:w="6847" w:type="dxa"/>
            <w:tcBorders>
              <w:top w:val="single" w:color="auto" w:sz="4" w:space="0"/>
              <w:left w:val="single" w:color="auto" w:sz="4" w:space="0"/>
              <w:bottom w:val="single" w:color="auto" w:sz="4" w:space="0"/>
              <w:right w:val="single" w:color="auto" w:sz="4" w:space="0"/>
            </w:tcBorders>
          </w:tcPr>
          <w:p w14:paraId="308373FC">
            <w:pPr>
              <w:spacing w:line="420" w:lineRule="exac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同花顺路演平台</w:t>
            </w:r>
            <w:r>
              <w:rPr>
                <w:rFonts w:hint="eastAsia" w:ascii="宋体" w:hAnsi="宋体" w:eastAsia="宋体" w:cs="宋体"/>
                <w:color w:val="000000"/>
                <w:kern w:val="0"/>
                <w:sz w:val="24"/>
                <w:szCs w:val="24"/>
                <w:lang w:bidi="ar"/>
              </w:rPr>
              <w:t>（网址</w:t>
            </w:r>
            <w:r>
              <w:rPr>
                <w:rFonts w:hint="eastAsia" w:ascii="宋体" w:hAnsi="宋体" w:eastAsia="宋体" w:cs="宋体"/>
                <w:color w:val="000000"/>
                <w:kern w:val="0"/>
                <w:sz w:val="24"/>
                <w:szCs w:val="24"/>
                <w:lang w:eastAsia="zh-Hans" w:bidi="ar"/>
              </w:rPr>
              <w:t>：</w:t>
            </w:r>
            <w:r>
              <w:rPr>
                <w:rFonts w:hint="eastAsia" w:ascii="宋体" w:hAnsi="宋体" w:eastAsia="宋体" w:cs="宋体"/>
                <w:color w:val="000000"/>
                <w:kern w:val="0"/>
                <w:sz w:val="24"/>
                <w:szCs w:val="24"/>
                <w:lang w:val="en-US" w:eastAsia="zh-CN" w:bidi="ar"/>
              </w:rPr>
              <w:t>https://board.10jqka.com.cn/rs/pc/detail?roadshowId=1010833</w:t>
            </w:r>
            <w:r>
              <w:rPr>
                <w:rFonts w:hint="eastAsia" w:ascii="宋体" w:hAnsi="宋体" w:eastAsia="宋体" w:cs="宋体"/>
                <w:color w:val="000000"/>
                <w:kern w:val="0"/>
                <w:sz w:val="24"/>
                <w:szCs w:val="24"/>
                <w:lang w:bidi="ar"/>
              </w:rPr>
              <w:t>）</w:t>
            </w:r>
          </w:p>
        </w:tc>
      </w:tr>
      <w:tr w14:paraId="0A8C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04217A0">
            <w:pPr>
              <w:spacing w:line="420" w:lineRule="exact"/>
              <w:jc w:val="center"/>
              <w:rPr>
                <w:rFonts w:ascii="Times New Roman" w:hAnsi="Times New Roman" w:eastAsia="宋体" w:cs="Times New Roman"/>
                <w:bCs/>
                <w:iCs/>
                <w:color w:val="000000"/>
                <w:kern w:val="0"/>
                <w:sz w:val="24"/>
                <w:szCs w:val="24"/>
              </w:rPr>
            </w:pPr>
            <w:r>
              <w:rPr>
                <w:rFonts w:ascii="Times New Roman" w:hAnsi="宋体" w:eastAsia="宋体" w:cs="Times New Roman"/>
                <w:bCs/>
                <w:iCs/>
                <w:color w:val="000000"/>
                <w:kern w:val="0"/>
                <w:sz w:val="24"/>
                <w:szCs w:val="24"/>
              </w:rPr>
              <w:t>上市公司接待人员姓名</w:t>
            </w:r>
          </w:p>
        </w:tc>
        <w:tc>
          <w:tcPr>
            <w:tcW w:w="6847" w:type="dxa"/>
            <w:tcBorders>
              <w:top w:val="single" w:color="auto" w:sz="4" w:space="0"/>
              <w:left w:val="single" w:color="auto" w:sz="4" w:space="0"/>
              <w:bottom w:val="single" w:color="auto" w:sz="4" w:space="0"/>
              <w:right w:val="single" w:color="auto" w:sz="4" w:space="0"/>
            </w:tcBorders>
            <w:vAlign w:val="center"/>
          </w:tcPr>
          <w:p w14:paraId="378B9E00">
            <w:pPr>
              <w:spacing w:line="420" w:lineRule="exact"/>
              <w:rPr>
                <w:rFonts w:ascii="宋体" w:hAnsi="宋体" w:eastAsia="宋体" w:cs="Times New Roman"/>
                <w:bCs/>
                <w:sz w:val="24"/>
                <w:szCs w:val="24"/>
              </w:rPr>
            </w:pPr>
            <w:r>
              <w:rPr>
                <w:rFonts w:hint="eastAsia" w:ascii="宋体" w:hAnsi="宋体" w:eastAsia="宋体" w:cs="Times New Roman"/>
                <w:bCs/>
                <w:sz w:val="24"/>
                <w:szCs w:val="24"/>
              </w:rPr>
              <w:t>董事长</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总经理</w:t>
            </w:r>
            <w:r>
              <w:rPr>
                <w:rFonts w:hint="eastAsia" w:ascii="宋体" w:hAnsi="宋体" w:eastAsia="宋体" w:cs="Times New Roman"/>
                <w:bCs/>
                <w:sz w:val="24"/>
                <w:szCs w:val="24"/>
              </w:rPr>
              <w:t xml:space="preserve">： </w:t>
            </w:r>
            <w:r>
              <w:rPr>
                <w:rFonts w:ascii="宋体" w:hAnsi="宋体" w:eastAsia="宋体" w:cs="Times New Roman"/>
                <w:bCs/>
                <w:sz w:val="24"/>
                <w:szCs w:val="24"/>
              </w:rPr>
              <w:t xml:space="preserve">       </w:t>
            </w:r>
            <w:r>
              <w:rPr>
                <w:rFonts w:hint="eastAsia" w:ascii="宋体" w:hAnsi="宋体" w:eastAsia="宋体" w:cs="Times New Roman"/>
                <w:bCs/>
                <w:sz w:val="24"/>
                <w:szCs w:val="24"/>
              </w:rPr>
              <w:t xml:space="preserve">张 </w:t>
            </w:r>
            <w:r>
              <w:rPr>
                <w:rFonts w:ascii="宋体" w:hAnsi="宋体" w:eastAsia="宋体" w:cs="Times New Roman"/>
                <w:bCs/>
                <w:sz w:val="24"/>
                <w:szCs w:val="24"/>
              </w:rPr>
              <w:t xml:space="preserve"> </w:t>
            </w:r>
            <w:r>
              <w:rPr>
                <w:rFonts w:hint="eastAsia" w:ascii="宋体" w:hAnsi="宋体" w:eastAsia="宋体" w:cs="Times New Roman"/>
                <w:bCs/>
                <w:sz w:val="24"/>
                <w:szCs w:val="24"/>
              </w:rPr>
              <w:t>驰</w:t>
            </w:r>
          </w:p>
          <w:p w14:paraId="191228FD">
            <w:pPr>
              <w:spacing w:line="420" w:lineRule="exact"/>
              <w:rPr>
                <w:rFonts w:ascii="宋体" w:hAnsi="宋体" w:eastAsia="宋体" w:cs="Times New Roman"/>
                <w:bCs/>
                <w:sz w:val="24"/>
                <w:szCs w:val="24"/>
              </w:rPr>
            </w:pPr>
            <w:r>
              <w:rPr>
                <w:rFonts w:hint="eastAsia" w:ascii="宋体" w:hAnsi="宋体" w:eastAsia="宋体" w:cs="Times New Roman"/>
                <w:bCs/>
                <w:sz w:val="24"/>
                <w:szCs w:val="24"/>
              </w:rPr>
              <w:t xml:space="preserve">独立董事：    </w:t>
            </w:r>
            <w:r>
              <w:rPr>
                <w:rFonts w:ascii="宋体" w:hAnsi="宋体" w:eastAsia="宋体" w:cs="Times New Roman"/>
                <w:bCs/>
                <w:sz w:val="24"/>
                <w:szCs w:val="24"/>
              </w:rPr>
              <w:t xml:space="preserve">          </w:t>
            </w:r>
            <w:r>
              <w:rPr>
                <w:rFonts w:hint="eastAsia" w:ascii="宋体" w:hAnsi="宋体" w:eastAsia="宋体" w:cs="Times New Roman"/>
                <w:bCs/>
                <w:sz w:val="24"/>
                <w:szCs w:val="24"/>
              </w:rPr>
              <w:t>马战坤</w:t>
            </w:r>
          </w:p>
          <w:p w14:paraId="1D023106">
            <w:pPr>
              <w:spacing w:line="420" w:lineRule="exact"/>
              <w:rPr>
                <w:rFonts w:ascii="宋体" w:hAnsi="宋体" w:eastAsia="宋体" w:cs="Times New Roman"/>
                <w:bCs/>
                <w:sz w:val="24"/>
                <w:szCs w:val="24"/>
              </w:rPr>
            </w:pPr>
            <w:r>
              <w:rPr>
                <w:rFonts w:hint="eastAsia" w:ascii="宋体" w:hAnsi="宋体" w:eastAsia="宋体" w:cs="Times New Roman"/>
                <w:bCs/>
                <w:sz w:val="24"/>
                <w:szCs w:val="24"/>
              </w:rPr>
              <w:t xml:space="preserve">董事、财务负责人： </w:t>
            </w:r>
            <w:r>
              <w:rPr>
                <w:rFonts w:ascii="宋体" w:hAnsi="宋体" w:eastAsia="宋体" w:cs="Times New Roman"/>
                <w:bCs/>
                <w:sz w:val="24"/>
                <w:szCs w:val="24"/>
              </w:rPr>
              <w:t xml:space="preserve">     </w:t>
            </w:r>
            <w:r>
              <w:rPr>
                <w:rFonts w:hint="eastAsia" w:ascii="宋体" w:hAnsi="宋体" w:eastAsia="宋体" w:cs="Times New Roman"/>
                <w:bCs/>
                <w:sz w:val="24"/>
                <w:szCs w:val="24"/>
              </w:rPr>
              <w:t>李晓旭</w:t>
            </w:r>
          </w:p>
          <w:p w14:paraId="32914837">
            <w:pPr>
              <w:spacing w:line="420" w:lineRule="exact"/>
              <w:rPr>
                <w:rFonts w:ascii="宋体" w:hAnsi="宋体" w:eastAsia="宋体" w:cs="Times New Roman"/>
                <w:bCs/>
                <w:sz w:val="24"/>
                <w:szCs w:val="24"/>
              </w:rPr>
            </w:pPr>
            <w:r>
              <w:rPr>
                <w:rFonts w:hint="eastAsia" w:ascii="宋体" w:hAnsi="宋体" w:eastAsia="宋体" w:cs="Times New Roman"/>
                <w:bCs/>
                <w:sz w:val="24"/>
                <w:szCs w:val="24"/>
              </w:rPr>
              <w:t>副总经理、</w:t>
            </w:r>
            <w:r>
              <w:rPr>
                <w:rFonts w:ascii="宋体" w:hAnsi="宋体" w:eastAsia="宋体" w:cs="Times New Roman"/>
                <w:bCs/>
                <w:sz w:val="24"/>
                <w:szCs w:val="24"/>
              </w:rPr>
              <w:t>董事会秘书</w:t>
            </w:r>
            <w:r>
              <w:rPr>
                <w:rFonts w:hint="eastAsia" w:ascii="宋体" w:hAnsi="宋体" w:eastAsia="宋体" w:cs="Times New Roman"/>
                <w:bCs/>
                <w:sz w:val="24"/>
                <w:szCs w:val="24"/>
              </w:rPr>
              <w:t xml:space="preserve">：  </w:t>
            </w:r>
            <w:r>
              <w:rPr>
                <w:rFonts w:ascii="宋体" w:hAnsi="宋体" w:eastAsia="宋体" w:cs="Times New Roman"/>
                <w:bCs/>
                <w:sz w:val="24"/>
                <w:szCs w:val="24"/>
              </w:rPr>
              <w:t>张晓峰</w:t>
            </w:r>
          </w:p>
        </w:tc>
      </w:tr>
      <w:tr w14:paraId="4BC5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0BEB2C1">
            <w:pPr>
              <w:spacing w:line="420" w:lineRule="exact"/>
              <w:jc w:val="center"/>
              <w:rPr>
                <w:rFonts w:ascii="Times New Roman" w:hAnsi="Times New Roman" w:eastAsia="宋体" w:cs="Times New Roman"/>
                <w:bCs/>
                <w:iCs/>
                <w:color w:val="000000"/>
                <w:sz w:val="24"/>
                <w:szCs w:val="24"/>
              </w:rPr>
            </w:pPr>
            <w:r>
              <w:rPr>
                <w:rFonts w:ascii="Times New Roman" w:hAnsi="宋体" w:eastAsia="宋体" w:cs="Times New Roman"/>
                <w:bCs/>
                <w:iCs/>
                <w:color w:val="000000"/>
                <w:kern w:val="0"/>
                <w:sz w:val="24"/>
                <w:szCs w:val="24"/>
              </w:rPr>
              <w:t>投资者关系活动主要内容介绍</w:t>
            </w:r>
          </w:p>
        </w:tc>
        <w:tc>
          <w:tcPr>
            <w:tcW w:w="6847" w:type="dxa"/>
            <w:tcBorders>
              <w:top w:val="single" w:color="auto" w:sz="4" w:space="0"/>
              <w:left w:val="single" w:color="auto" w:sz="4" w:space="0"/>
              <w:bottom w:val="single" w:color="auto" w:sz="4" w:space="0"/>
              <w:right w:val="single" w:color="auto" w:sz="4" w:space="0"/>
            </w:tcBorders>
          </w:tcPr>
          <w:p w14:paraId="79638C16">
            <w:pPr>
              <w:widowControl/>
              <w:spacing w:after="160" w:line="360" w:lineRule="auto"/>
              <w:jc w:val="left"/>
              <w:rPr>
                <w:rFonts w:ascii="宋体" w:hAnsi="宋体" w:eastAsia="宋体" w:cs="宋体"/>
                <w:b/>
                <w:bCs/>
                <w:color w:val="000000"/>
                <w:kern w:val="0"/>
                <w:sz w:val="24"/>
                <w:lang w:bidi="ar"/>
              </w:rPr>
            </w:pPr>
            <w:r>
              <w:rPr>
                <w:rFonts w:hint="eastAsia" w:ascii="宋体" w:hAnsi="宋体" w:eastAsia="宋体" w:cs="宋体"/>
                <w:b/>
                <w:bCs/>
                <w:color w:val="000000"/>
                <w:kern w:val="0"/>
                <w:sz w:val="24"/>
                <w:szCs w:val="24"/>
                <w:lang w:bidi="ar"/>
              </w:rPr>
              <w:t xml:space="preserve">本次业绩说明会投资者提出的主要问题及公司的回复情况 </w:t>
            </w:r>
          </w:p>
          <w:p w14:paraId="3CCB7AB5">
            <w:pPr>
              <w:keepNext w:val="0"/>
              <w:keepLines w:val="0"/>
              <w:widowControl/>
              <w:suppressLineNumbers w:val="0"/>
              <w:spacing w:line="360" w:lineRule="auto"/>
              <w:ind w:firstLine="420" w:firstLineChars="0"/>
              <w:jc w:val="left"/>
              <w:rPr>
                <w:b/>
                <w:bCs/>
                <w:highlight w:val="none"/>
              </w:rPr>
            </w:pPr>
            <w:r>
              <w:rPr>
                <w:rFonts w:hint="eastAsia" w:ascii="宋体" w:hAnsi="宋体" w:eastAsia="宋体" w:cs="宋体"/>
                <w:b/>
                <w:bCs/>
                <w:color w:val="333333"/>
                <w:kern w:val="0"/>
                <w:sz w:val="24"/>
                <w:szCs w:val="24"/>
                <w:highlight w:val="none"/>
                <w:lang w:val="en-US" w:eastAsia="zh-CN" w:bidi="ar"/>
              </w:rPr>
              <w:t>问题1:重组什么时候恢复</w:t>
            </w:r>
          </w:p>
          <w:p w14:paraId="4968FBF9">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当前正加快完成评估材料和申报文件更新等工作，争取尽快向上交所申请恢复审核。同时，公司将根据事项进展及时履行信息披露义务，也提请投资者关注本次交易审核及实施的相关不确定性风险。感谢您的关注与支持！</w:t>
            </w:r>
          </w:p>
          <w:p w14:paraId="6B2921B8">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6月15日，国家发展改革委等五部门联合印发《关于开展重点行业节能降碳改造攻坚三年行动的通知》，跟上市公司有什么关系。如果2028年底前不能按期完成改造或改造后仍不符合要求的项目将被淘汰关停。上市公司也会被淘汰关停吗。</w:t>
            </w:r>
            <w:r>
              <w:rPr>
                <w:rFonts w:hint="eastAsia" w:ascii="宋体" w:hAnsi="宋体" w:eastAsia="宋体" w:cs="宋体"/>
                <w:color w:val="333333"/>
                <w:kern w:val="0"/>
                <w:sz w:val="24"/>
                <w:szCs w:val="24"/>
                <w:highlight w:val="none"/>
                <w:lang w:val="en-US" w:eastAsia="zh-CN" w:bidi="ar"/>
              </w:rPr>
              <w:t xml:space="preserve"> </w:t>
            </w:r>
          </w:p>
          <w:p w14:paraId="2AED645D">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公司主营业务为化工装备、橡胶机械的研发、制造、销售及配套技术服务，是面向石化、轮胎等行业的装备供应商，并非政策管控的高耗能生产企业。此次节能降碳三年行动，一方面会倒逼九大行业及下游轮胎、化工等客户加快老旧设备更新、实施产线节能改造，直接催生大量高效节能装备、余热回收设备、智能化产线的采购需求，对公司主业形成明确利好；另一方面，公司多款核心产品本身就是助力下游客户实现节能降碳的关键装备，包括废热锅炉等余热回收成套设备、电加热硫化机、节能型橡塑机械等，可帮助客户降低能耗、提升能效，深度契合本次政策导向。感谢您的关注与支持!</w:t>
            </w:r>
          </w:p>
          <w:p w14:paraId="3E3ADE8B">
            <w:pPr>
              <w:keepNext w:val="0"/>
              <w:keepLines w:val="0"/>
              <w:widowControl/>
              <w:suppressLineNumbers w:val="0"/>
              <w:spacing w:line="360" w:lineRule="auto"/>
              <w:ind w:firstLine="420" w:firstLineChars="0"/>
              <w:jc w:val="left"/>
              <w:rPr>
                <w:b/>
                <w:bCs/>
                <w:highlight w:val="none"/>
              </w:rPr>
            </w:pPr>
            <w:r>
              <w:rPr>
                <w:rFonts w:hint="eastAsia" w:ascii="宋体" w:hAnsi="宋体" w:eastAsia="宋体" w:cs="宋体"/>
                <w:b/>
                <w:bCs/>
                <w:color w:val="333333"/>
                <w:kern w:val="0"/>
                <w:sz w:val="24"/>
                <w:szCs w:val="24"/>
                <w:highlight w:val="none"/>
                <w:lang w:val="en-US" w:eastAsia="zh-CN" w:bidi="ar"/>
              </w:rPr>
              <w:t>问题3:4.30重组因资产评估报告过期而中止，加期评估工作是否要等到7月底8月初才会完成发布。上市公司会拖到7月底8月初吗</w:t>
            </w:r>
          </w:p>
          <w:p w14:paraId="0A80B0E0">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于4月30日因评估资料有效期届满依规中止重组审核，目前正联合中介机构全力推进加期评估与申报文件更新工作。截至当前，公司相关工作正在加速进行中。本次评估更新属于重组流程中的常规合规操作，后续一旦完成全部工作，公司将立即向上交所提交材料并申请恢复审核，相关进度会第一时间发布公告，请您持续关注并注意投资风险。</w:t>
            </w:r>
          </w:p>
          <w:p w14:paraId="139D9CFD">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问题4:上市公司5.8日已经参加了集体业绩说明会，本次6.17日又单独开的业绩说明会，是否有必要。上市公司是否有其他的重要事项，想向投资者传递的</w:t>
            </w:r>
          </w:p>
          <w:p w14:paraId="1C739071">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次业绩说明会是公司响应监管要求、常态化加强投资者沟通的正常安排，并非存在特殊重大事项。目前公司暂无应披露而未披露的重要事项，若后续发生相关重大事宜，将严格按照规定及时披露，请您持续关注公司后续公告。</w:t>
            </w:r>
          </w:p>
          <w:p w14:paraId="47076A29">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5:针对上市公司回购方案被否决，有人质疑，这个回购是必须要回购的，我个人觉得没有那个必要，现在上市公司是急等钱用的时候，把这1000万留着发展不更好吗。是强制要回购吗，是后面还必须要回购吗，麻烦上市公司澄清一下</w:t>
            </w:r>
          </w:p>
          <w:p w14:paraId="1FBF8779">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2013年9月10日，天华院出具了《关于以股份回购方式替代分红的承诺》，鉴于重组后上市公司存在巨额未弥补亏损，天华院将根据上海证券交易所规定的方式进行股份回购，回购股份所投入资金不低于当年合并报表实现净利润的10%。2025年度天华院合并报表实现净利润金额为人民币10,088.84万元，故公司拟执行上述以股份回购方式替代分红的承诺的回购股份金额应不低于人民币1,008.88万元，具体回购股份数量以回购结束时实际回购的股份数量为准，并在股东会审议通过本次回购股份方案后6个月内通过上海证券交易所集中竞价系统完成股份回购，并予以注销。感谢您的关注与支持！</w:t>
            </w:r>
          </w:p>
          <w:p w14:paraId="1D316BDD">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问题6:东方财富股吧里面，有一群人在诋毁上市公司，说上市公司要退市，骗子等等，上市公司是否要准备起诉这些人。别总是投资者维权，上市公司也应该维权。</w:t>
            </w:r>
          </w:p>
          <w:p w14:paraId="3BF92BD5">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感谢您提出的宝贵建议。我们已留意到股吧相关不实言论。公司将根据言论性质、情节轻重区分处理，视实际情况依法采取维权举措。同时我们会持续规范信息披露，第一时间澄清各类不实传言。感谢广大投资者的监督与支持，也提醒大家理性甄别网络信息。</w:t>
            </w:r>
          </w:p>
          <w:p w14:paraId="5E9ECC11">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问题7:2025年中化橡机在手订单同比下降22.22%，硫化设备毛利率为-9.23%。请问2026年上半年，中化橡机的新签订单和在手订单情况是否有改善？新签订单的毛利率水平是否已回升至正值？</w:t>
            </w:r>
          </w:p>
          <w:p w14:paraId="76E6FB90">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答:尊敬的投资者，您好！橡胶机械装备业务方面，受公司橡机业务组织架构优化及订单毛利整体不及预期等因素影响，相关业务订单承接规模阶段性收缩，新签订单量同比减少。感谢您的关注与支持！</w:t>
            </w:r>
          </w:p>
          <w:p w14:paraId="0DD7782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问题8:公司是否要面临ST为啥连年亏损而且亏损正在加大 是否有什么补救措施怎么样更好的正反馈给股东说好的重组 也一拖再拖是否重组要失败不失败的话能否给个明确的时间公司对未来有什么规划怎么样才能止损正向反馈股东是否有什么承诺给股东</w:t>
            </w:r>
          </w:p>
          <w:p w14:paraId="221A625A">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截至目前,公司不存在被实施风险警示的情形。公司当前仍聚焦主业,通过深入结合《"提质增效重回报"行动方案》,加快完善治理体系,持续推进组织机构和业务流程优化,持续提升抗风险能力,切实提升公司盈利能力，实现公司股价和股东利益的最大化。为改善公司财务状况以及维护投资者权益,2024年末公司完成重大资产重组,将KM集团控制权转让至装备香港，公司实现大幅减亏。此外,为进一步提升上市公司经营能力,提升资产质量,公司已于2025年7月经董事会审议通过了《关于公司发行股份购买资产并募集配套资金暨关联交易方案的议案》等议案,拟向关联方购买其持有的益阳橡机和北化机100%股权。本次交易完成后将实现益阳橡机、北化机注入上市公司,上市公司的营业收入规模及利润规模将进一步提升,同时提升上市公司在橡机与化机板块的行业竞争力。此外公司将进一步与中国中化系统内企业大力开展业务协同,推动上市公司生产经营态势稳定向好。并依托自身技术积累和优良制造传统,加快向中高端制造企业转型发展。感谢您的关注与支持!</w:t>
            </w:r>
          </w:p>
          <w:p w14:paraId="72E79BB3">
            <w:pPr>
              <w:keepNext w:val="0"/>
              <w:keepLines w:val="0"/>
              <w:widowControl/>
              <w:suppressLineNumbers w:val="0"/>
              <w:spacing w:line="360" w:lineRule="auto"/>
              <w:ind w:firstLine="420" w:firstLineChars="0"/>
              <w:jc w:val="left"/>
              <w:rPr>
                <w:b/>
                <w:bCs/>
                <w:highlight w:val="none"/>
              </w:rPr>
            </w:pPr>
            <w:r>
              <w:rPr>
                <w:rFonts w:hint="eastAsia" w:ascii="宋体" w:hAnsi="宋体" w:eastAsia="宋体" w:cs="宋体"/>
                <w:b/>
                <w:bCs/>
                <w:color w:val="333333"/>
                <w:kern w:val="0"/>
                <w:sz w:val="24"/>
                <w:szCs w:val="24"/>
                <w:highlight w:val="none"/>
                <w:lang w:val="en-US" w:eastAsia="zh-CN" w:bidi="ar"/>
              </w:rPr>
              <w:t>问题9:资产负债表，上市公司有大量的应收账款，对于应收账款的回款方面，上市公司都做了哪些工作</w:t>
            </w:r>
          </w:p>
          <w:p w14:paraId="125932F2">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感谢您对公司的关注。公司管理层高度重视应收账款管理工作，始终将回款作为核心经营任务之一，现阶段公司构建“业绩激励、法律追偿、专项清收攻坚、全流程常态化监控”四位一体管控体系，多措并举全力推进应收账款清理回收。后续公司将持续加强应收账款管理力度，优化客户信用管理，完善回款考核机制，切实防范坏账风险，保障公司资金安全和经营质量。</w:t>
            </w:r>
          </w:p>
          <w:p w14:paraId="0FDC0A85">
            <w:pPr>
              <w:keepNext w:val="0"/>
              <w:keepLines w:val="0"/>
              <w:widowControl/>
              <w:suppressLineNumbers w:val="0"/>
              <w:spacing w:line="360" w:lineRule="auto"/>
              <w:ind w:firstLine="420" w:firstLineChars="0"/>
              <w:jc w:val="left"/>
              <w:rPr>
                <w:b/>
                <w:bCs/>
                <w:highlight w:val="none"/>
              </w:rPr>
            </w:pPr>
            <w:r>
              <w:rPr>
                <w:rFonts w:hint="eastAsia" w:ascii="宋体" w:hAnsi="宋体" w:eastAsia="宋体" w:cs="宋体"/>
                <w:b/>
                <w:bCs/>
                <w:color w:val="333333"/>
                <w:kern w:val="0"/>
                <w:sz w:val="24"/>
                <w:szCs w:val="24"/>
                <w:highlight w:val="none"/>
                <w:lang w:val="en-US" w:eastAsia="zh-CN" w:bidi="ar"/>
              </w:rPr>
              <w:t>问题10:张弛先生您好！贵公司市值45亿亏损接近3分之一，请问如何稳定估值？重组中止还是终止？</w:t>
            </w:r>
          </w:p>
          <w:p w14:paraId="41EF5614">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二级市场市值受宏观环境、行业周期及市场情绪等多重因素影响，公司正全面落地提质增效重回报行动方案，持续优化组织架构与业务流程，全力提升盈利能力。公司正在实施的重大资产重组仅因评估资料到期依规中止审核，并非终止。目前公司正在组织中介机构加紧推进相关工作，后续一旦完成全部工作，公司将立即向上交所提交材料并申请恢复审核，相关进度会第一时间发布公告。本次重组完成后，将有助于优化公司业务与资产结构、提升行业竞争力并助力扭亏增盈，同时公司计划年内推进不低于1008.88万元的股份回购，持续做好信息披露与投资者沟通，以经营改善和资产整合的实际行动稳定估值、回报广大股东，感谢您的关注与支持！</w:t>
            </w:r>
          </w:p>
          <w:p w14:paraId="7E8AD6C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问题11:收购益阳橡机、北化机的重组项目，目前推进到哪一步，预计什么时间能够完成审批并入表，对今年业绩带来多少增量？</w:t>
            </w:r>
          </w:p>
          <w:p w14:paraId="5B23D68F">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于4月30日因评估资料有效期届满依规中止重组审核，目前正联合中介机构全力推进加期评估与申报文件更新工作。截至当前，公司相关工作正在加速进行中。本次评估更新属于重组流程中的常规合规操作，后续一旦完成全部工作，公司将立即向上交所提交材料并申请恢复审核，相关进度会第一时间发布公告，请您持续关注并注意投资风险。具体财务影响请参考2026年1月10日公告的《2024年及2025年1-8月备考审阅报告》。</w:t>
            </w:r>
          </w:p>
          <w:p w14:paraId="05E1BEC1">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问题12:啥时候st</w:t>
            </w:r>
          </w:p>
          <w:p w14:paraId="638513A6">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答:尊敬的投资者,您好!截至目前,公司不存在被实施风险警示的情形。</w:t>
            </w:r>
          </w:p>
          <w:p w14:paraId="551893A5">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 xml:space="preserve">问题13:刚刚财务说的中化装备整合三家橡胶机械企业是哪3家没有看 </w:t>
            </w:r>
          </w:p>
          <w:p w14:paraId="1D496243">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答:尊敬的投资者，您好！三家橡机分别为上市公司子公司中化（福建）橡塑机械有限公司、控股股东托管于上市公司的益阳橡胶塑料机械集团有限公司及桂林橡胶机械有限公司。感谢您的关注！</w:t>
            </w:r>
          </w:p>
          <w:p w14:paraId="7217ACCB">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问题14:重组终止了吗？</w:t>
            </w:r>
          </w:p>
          <w:p w14:paraId="63630C2C">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次重组并未终止，仅因评估资料到期依规中止审核，属于并购重组常规合规操作。目前公司正联合各中介机构全力推进加期评估与全套申报文件更新工作，相关材料完善后会立即向上交所提交并申请恢复审核，后续进度将第一时间公告，敬请留意公司披露信息并注意投资风险。</w:t>
            </w:r>
          </w:p>
          <w:p w14:paraId="47A002AF">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问题15:重组进度一个月披露一次，已经多久没出进度公告了？是否有违规披露</w:t>
            </w:r>
          </w:p>
          <w:p w14:paraId="52773C5B">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次重组仍在推进实施，目前仅因评估资料到期依规中止审核，属于并购重组常规合规操作，公司及各交易方正联合中介机构全力推进加期评估与全套申报文件更新工作，材料完备后将立即向上交所提交并申请恢复审核，相关进度会第一时间公告。感谢您的关注！</w:t>
            </w:r>
          </w:p>
          <w:p w14:paraId="0759E5F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问题16:公司连续多年实施“回购替代分红”，但2026年计划回购金额仅千万级别，相较公司市值回报率较低。在恢复现金分红之前，管理层是否考虑加大回购力度以更有效地提振市场信心和回报投资者？</w:t>
            </w:r>
          </w:p>
          <w:p w14:paraId="59AEA665">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始终严格按照相关监管要求履行承诺，积极推动本次回购替代分红承诺落地工作，切实维护广大投资者合法权益。根据法律法规和监管规则等相关规定，公司《关于拟执行以股份回购方式替代分红的承诺的议案》为股东会特别决议事项，需经出席会议股东所持表决权三分之二以上通过。公司2026年6月4日召开的2025年年度股东大会上，该议案由中小股东独立审议表决，因未达法定表决比例而未获通过。需要说明的是，股份回购替代分红是公司回馈全体投资者的实质性利好举措，能够有效增厚股东权益、稳定公司市值、切实保障中小投资者长远利益，是公司践行长期股东回报的重要举措。为妥善落实相关承诺、持续兑现股东回报责任，公司拟重新启动审议流程，将于近期再次召开股东会审议该议案，相关安排及后续进展将及时发布公告。公司始终坚持回馈投资者的发展理念，自2019年起已连续7年通过股份回购替代分红，累计回购金额近5000万元，以常态化实际行动回报广大股东。后续公司将持续深耕经营提质增效、推进价值提升与市值管理工作，稳步提升公司内在价值和股东回报水平。敬请广大投资者关注公司官方公告，理性投资、注意投资风险。感谢您的关注！</w:t>
            </w:r>
          </w:p>
          <w:p w14:paraId="53044D2B">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问题17:若收购北化机完成，其在氯碱电解装置、熔盐储能等领域的技术将注入上市公司。请问公司如何规划北化机与天华院在技术研发、市场开拓方面的协同？是否存在业务重叠或内部竞争的风险？</w:t>
            </w:r>
          </w:p>
          <w:p w14:paraId="6286B757">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北化机将与公司现有业务形成互补，助力公司拓展新能源等战略新赛道。技术研发方面，双方将聚焦新能源、节能环保等关键技术攻关，实现技术融合创新，打通技术资源共享通道，推动产品迭代，加速前沿技术产业化，构筑高端技术壁垒。市场开拓方面，北化机将与公司共享国内外客户资源与渠道，形成“传统化工+新兴能源”多元化市场布局，同时通过交叉销售拓展客户边界，依托整合服务体系提升市场竞争力。感谢您的关注与支持！</w:t>
            </w:r>
          </w:p>
          <w:p w14:paraId="7E6A3EFE">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问题18:2025年全年以及2026年一季度依旧亏损，剥离KM集团之后，上市公司本部计划在哪一年实现全年扭亏为盈，有无明确时间表？</w:t>
            </w:r>
          </w:p>
          <w:p w14:paraId="45BFCB07">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感谢您的关注，公司始终将提质增效、夯实经营业绩作为核心抓手，多措并举从根源优化财务基本面，力争为全体股东创造稳定可持续的回报，具体内容可以关注公司后续的定期报告。感谢您的关注！</w:t>
            </w:r>
          </w:p>
          <w:p w14:paraId="098E434F">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问题19:2025年全年以及2026年一季度依旧亏损，剥离KM集团之后，上市公司本部计划在哪一年实现全年扭亏为盈，有无明确时间表？</w:t>
            </w:r>
          </w:p>
          <w:p w14:paraId="20203629">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感谢您的关注，公司始终将提质增效、夯实经营业绩作为核心抓手，多措并举从根源优化财务基本面，力争为全体股东创造稳定可持续的回报，具体内容可以关注公司后续的定期报告。感谢您的关注！</w:t>
            </w:r>
          </w:p>
          <w:p w14:paraId="3BAA67CE">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问题20:董事长你好，股价连年新低，国资委没有任何动作维护股东利益吗？</w:t>
            </w:r>
          </w:p>
          <w:p w14:paraId="61D0F123">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次重组仍在推进实施，目前仅因评估资料到期依规中止审核，属于并购重组常规合规操作，公司及各交易方正联合中介机构全力推进加期评估与全套申报文件更新工作，材料完备后将立即向上交所提交并申请恢复审核，相关进度会第一时间公告。二级市场股价受宏观环境、行业周期、市场资金情绪等多重因素综合影响，公司及控股股东、国资委高度重视公司经营质量与全体股东权益。公司正持续落实提质增效、资产重组、投资者回报等各项市值提升举措，一方面加快本次重组落地优化资产结构、增厚盈利，另一方面推进股份回购方案、常态化开展投资者沟通，以经营基本面改善稳定公司内在价值，切实维护广大股东利益，敬请您持续关注公司公告，理性看待二级市场波动，注意投资风险。感谢您的关注与支持！</w:t>
            </w:r>
          </w:p>
          <w:p w14:paraId="5ECD1D68">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问题21:到底还重组不重组？请看看你公司的股价</w:t>
            </w:r>
          </w:p>
          <w:p w14:paraId="6E9E65D8">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次重组仍在推进实施，目前仅因评估资料到期依规中止审核，属于并购重组常规合规操作，公司及各交易方正联合中介机构全力推进加期评估与全套申报文件更新工作，材料完备后将立即向上交所提交并申请恢复审核，相关进度会第一时间公告。二级市场股价受宏观环境、行业周期、市场资金情绪等多重因素综合影响，公司及控股股东、国资委高度重视公司经营质量与全体股东权益。公司正持续落实提质增效、资产重组、投资者回报等各项市值提升举措，一方面加快本次重组落地优化资产结构、增厚盈利，另一方面推进股份回购方案、常态化开展投资者沟通，以经营基本面改善稳定公司内在价值，切实维护广大股东利益，敬请您持续关注公司公告，理性看待二级市场波动，注意投资风险。感谢您的关注与支持！</w:t>
            </w:r>
          </w:p>
          <w:p w14:paraId="30EE96D8">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问题22:重组什么时候恢复？有确定时间吗？</w:t>
            </w:r>
          </w:p>
          <w:p w14:paraId="19527050">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答:尊敬的投资者您好，目前公司正联合各中介机构全力推进本次重组加期评估与全套申报文件更新工作，相关材料完善后会立即向上交所提交并申请恢复审核，后续进度将第一时间公告。感谢您的关注与支持！</w:t>
            </w:r>
          </w:p>
          <w:p w14:paraId="737BF1F9">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23:贵公司截止今天两年累计跌幅达到50%。请问领导，公司一直号称回馈投资者，为何股价跌幅如此巨大，却没有有效手段提振投资者信心，今年的股份回购都无法通过。再次，贵公司互动问答是否古板公式化，股价还在低位就在强调风险，重大资产重组截止目前尚未恢复审查，效率或许低下</w:t>
            </w:r>
          </w:p>
          <w:p w14:paraId="4EC89897">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非常理解您因公司近两年股价累计跌幅较大产生的焦虑与不满，二级市场股价受宏观环境、行业周期、市场资金情绪等多重因素综合影响，公司管理层始终高度重视全体股东权益与市值表现，且公司长期推行回购替代分红安排，今年的回购方案议案此前未获股东会审议通过，目前计划再次召开股东会审议，后续将结合盈利、资金情况综合评估回购安排。关于互动问答回复，我们也会持续优化沟通方式，更充分回应大家合理诉求。再次感谢您的宝贵建议！</w:t>
            </w:r>
          </w:p>
          <w:p w14:paraId="3D2599D4">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问题24:二季度能否扭亏？并购重组是否已经暂停推进了了？</w:t>
            </w:r>
          </w:p>
          <w:p w14:paraId="576BBDDA">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本次重组并未终止，仅因评估资料到期依规中止审核，属于并购重组常规合规操作，目前公司正联合各中介机构全力推进加期评估与全套申报文件更新工作，相关材料完善后会立即向上交所提交并申请恢复审核，后续进度将第一时间公告。对于二季度业绩，公司在手化工装备订单储备充足，持续落实降本增效、优化高附加值订单结构等举措推动业绩修复，因受行业周期、项目交付节奏等多重因素影响，二季度能否实现扭亏存在不确定性，具体经营业绩请以公司后续定期报告为准，敬请留意公司披露信息并注意投资风险。感谢您的关注与支持！</w:t>
            </w:r>
          </w:p>
          <w:p w14:paraId="54FC958E">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25:6.10日，北化机3000Nm³/h常压碱性水电解制氢装置全球首发暨产业化落地发布会，这个产品之前不是参加了2025年、2026年的氢能展吗，既然产品参加氢能展，为什么6.10开的产品发布会，说是全球首发，是不是搞错了。</w:t>
            </w:r>
          </w:p>
          <w:p w14:paraId="19A5A03A">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25年、26年参加氢能展，主要是宣传氢能相关产品和技术，对外展示公司整体业务布局与研发实力。本次6月10日的产品发布会是公司自主研制的首套3000标方的电解槽交付客户前的展示。感谢您的关注与支持！</w:t>
            </w:r>
          </w:p>
          <w:p w14:paraId="08B7C0E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问题26:益阳橡机姚老板被带走，是否会影响中化装备的重组。购买一个没有内控的企业，有意义吗</w:t>
            </w:r>
          </w:p>
          <w:p w14:paraId="4C84CF41">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益阳橡机原高管姚宏建因涉嫌严重违纪违法接受纪委监委调查。本次调查仅针对涉事个人，益阳橡机及下属子公司并非调查对象，不构成本次重大资产重组的实质性障碍，目前企业生产经营运转正常。此次事件也将推动益阳橡机进一步强化内控与合规管理。益阳橡机具备扎实的技术实力与行业地位，本次重组是集团系统内整合装备板块、优化上市公司主业的重要举措，具备显著价值。公司将稳步推进重组各项工作，并第一时间披露后续进展，敬请关注公司公告并注意投资风险。感谢您的关注与支持！</w:t>
            </w:r>
          </w:p>
          <w:p w14:paraId="1E11314E">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问题27:重组益阳橡机两名高管同时被查，对重组有没有影响？</w:t>
            </w:r>
          </w:p>
          <w:p w14:paraId="2E206998">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益阳橡机两名高管（包括一名已退休人员）因涉嫌严重违纪违法接受纪委监委调查。本次调查仅针对涉事个人，益阳橡机及下属子公司并非调查对象，不构成本次重大资产重组的实质性障碍，目前企业生产经营运转正常。此次事件也将推动益阳橡机进一步强化内控与合规管理。益阳橡机具备扎实的技术实力与行业地位，本次重组是集团系统内整合装备板块、优化上市公司主业的重要举措，具备显著价值。公司将稳步推进重组各项工作，并第一时间披露后续进展，敬请关注公司公告并注意投资风险。感谢您的关注与支持！</w:t>
            </w:r>
          </w:p>
          <w:p w14:paraId="14A1060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问题28:介绍一下中化橡机的发展情况、吸收合并的情况</w:t>
            </w:r>
          </w:p>
          <w:p w14:paraId="00364E19">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中化橡机主营橡胶机械业务，2025年受行业景气度偏弱、客户结构单一、供应链成本上涨等影响出现亏损。目前公司正通过推进供应链降本、实施精益生产、优化订单结构、重点承接高附加值订单等举措改善经营状况。公司已于2025年12月31日审议通过吸收合并中化橡机议案，目前各项合并工作正依法依规有序推进，尚未完成。后续公司将加快相关工作进度，并严格按照监管要求及时披露进展，敬请广大投资者留意公司公告。感谢您的关注与支持!</w:t>
            </w:r>
          </w:p>
          <w:p w14:paraId="2E594E26">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问题29:北化机发布3000Nm³/h常压碱性水电解制氢装置，怎么理解这个常压，市场上有同类竞品吗</w:t>
            </w:r>
          </w:p>
          <w:p w14:paraId="37E3D29C">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常压按《水电解制氢系统技术要求》的划分来看是电解制氢系统（电解槽）运行压力＜0.1MPa。全球做氯碱的三大离子膜电解槽厂商都从氯碱转向常压电解水制氢工艺，国外有蒂森克虏伯和旭化成，国内以海德氢能为代表。感谢您的关注与支持！</w:t>
            </w:r>
          </w:p>
          <w:p w14:paraId="34AE1EA5">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问题30:北化机3000Nm³/h常压碱性水电解制氢装置全球首发暨产业化落地发布会。产业化落地落地是什么意思，产业化落地的意义是什么，另外这个产品产业化落地跟商业化有什么区别。</w:t>
            </w:r>
          </w:p>
          <w:p w14:paraId="358FEE17">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答:尊敬的投资者，您好！产业化是指电解水制氢电解槽产品首次下生产线，商业化是指签订销售合同，本次样机属于测试，而非销售。感谢您的关注与支持！</w:t>
            </w:r>
          </w:p>
          <w:p w14:paraId="42BF3E34">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问题31:益阳橡机作为“专精特新”企业，在产品、技术、客户渠道上与现有的中化橡机有何不同？</w:t>
            </w:r>
          </w:p>
          <w:p w14:paraId="60BBE357">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答:尊敬的投资者您好，益阳橡机作为国家级专精特新 “小巨人”企业，与公司现有中化橡机在产品结构、核心技术、客户渠道及市场定位上形成差异化互补，二者既有橡胶机械领域的协同基础，也存在清晰的业务分工，两家企业虽同属橡胶机械赛道，但主营产品矩阵、应用场景侧重明显不同。中化橡机产品聚焦轮胎硫化领域，核心为乘用胎、载重胎、工程胎及工程巨胎全系列硫化机，配套电气控制柜等相关设备，产品体系围绕轮胎硫化单一核心环节打造，业务集中度高，应用场景以各类轮胎制造为主。益阳橡机产品布局更加全面，形成密炼机、硫化机、挤出机三大主力产品矩阵，是行业内少数同时掌握炼胶、挤出、硫化全流程装备制造能力的企业。其拳头产品为大规格串联密炼机、啮合型密炼机，同时布局平板硫化机、双螺杆挤出机等，应用范围不再局限于轮胎行业，覆盖场景更广。中化橡机客户以全球轮胎制造企业为主，高度聚焦轮胎行业，益阳橡机客户呈现多元化、中高端化特征。除轮胎企业外，还有输送带、医用橡胶、线缆等非轮胎橡胶制品企业，客户覆盖面更广。感谢您的关注！</w:t>
            </w:r>
          </w:p>
          <w:p w14:paraId="3B1FF0BF">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问题32:收购益阳橡机、北化机的重组项目，目前推进到哪一步，预计什么时间能够完成审批并入表，对今年业绩带来多少增量？</w:t>
            </w:r>
          </w:p>
          <w:p w14:paraId="2C66DCDC">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于4月30日因评估资料有效期届满依规中止重组审核，目前正联合中介机构全力推进加期评估与申报文件更新工作。截至当前，公司相关工作正在加速进行中。本次评估更新属于重组流程中的常规合规操作，后续一旦完成全部工作，公司将立即向上交所提交材料并申请恢复审核，相关进度会第一时间发布公告，请您持续关注并注意投资风险。具体财务影响请参考2026年1月10日公告的《2024年 及2025年1-8月备考审阅报告》。感谢您的关注与支持！</w:t>
            </w:r>
          </w:p>
          <w:p w14:paraId="60A73374">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问题33:在加强应收账款回收和优化采购付款节奏方面采取了哪些量化管理措施？</w:t>
            </w:r>
          </w:p>
          <w:p w14:paraId="0C88FC0E">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
感谢您对公司的关注。公司管理层高度重视应收账款管理，始终把资金回款作为核心经营重点。现阶段公司已构建“业绩激励、法律追偿、专项清收攻坚、全流程常态化监控”四位一体管控体系，多管齐下推进应收账款清收处置。采购付款管理方面，公司依托DOP数字化管理系统打通采购、付款全流程线上一体化管控，统一统筹采购需求，精细化管控供应商账期，落实分级审批授权与集中统一支付机制。通过数字化平台统筹应收、应付两端现金流，合理匹配收支节奏，有效提升整体资金周转效率。后续公司将持续优化回款考核机制，深化采购付款预算精细化管理，从源头降低坏账风险，严守资金安全底线，稳步提升公司经营质量。</w:t>
            </w:r>
          </w:p>
          <w:p w14:paraId="7FCB00D8">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问题34:本次回购替代分红方案股东大会未通过，后续打算多久重新提交议案，还是会推出现金分红替代方案？会不会影响本次资产重组审核进度</w:t>
            </w:r>
          </w:p>
          <w:p w14:paraId="2A378C6D">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公司始终严格按照相关监管要求履行承诺，积极推动本次回购替代分红承诺落地工作，切实维护广大投资者合法权益。根据法律法规和监管规则等相关规定，公司《关于拟执行以股份回购方式替代分红的承诺的议案》为股东会特别决议事项，需经出席会议股东所持表决权三分之二以上通过。公司2026年6月4日召开的2025年年度股东大会上，该议案由中小股东独立审议表决，因未达法定表决比例而未获通过。需要说明的是，股份回购替代分红是公司回馈全体投资者的实质性利好举措，能够有效增厚股东权益、稳定公司市值、切实保障中小投资者长远利益，是公司践行长期股东回报的重要举措。为妥善落实相关承诺、持续兑现股东回报责任，公司拟重新启动审议流程，将于近期再次召开股东会审议该议案，相关安排及后续进展将及时发布公告。公司始终坚持回馈投资者的发展理念，自2019年起已连续7年通过股份回购替代分红，累计回购金额近5000万元，以常态化实际行动回报广大股东。后续公司将持续深耕经营提质增效、推进价值提升与市值管理工作，稳步提升公司内在价值和股东回报水平。</w:t>
            </w:r>
          </w:p>
          <w:p w14:paraId="1C2B82E6">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前述事项对本次重组没有实质性影响。敬请广大投资者关注公司官方公告，理性投资、注意投资风险。感谢您的关注！</w:t>
            </w:r>
          </w:p>
          <w:p w14:paraId="0AC43EA2">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问题35:节能降碳三年行动 ，上市公司的具体哪些产品可以适用钢铁、电解铝、水泥、平板玻璃、炼油、乙烯、合成氨、甲醇、煤电等9个重点行业的改造</w:t>
            </w:r>
          </w:p>
          <w:p w14:paraId="5B6193F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结合国家五部门《关于开展重点行业节能降碳改造攻坚三年行动的通知》要求，以及公司产品体系、应用场景，现将适配钢铁、电解铝、水泥、平板玻璃、炼油、乙烯、合成氨、甲醇、煤电九大重点行业节能降碳改造的各类产品详细说明如下，公司装备及配套产品可全面匹配上述行业工艺升级、能效提升、余热回收、环保治理、智能化改造等多元需求：</w:t>
            </w:r>
          </w:p>
          <w:p w14:paraId="035D5A5B">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一、通用类适配产品（九大行业均可应用）
该类产品为全行业节能降碳、智能化升级通用装备，覆盖生产、能耗管控、运维全流程：</w:t>
            </w:r>
          </w:p>
          <w:p w14:paraId="24CAB825">
            <w:pPr>
              <w:keepNext w:val="0"/>
              <w:keepLines w:val="0"/>
              <w:widowControl/>
              <w:suppressLineNumbers w:val="0"/>
              <w:spacing w:line="360" w:lineRule="auto"/>
              <w:ind w:firstLine="480" w:firstLineChars="200"/>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高效换热/余热回收装备：包括各类换热器、冷却器、废热锅炉、蒸发设备、干燥机组等，可帮助九大行业回收生产过程中的余热、余压，实现能量梯级利用，大幅降低综合能耗，是节能改造核心标配设备。</w:t>
            </w:r>
          </w:p>
          <w:p w14:paraId="2E2CFF1B">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泵阀及流体输送系统：节能型化工泵、高压阀门、特种管件、密封件、高压胶管等，适配各行业高温、高压、腐蚀介质输送场景，相比传统产品能耗更低、泄漏率更小，助力系统能效提升。</w:t>
            </w:r>
          </w:p>
          <w:p w14:paraId="7D99DB7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智能控制与数字化系统：工业自动化控制系统、智能传感器、在线监测仪表、数字运维平台、AI 供应链及设备管理系统，可实现生产负荷精准调控、能耗实时监控、设备预测性维护，减少无效能耗，契合各行业智能化节能改造方向。</w:t>
            </w:r>
          </w:p>
          <w:p w14:paraId="5C768AED">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环保配套装备：VOCs 处理装置、废气/废水辅助处理设备、防爆安全装备、除尘配套设备，满足各行业降碳与环保协同改造要求。
</w:t>
            </w:r>
          </w:p>
          <w:p w14:paraId="5BA534B4">
            <w:pPr>
              <w:keepNext w:val="0"/>
              <w:keepLines w:val="0"/>
              <w:widowControl/>
              <w:suppressLineNumbers w:val="0"/>
              <w:spacing w:line="360" w:lineRule="auto"/>
              <w:ind w:firstLine="480" w:firstLineChars="200"/>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节能橡塑配套部件：耐高低温、耐腐蚀橡胶衬里、密封件、传动部件等，广泛应用于各行业大型机组、管道、窑炉等设备，延长设备寿命、降低运行能耗。</w:t>
            </w:r>
          </w:p>
          <w:p w14:paraId="64B55F1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二、分行业专用适配产品</w:t>
            </w:r>
          </w:p>
          <w:p w14:paraId="7B5278A4">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（一）炼油、乙烯、合成氨、甲醇（石化化工四大行业）
</w:t>
            </w:r>
          </w:p>
          <w:p w14:paraId="53602621">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四大行业是本次改造核心领域，公司化工装备为其主力改造产品：</w:t>
            </w:r>
          </w:p>
          <w:p w14:paraId="461901F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反应与分离装备：高压反应釜、精馏塔、萃取塔、结晶器、分离器等核心工艺装备，采用节能结构设计，可优化反应与分离工序，降低装置综合能耗。</w:t>
            </w:r>
          </w:p>
          <w:p w14:paraId="0059AB77">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加热及燃烧优化装备：高效燃烧炉、节能加热炉、炉体改造配套部件，用于炼化、煤化工装置加热系统升级，提升热效率，减少燃料消耗与碳排放。</w:t>
            </w:r>
          </w:p>
          <w:p w14:paraId="11AF192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挤压 / 造粒装备：双螺杆挤出机、造粒机组等，适用于化工新材料、树脂、助剂等后端产能提质与节能改造，同时可配套 POE、COC、COP等高端化工生产线。</w:t>
            </w:r>
          </w:p>
          <w:p w14:paraId="2DDDFEFA">
            <w:pPr>
              <w:keepNext w:val="0"/>
              <w:keepLines w:val="0"/>
              <w:widowControl/>
              <w:suppressLineNumbers w:val="0"/>
              <w:spacing w:line="360" w:lineRule="auto"/>
              <w:ind w:firstLine="480" w:firstLineChars="200"/>
              <w:jc w:val="left"/>
              <w:rPr>
                <w:highlight w:val="none"/>
              </w:rPr>
            </w:pPr>
            <w:r>
              <w:rPr>
                <w:rFonts w:hint="eastAsia" w:ascii="宋体" w:hAnsi="宋体" w:eastAsia="宋体" w:cs="宋体"/>
                <w:color w:val="000000"/>
                <w:kern w:val="0"/>
                <w:sz w:val="24"/>
                <w:szCs w:val="24"/>
                <w:highlight w:val="none"/>
                <w:lang w:val="en-US" w:eastAsia="zh-CN" w:bidi="ar"/>
              </w:rPr>
              <w:t>机电及维保类产品：节能型齿轮箱、减速机、液压系统、机筒螺杆、备品备件，以及机组维修、产线改造服务，可对老旧化工机组进行能效升级。</w:t>
            </w:r>
          </w:p>
          <w:p w14:paraId="1F40F6BE">
            <w:pPr>
              <w:keepNext w:val="0"/>
              <w:keepLines w:val="0"/>
              <w:widowControl/>
              <w:numPr>
                <w:ilvl w:val="0"/>
                <w:numId w:val="2"/>
              </w:numPr>
              <w:suppressLineNumbers w:val="0"/>
              <w:spacing w:line="360" w:lineRule="auto"/>
              <w:ind w:left="420" w:leftChars="0" w:firstLine="0" w:firstLineChars="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钢铁、电解铝（冶金行业）</w:t>
            </w:r>
          </w:p>
          <w:p w14:paraId="4486AD70">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工业窑炉配套装备：节能型窑炉部件、高温换热设备、炉体辅助机组，适配钢铁冶炼、电解铝焙烧、熔炼窑炉的节能改造，提升窑炉热利用效率。</w:t>
            </w:r>
          </w:p>
          <w:p w14:paraId="7383A36D">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流体与液压装备：大口径高压胶管、特种阀门、液压控制系统，满足冶金行业高温、重载工况，降低流体输送与动力系统能耗。</w:t>
            </w:r>
          </w:p>
          <w:p w14:paraId="29CF2F3B">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余热利用设备：针对钢铁轧钢、电解铝电解工序的余热回收机组，助力企业回收废热用于发电、供暖，实现能源循环利用。</w:t>
            </w:r>
          </w:p>
          <w:p w14:paraId="3D69F6F3">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橡塑加工装备：密炼机、挤出机等，服务冶金配套橡塑材料生产环节的节能升级。</w:t>
            </w:r>
          </w:p>
          <w:p w14:paraId="1B2A6536">
            <w:pPr>
              <w:keepNext w:val="0"/>
              <w:keepLines w:val="0"/>
              <w:widowControl/>
              <w:numPr>
                <w:ilvl w:val="0"/>
                <w:numId w:val="2"/>
              </w:numPr>
              <w:suppressLineNumbers w:val="0"/>
              <w:spacing w:line="360" w:lineRule="auto"/>
              <w:ind w:left="420" w:leftChars="0" w:firstLine="0" w:firstLineChars="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水泥、平板玻璃（建材行业）</w:t>
            </w:r>
          </w:p>
          <w:p w14:paraId="7A8F23C7">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烘干/</w:t>
            </w:r>
            <w:bookmarkStart w:id="0" w:name="_GoBack"/>
            <w:bookmarkEnd w:id="0"/>
            <w:r>
              <w:rPr>
                <w:rFonts w:hint="eastAsia" w:ascii="宋体" w:hAnsi="宋体" w:eastAsia="宋体" w:cs="宋体"/>
                <w:color w:val="000000"/>
                <w:kern w:val="0"/>
                <w:sz w:val="24"/>
                <w:szCs w:val="24"/>
                <w:highlight w:val="none"/>
                <w:lang w:val="en-US" w:eastAsia="zh-CN" w:bidi="ar"/>
              </w:rPr>
              <w:t>冷却装备：高效干燥机、冷却机组，适配水泥原料烘干、玻璃成品冷却等工序，优化传统高耗能烘干工艺。</w:t>
            </w:r>
          </w:p>
          <w:p w14:paraId="0F45B825">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窑炉辅助及输送设备：窑炉配套换热装置、节能风机、物料输送机组，用于水泥窑、玻璃熔窑的能效提升改造。</w:t>
            </w:r>
          </w:p>
          <w:p w14:paraId="7B56D379">
            <w:pPr>
              <w:keepNext w:val="0"/>
              <w:keepLines w:val="0"/>
              <w:widowControl/>
              <w:numPr>
                <w:ilvl w:val="0"/>
                <w:numId w:val="0"/>
              </w:numPr>
              <w:suppressLineNumbers w:val="0"/>
              <w:spacing w:line="360" w:lineRule="auto"/>
              <w:ind w:firstLine="480" w:firstLineChars="200"/>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成型及配套装备：橡胶机械、密封传动部件，应用于建材生产线辅机系统，降低设备运行损耗。</w:t>
            </w:r>
          </w:p>
          <w:p w14:paraId="26353FC1">
            <w:pPr>
              <w:keepNext w:val="0"/>
              <w:keepLines w:val="0"/>
              <w:widowControl/>
              <w:numPr>
                <w:ilvl w:val="0"/>
                <w:numId w:val="2"/>
              </w:numPr>
              <w:suppressLineNumbers w:val="0"/>
              <w:spacing w:line="360" w:lineRule="auto"/>
              <w:ind w:left="420" w:leftChars="0" w:firstLine="0" w:firstLineChars="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煤电行业</w:t>
            </w:r>
          </w:p>
          <w:p w14:paraId="1B3CF32B">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电站配套换热/余热设备：大型换热器、冷凝设备、余热回收装置，用于火电机组热力系统优化，降低供电煤耗。</w:t>
            </w:r>
          </w:p>
          <w:p w14:paraId="52789B3F">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节能辅机与零部件：高效风机、压缩机、泵组，以及机组密封、液压、传动配件，改造老旧辅机，减少厂用电消耗。</w:t>
            </w:r>
          </w:p>
          <w:p w14:paraId="672348D2">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智能化运维系统：设备在线监测、数字孪生系统，实现发电机组及辅机智能调控，提升机组运行效率。</w:t>
            </w:r>
          </w:p>
          <w:p w14:paraId="7D4276DD">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三、橡胶机械系列（跨行业配套改造）</w:t>
            </w:r>
          </w:p>
          <w:p w14:paraId="5C7BDB2A">
            <w:pPr>
              <w:keepNext w:val="0"/>
              <w:keepLines w:val="0"/>
              <w:widowControl/>
              <w:numPr>
                <w:ilvl w:val="0"/>
                <w:numId w:val="0"/>
              </w:numPr>
              <w:suppressLineNumbers w:val="0"/>
              <w:spacing w:line="360" w:lineRule="auto"/>
              <w:ind w:firstLine="480" w:firstLineChars="200"/>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公司硫化机、密炼机、挤出机、成型机等全系列橡机产品，除服务轮胎主业外，也广泛应用于九大行业配套橡塑制品、密封材料、减震部件的生产环节，设备采用节能电机、轻量化结构、智能控制系统，可帮助下游配套企业完成节能降碳改造；同时可提供设备搬迁、工艺优化、自动化升级等增值服务。感谢您的关注与支持!</w:t>
            </w:r>
          </w:p>
          <w:p w14:paraId="565B6D62">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问题36:国际油价之前上去了，对公司的影响，上市公司之前已经在集体业绩说明会上说过了。麻烦说一下，现在国际油价下来了，对上市公司的影响。</w:t>
            </w:r>
          </w:p>
          <w:p w14:paraId="3C6F7D5D">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感谢各位投资者的关注。当前油价震荡中有小幅回落的新态势，整体呈现利好逐步显现、结构性分化的特点，同时中东地缘风险仍存一定不确定性。此前油价走高，带动钢材、有色金属、工程塑料、燃料等全线涨价，叠加海运费、战争保险费大幅攀升，公司综合采购、物流成本持续承压。现阶段国际油价回落，一方面直接降低生产能耗、国内陆路运输及跨境海运的燃油附加成本，此前因油价上涨带来的物流成本增幅逐步收窄；另一方面传导至橡胶、通用塑料等配套原材料，带动相关辅料价格稳中下行，进一步减轻公司整体成本压力。不过需要说明的是，钌、铱、镍、钛等贵金属及特种金属价格仍维持高位运行，叠加前期高价原材料库存尚未完全消化，成本回落幅度存在滞后性，短期难以实现大幅下降。中东冲突仍处于反复状态，霍尔木兹海峡依旧实施分级管控，航运完全恢复正常仍存在不确定性，海外物流、地缘风险依旧需要持续警惕。当前全球终端消费市场依旧偏弱，下游企业投资仍偏谨慎，装备订单全面回暖尚需时间。</w:t>
            </w:r>
          </w:p>
          <w:p w14:paraId="3192F38F">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问题37:上市公司上半年的接单情况是怎么样的，是否出现订单大幅萎缩，尤其是橡胶机械业务订单</w:t>
            </w:r>
          </w:p>
          <w:p w14:paraId="3BC7C46A">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天华院在手订单储备充足，随着后续订单陆续交付验收，其经营业绩有望逐季修复，持续发挥对公司整体业绩的支撑作用。橡胶机械装备业务方面，受公司橡机业务组织架构优化及订单毛利整体不及预期等因素影响，相关业务订单承接规模阶段性收缩，新签订单量同比减少。未来，公司将持续深化供应链集中采购、精益生产管控等降本举措，同时通过优化产品结构、提升高附加值订单占比、深化卓越运营管理，多维度推动毛利率修复。相关经营进展及业绩情况请以公司后续披露的定期报告为准，提请投资者注意投资风险，感谢您的关注与支持！</w:t>
            </w:r>
          </w:p>
          <w:p w14:paraId="6805F631">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问题38:公司旗下天华院是否具有电子级PPE生产设备的产能，去年营收有多少？公司的每股公积金极高，而每股未分配利润极低，是否考虑用公积金弥补亏损，改善财务数据？</w:t>
            </w:r>
          </w:p>
          <w:p w14:paraId="0D28EBAE">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天华院目前没有为电子级PPE生产提供过相关设备。同时，感谢您的宝贵建议，公司将持续密切关注及研究《公司法》中资本公积弥补亏损相关配套政策情况。并且，公司坚持以提升自身经营业绩为根本抓手，多措并举加快消化历史累计亏损，从本源改善公司财务基本面；后续相关配套细则完全明晰后，公司将结合实际情况综合评估相关操作可行性。感谢您的关注！</w:t>
            </w:r>
          </w:p>
          <w:p w14:paraId="38DD3CB3">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问题39:公司旗下天华院是否具有电子级PPE生产设备的产能，去年营收有多少？公司的每股公积金极高，而每股未分配利润极低，是否考虑用公积金弥补亏损，改善财务数据？</w:t>
            </w:r>
          </w:p>
          <w:p w14:paraId="2C04E0EA">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天华院目前没有为电子级PPE生产提供过相关设备。同时，感谢您的宝贵建议，公司将持续密切关注及研究《公司法》中资本公积弥补亏损相关配套政策情况。并且，公司坚持以提升自身经营业绩为根本抓手，多措并举加快消化历史累计亏损，从本源改善公司财务基本面；后续相关配套细则完全明晰后，公司将结合实际情况综合评估相关操作可行性。感谢您的关注！</w:t>
            </w:r>
          </w:p>
          <w:p w14:paraId="0B7AC14A">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问题40:请问公司如何评估装备卢森堡2026年的经营前景？这笔投资是否会持续拖累公司业绩？公司是否考虑处置该部分股权以降低业绩波动？</w:t>
            </w:r>
          </w:p>
          <w:p w14:paraId="3A1E3C59">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KM集团主营注塑设备、挤出设备、反应成型设备三大核心产品线，产品广泛应用于汽车、包装、化工、医疗、消费等多领域。KM集团采用订单式生产模式，设备生产交付周期较长。为优化公司资产结构、改善经营质量，公司于2024年末完成重大资产出售工作，将KM集团控制权划转至间接控股股东装备香港；本次交易完成后，KM集团由全资子公司变更为参股公司，不再纳入公司合并报表范围。目前公司持有其9.24%股权，严格按照持股比例享有投资收益并承担对应投资亏损。前述持股安排是交易双方基于市场原则充分协商的结果，既能从源头上帮助公司防范经营风险、保障全体股东利益，也契合中小股东的长远诉求。现阶段KM集团受行业景气度低迷、中东地缘冲突等外部因素影响，其部分订单延期交付，叠加供应链成本上涨，2026年一季度持续亏损，对公司当期投资收益及净利润带来负面影响。后续公司持续推动KM集团扭亏脱困专项工作，切实改善业绩，感谢您的建议！</w:t>
            </w:r>
          </w:p>
          <w:p w14:paraId="340F4B7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问题41:国家推进2026-2029节能降碳、推广多个行业先进装备和技术应用，对公司有哪些发展机遇？公司的技术/装备在节能降碳有哪些实际应用/订单？在细分领域的行业地位如何？</w:t>
            </w:r>
            <w:r>
              <w:rPr>
                <w:rFonts w:hint="eastAsia" w:ascii="宋体" w:hAnsi="宋体" w:eastAsia="宋体" w:cs="宋体"/>
                <w:color w:val="333333"/>
                <w:kern w:val="0"/>
                <w:sz w:val="24"/>
                <w:szCs w:val="24"/>
                <w:highlight w:val="none"/>
                <w:lang w:val="en-US" w:eastAsia="zh-CN" w:bidi="ar"/>
              </w:rPr>
              <w:t xml:space="preserve"> </w:t>
            </w:r>
          </w:p>
          <w:p w14:paraId="7F43DB24">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答:尊敬的投资者，您好！国家2026-2029 年节能降碳及先进装备推广政策，为公司带来老旧设备更新、绿色装备增量、国产化替代三大机遇。公司多款节能装备已广泛落地：化工领域余热回收、高效换热设备，氯碱节能电解槽，熔盐储能装备、节能橡胶机械均有订单。细分领域中，北化机氯碱电解装备国内市占率第一，为全球三大供应商之一，熔盐储能设备稳居国内第一梯队；天华院石化换热、余热回收装备实现进口替代；益阳橡机节能密炼机、中化橡机节能硫化机均处于行业前列。公司将紧抓政策机遇，拓展节能改造订单、迭代低碳技术，并依托资产重组放大业务协同，全力把握行业增长红利。感谢您的关注！</w:t>
            </w:r>
          </w:p>
          <w:p w14:paraId="41794A1C">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问题42:北化机的大型风光制氢一体化系统“尚未实现商业化落地”，请问目前主要的瓶颈是技术成熟度、成本问题还是市场需求？公司是否有明确的商业化路线图或正在接洽的潜在试点项目客户？</w:t>
            </w:r>
            <w:r>
              <w:rPr>
                <w:rFonts w:hint="eastAsia" w:ascii="宋体" w:hAnsi="宋体" w:eastAsia="宋体" w:cs="宋体"/>
                <w:color w:val="333333"/>
                <w:kern w:val="0"/>
                <w:sz w:val="24"/>
                <w:szCs w:val="24"/>
                <w:highlight w:val="none"/>
                <w:lang w:val="en-US" w:eastAsia="zh-CN" w:bidi="ar"/>
              </w:rPr>
              <w:t xml:space="preserve"> </w:t>
            </w:r>
          </w:p>
          <w:p w14:paraId="0BE956E6">
            <w:pPr>
              <w:keepNext w:val="0"/>
              <w:keepLines w:val="0"/>
              <w:widowControl/>
              <w:suppressLineNumbers w:val="0"/>
              <w:spacing w:line="360" w:lineRule="auto"/>
              <w:jc w:val="left"/>
              <w:rPr>
                <w:rFonts w:hint="default"/>
                <w:highlight w:val="none"/>
                <w:lang w:val="en-US"/>
              </w:rPr>
            </w:pP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ab/>
            </w:r>
            <w:r>
              <w:rPr>
                <w:rFonts w:hint="eastAsia" w:ascii="宋体" w:hAnsi="宋体" w:eastAsia="宋体" w:cs="宋体"/>
                <w:color w:val="000000"/>
                <w:kern w:val="0"/>
                <w:sz w:val="24"/>
                <w:szCs w:val="24"/>
                <w:highlight w:val="none"/>
                <w:lang w:val="en-US" w:eastAsia="zh-CN" w:bidi="ar"/>
              </w:rPr>
              <w:t>答:尊敬的投资者，您好！北化机的大型风光制氢一体化系统目前尚未大面积商业化推广，核心是企业秉持审慎原则，严格遵循“小试-中试-产业化示范”的技术验证路径，待相关验证后再启动规模化推广，保障产品可靠性与项目落地质量。商业化详细路线图属于企业商业秘密，目前企业首个工业化示范项目正按计划稳步推进，发布会后已有多家新能源、化工领域头部企业表达合作意向，相关对接工作正在有序开展。北化机属于公司正在实施的重大资产重组交易的标的公司，目前尚不属于公司子公司，请您关注本次重组进展并注意投资风险。感谢您的关注！</w:t>
            </w:r>
          </w:p>
          <w:p w14:paraId="3776B525">
            <w:pPr>
              <w:keepNext w:val="0"/>
              <w:keepLines w:val="0"/>
              <w:widowControl/>
              <w:suppressLineNumbers w:val="0"/>
              <w:spacing w:line="360" w:lineRule="auto"/>
              <w:ind w:firstLine="420" w:firstLineChars="0"/>
              <w:jc w:val="left"/>
              <w:rPr>
                <w:highlight w:val="none"/>
              </w:rPr>
            </w:pPr>
            <w:r>
              <w:rPr>
                <w:rFonts w:hint="eastAsia" w:ascii="宋体" w:hAnsi="宋体" w:eastAsia="宋体" w:cs="宋体"/>
                <w:b/>
                <w:bCs/>
                <w:color w:val="333333"/>
                <w:kern w:val="0"/>
                <w:sz w:val="24"/>
                <w:szCs w:val="24"/>
                <w:highlight w:val="none"/>
                <w:lang w:val="en-US" w:eastAsia="zh-CN" w:bidi="ar"/>
              </w:rPr>
              <w:t>问题43:化工装备下游新能源、储能、氯碱领域设备需求增长明显，公司在熔盐储能、电解槽配套装备业务布局与订单拓展进展？</w:t>
            </w:r>
            <w:r>
              <w:rPr>
                <w:rFonts w:hint="eastAsia" w:ascii="宋体" w:hAnsi="宋体" w:eastAsia="宋体" w:cs="宋体"/>
                <w:color w:val="333333"/>
                <w:kern w:val="0"/>
                <w:sz w:val="24"/>
                <w:szCs w:val="24"/>
                <w:highlight w:val="none"/>
                <w:lang w:val="en-US" w:eastAsia="zh-CN" w:bidi="ar"/>
              </w:rPr>
              <w:t xml:space="preserve"> </w:t>
            </w:r>
          </w:p>
          <w:p w14:paraId="3163C917">
            <w:pPr>
              <w:spacing w:line="460" w:lineRule="exact"/>
              <w:ind w:firstLine="480" w:firstLineChars="200"/>
              <w:rPr>
                <w:rFonts w:ascii="宋体" w:hAnsi="宋体" w:eastAsia="宋体" w:cs="Times New Roman"/>
                <w:bCs/>
                <w:iCs/>
                <w:color w:val="000000"/>
                <w:sz w:val="24"/>
                <w:szCs w:val="24"/>
              </w:rPr>
            </w:pPr>
            <w:r>
              <w:rPr>
                <w:rFonts w:hint="eastAsia" w:ascii="宋体" w:hAnsi="宋体" w:eastAsia="宋体" w:cs="宋体"/>
                <w:color w:val="000000"/>
                <w:kern w:val="0"/>
                <w:sz w:val="24"/>
                <w:szCs w:val="24"/>
                <w:highlight w:val="none"/>
                <w:lang w:val="en-US" w:eastAsia="zh-CN" w:bidi="ar"/>
              </w:rPr>
              <w:t>答:尊敬的投资者，您好！公司本次重组的标的公司北化机承揽14项国内外光热电站熔盐储能系统的设计、设备制造和现场施工工作，其中包括目前世界最大的光热发电项目迪拜950MW光热项目中塔式熔盐光热发电机组熔盐储罐的制造和现场施工，在行业中处于领先地位。同时，北化机是中国领先的具备自主知识产权的离子膜电解槽企业，具备独立研发、设计和制造能力，技术水平位居国际前列，通过引进、消化、吸收再创新，已成为与日本旭化成、德国蒂森克虏伯并列的全球三大离子膜电解槽成套装备技术专利商和供应商。未来，北化机将密切关注国内外市场机遇、及时跟踪相关订单机会。上市公司与交易对方已就北化机业绩承诺期业绩进行了承诺约定，以保障全体股东利益，具体请详见本次交易相关公告。感谢您的关注！</w:t>
            </w:r>
          </w:p>
        </w:tc>
      </w:tr>
      <w:tr w14:paraId="04D8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3A3971E">
            <w:pPr>
              <w:spacing w:line="420" w:lineRule="exact"/>
              <w:jc w:val="center"/>
              <w:rPr>
                <w:rFonts w:ascii="Times New Roman" w:hAnsi="宋体" w:eastAsia="宋体" w:cs="Times New Roman"/>
                <w:bCs/>
                <w:iCs/>
                <w:color w:val="000000"/>
                <w:kern w:val="0"/>
                <w:sz w:val="24"/>
                <w:szCs w:val="24"/>
              </w:rPr>
            </w:pPr>
            <w:r>
              <w:rPr>
                <w:rFonts w:ascii="Times New Roman" w:hAnsi="宋体" w:eastAsia="宋体" w:cs="Times New Roman"/>
                <w:bCs/>
                <w:iCs/>
                <w:color w:val="000000"/>
                <w:kern w:val="0"/>
                <w:sz w:val="24"/>
                <w:szCs w:val="24"/>
              </w:rPr>
              <w:t>附件清单</w:t>
            </w:r>
          </w:p>
          <w:p w14:paraId="66FFDB70">
            <w:pPr>
              <w:spacing w:line="420" w:lineRule="exact"/>
              <w:jc w:val="center"/>
              <w:rPr>
                <w:rFonts w:ascii="Times New Roman" w:hAnsi="Times New Roman" w:eastAsia="宋体" w:cs="Times New Roman"/>
                <w:bCs/>
                <w:iCs/>
                <w:color w:val="000000"/>
                <w:kern w:val="0"/>
                <w:sz w:val="24"/>
                <w:szCs w:val="24"/>
              </w:rPr>
            </w:pPr>
            <w:r>
              <w:rPr>
                <w:rFonts w:ascii="Times New Roman" w:hAnsi="宋体" w:eastAsia="宋体" w:cs="Times New Roman"/>
                <w:bCs/>
                <w:iCs/>
                <w:color w:val="000000"/>
                <w:kern w:val="0"/>
                <w:sz w:val="24"/>
                <w:szCs w:val="24"/>
              </w:rPr>
              <w:t>（如有）</w:t>
            </w:r>
          </w:p>
        </w:tc>
        <w:tc>
          <w:tcPr>
            <w:tcW w:w="6847" w:type="dxa"/>
            <w:tcBorders>
              <w:top w:val="single" w:color="auto" w:sz="4" w:space="0"/>
              <w:left w:val="single" w:color="auto" w:sz="4" w:space="0"/>
              <w:bottom w:val="single" w:color="auto" w:sz="4" w:space="0"/>
              <w:right w:val="single" w:color="auto" w:sz="4" w:space="0"/>
            </w:tcBorders>
          </w:tcPr>
          <w:p w14:paraId="00923A72">
            <w:pPr>
              <w:spacing w:line="420" w:lineRule="exact"/>
              <w:rPr>
                <w:rFonts w:ascii="Times New Roman" w:hAnsi="Times New Roman" w:eastAsia="宋体" w:cs="Times New Roman"/>
                <w:bCs/>
                <w:iCs/>
                <w:color w:val="000000"/>
                <w:sz w:val="24"/>
                <w:szCs w:val="24"/>
              </w:rPr>
            </w:pPr>
          </w:p>
        </w:tc>
      </w:tr>
      <w:tr w14:paraId="38CC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012C9860">
            <w:pPr>
              <w:spacing w:line="420" w:lineRule="exact"/>
              <w:jc w:val="center"/>
              <w:rPr>
                <w:rFonts w:ascii="Times New Roman" w:hAnsi="宋体" w:eastAsia="宋体" w:cs="Times New Roman"/>
                <w:bCs/>
                <w:iCs/>
                <w:color w:val="000000"/>
                <w:kern w:val="0"/>
                <w:sz w:val="24"/>
                <w:szCs w:val="24"/>
              </w:rPr>
            </w:pPr>
            <w:r>
              <w:rPr>
                <w:rFonts w:hint="eastAsia" w:ascii="Times New Roman" w:hAnsi="宋体" w:eastAsia="宋体" w:cs="Times New Roman"/>
                <w:bCs/>
                <w:iCs/>
                <w:color w:val="000000"/>
                <w:kern w:val="0"/>
                <w:sz w:val="24"/>
                <w:szCs w:val="24"/>
              </w:rPr>
              <w:t>日期</w:t>
            </w:r>
          </w:p>
        </w:tc>
        <w:tc>
          <w:tcPr>
            <w:tcW w:w="6847" w:type="dxa"/>
            <w:tcBorders>
              <w:top w:val="single" w:color="auto" w:sz="4" w:space="0"/>
              <w:left w:val="single" w:color="auto" w:sz="4" w:space="0"/>
              <w:bottom w:val="single" w:color="auto" w:sz="4" w:space="0"/>
              <w:right w:val="single" w:color="auto" w:sz="4" w:space="0"/>
            </w:tcBorders>
          </w:tcPr>
          <w:p w14:paraId="26DE4A15">
            <w:pPr>
              <w:spacing w:line="420" w:lineRule="exac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202</w:t>
            </w:r>
            <w:r>
              <w:rPr>
                <w:rFonts w:hint="eastAsia" w:ascii="Times New Roman" w:hAnsi="Times New Roman" w:eastAsia="宋体" w:cs="Times New Roman"/>
                <w:bCs/>
                <w:iCs/>
                <w:color w:val="000000"/>
                <w:sz w:val="24"/>
                <w:szCs w:val="24"/>
                <w:lang w:val="en-US" w:eastAsia="zh-CN"/>
              </w:rPr>
              <w:t>6</w:t>
            </w:r>
            <w:r>
              <w:rPr>
                <w:rFonts w:ascii="Times New Roman" w:hAnsi="Times New Roman" w:eastAsia="宋体" w:cs="Times New Roman"/>
                <w:bCs/>
                <w:iCs/>
                <w:color w:val="000000"/>
                <w:sz w:val="24"/>
                <w:szCs w:val="24"/>
              </w:rPr>
              <w:t>年</w:t>
            </w:r>
            <w:r>
              <w:rPr>
                <w:rFonts w:hint="eastAsia" w:ascii="Times New Roman" w:hAnsi="Times New Roman" w:eastAsia="宋体" w:cs="Times New Roman"/>
                <w:bCs/>
                <w:iCs/>
                <w:color w:val="000000"/>
                <w:sz w:val="24"/>
                <w:szCs w:val="24"/>
                <w:lang w:val="en-US" w:eastAsia="zh-CN"/>
              </w:rPr>
              <w:t>6</w:t>
            </w:r>
            <w:r>
              <w:rPr>
                <w:rFonts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17</w:t>
            </w:r>
            <w:r>
              <w:rPr>
                <w:rFonts w:ascii="Times New Roman" w:hAnsi="Times New Roman" w:eastAsia="宋体" w:cs="Times New Roman"/>
                <w:bCs/>
                <w:iCs/>
                <w:color w:val="000000"/>
                <w:sz w:val="24"/>
                <w:szCs w:val="24"/>
              </w:rPr>
              <w:t>日</w:t>
            </w:r>
          </w:p>
        </w:tc>
      </w:tr>
    </w:tbl>
    <w:p w14:paraId="10A253DD">
      <w:pPr>
        <w:rPr>
          <w:rFonts w:ascii="Times New Roman" w:hAnsi="Times New Roman" w:eastAsia="宋体" w:cs="Times New Roman"/>
          <w:szCs w:val="24"/>
        </w:rPr>
      </w:pPr>
    </w:p>
    <w:p w14:paraId="3E77FEDD"/>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DDCC">
    <w:pPr>
      <w:pStyle w:val="1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E2CC6"/>
    <w:multiLevelType w:val="multilevel"/>
    <w:tmpl w:val="211E2CC6"/>
    <w:lvl w:ilvl="0" w:tentative="0">
      <w:start w:val="1"/>
      <w:numFmt w:val="chineseCounting"/>
      <w:pStyle w:val="2"/>
      <w:suff w:val="space"/>
      <w:lvlText w:val="第%1节"/>
      <w:lvlJc w:val="left"/>
      <w:pPr>
        <w:ind w:left="0" w:firstLine="0"/>
      </w:pPr>
      <w:rPr>
        <w:rFonts w:hint="eastAsia" w:ascii="黑体" w:hAnsi="黑体" w:eastAsia="黑体"/>
        <w:b w:val="0"/>
        <w:i w:val="0"/>
        <w:sz w:val="32"/>
      </w:rPr>
    </w:lvl>
    <w:lvl w:ilvl="1" w:tentative="0">
      <w:start w:val="1"/>
      <w:numFmt w:val="chineseCounting"/>
      <w:pStyle w:val="4"/>
      <w:suff w:val="nothing"/>
      <w:lvlText w:val="%2、"/>
      <w:lvlJc w:val="left"/>
      <w:pPr>
        <w:ind w:left="0" w:firstLine="0"/>
      </w:pPr>
      <w:rPr>
        <w:rFonts w:hint="default"/>
        <w:b w:val="0"/>
        <w:i w:val="0"/>
        <w:sz w:val="28"/>
      </w:rPr>
    </w:lvl>
    <w:lvl w:ilvl="2" w:tentative="0">
      <w:start w:val="1"/>
      <w:numFmt w:val="chineseCounting"/>
      <w:pStyle w:val="5"/>
      <w:suff w:val="nothing"/>
      <w:lvlText w:val="（%3）"/>
      <w:lvlJc w:val="left"/>
      <w:pPr>
        <w:ind w:left="0" w:firstLine="0"/>
      </w:pPr>
      <w:rPr>
        <w:rFonts w:hint="default" w:ascii="Times New Roman" w:hAnsi="Times New Roman" w:cs="Times New Roman"/>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
      <w:suff w:val="nothing"/>
      <w:lvlText w:val="%4、"/>
      <w:lvlJc w:val="left"/>
      <w:pPr>
        <w:ind w:left="0" w:firstLine="0"/>
      </w:pPr>
      <w:rPr>
        <w:rFonts w:hint="default" w:ascii="Times New Roman" w:hAnsi="Times New Roman" w:cs="Times New Roman"/>
        <w:b/>
        <w:i w:val="0"/>
        <w:sz w:val="24"/>
      </w:rPr>
    </w:lvl>
    <w:lvl w:ilvl="4" w:tentative="0">
      <w:start w:val="1"/>
      <w:numFmt w:val="decimal"/>
      <w:pStyle w:val="7"/>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pStyle w:val="8"/>
      <w:suff w:val="nothing"/>
      <w:lvlText w:val="%6）"/>
      <w:lvlJc w:val="left"/>
      <w:pPr>
        <w:ind w:left="0" w:firstLine="0"/>
      </w:pPr>
      <w:rPr>
        <w:rFonts w:hint="default" w:ascii="Times New Roman" w:hAnsi="Times New Roman" w:cs="Times New Roman"/>
        <w:b w:val="0"/>
        <w:i w:val="0"/>
        <w:sz w:val="24"/>
        <w:u w:val="none"/>
      </w:rPr>
    </w:lvl>
    <w:lvl w:ilvl="6" w:tentative="0">
      <w:start w:val="1"/>
      <w:numFmt w:val="decimalEnclosedCircle"/>
      <w:pStyle w:val="9"/>
      <w:suff w:val="nothing"/>
      <w:lvlText w:val="%7"/>
      <w:lvlJc w:val="left"/>
      <w:pPr>
        <w:ind w:left="0" w:firstLine="0"/>
      </w:pPr>
      <w:rPr>
        <w:rFonts w:hint="default" w:ascii="Times New Roman" w:hAnsi="Times New Roman" w:cs="Times New Roman"/>
        <w:b w:val="0"/>
        <w:i w:val="0"/>
        <w:sz w:val="24"/>
        <w:lang w:val="en-US"/>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2861883"/>
    <w:multiLevelType w:val="singleLevel"/>
    <w:tmpl w:val="72861883"/>
    <w:lvl w:ilvl="0" w:tentative="0">
      <w:start w:val="2"/>
      <w:numFmt w:val="chineseCounting"/>
      <w:suff w:val="nothing"/>
      <w:lvlText w:val="（%1）"/>
      <w:lvlJc w:val="left"/>
      <w:pPr>
        <w:ind w:left="42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FB"/>
    <w:rsid w:val="00003434"/>
    <w:rsid w:val="0001345B"/>
    <w:rsid w:val="0002032D"/>
    <w:rsid w:val="00023E5C"/>
    <w:rsid w:val="000419FB"/>
    <w:rsid w:val="000448D3"/>
    <w:rsid w:val="00057D22"/>
    <w:rsid w:val="000627FE"/>
    <w:rsid w:val="00074E76"/>
    <w:rsid w:val="00087737"/>
    <w:rsid w:val="000973F1"/>
    <w:rsid w:val="000A67CF"/>
    <w:rsid w:val="000D45B1"/>
    <w:rsid w:val="000F0E0F"/>
    <w:rsid w:val="000F393D"/>
    <w:rsid w:val="000F3CBC"/>
    <w:rsid w:val="000F4103"/>
    <w:rsid w:val="00101D79"/>
    <w:rsid w:val="001254F3"/>
    <w:rsid w:val="00144EE5"/>
    <w:rsid w:val="0015114E"/>
    <w:rsid w:val="00176A3D"/>
    <w:rsid w:val="00180A87"/>
    <w:rsid w:val="001A7200"/>
    <w:rsid w:val="001F3A97"/>
    <w:rsid w:val="001F576D"/>
    <w:rsid w:val="00221BF8"/>
    <w:rsid w:val="00237C38"/>
    <w:rsid w:val="00252422"/>
    <w:rsid w:val="00267A42"/>
    <w:rsid w:val="0027283E"/>
    <w:rsid w:val="002763CD"/>
    <w:rsid w:val="002839B7"/>
    <w:rsid w:val="002B08E8"/>
    <w:rsid w:val="002C5E3F"/>
    <w:rsid w:val="00300A5D"/>
    <w:rsid w:val="00301862"/>
    <w:rsid w:val="0031037B"/>
    <w:rsid w:val="0033660D"/>
    <w:rsid w:val="00340763"/>
    <w:rsid w:val="00376C73"/>
    <w:rsid w:val="00382A20"/>
    <w:rsid w:val="00386019"/>
    <w:rsid w:val="003A7AF3"/>
    <w:rsid w:val="003E2E84"/>
    <w:rsid w:val="00407B1C"/>
    <w:rsid w:val="00420D1E"/>
    <w:rsid w:val="004329DF"/>
    <w:rsid w:val="00447D6F"/>
    <w:rsid w:val="004A09A3"/>
    <w:rsid w:val="004B1074"/>
    <w:rsid w:val="004C2936"/>
    <w:rsid w:val="004D7434"/>
    <w:rsid w:val="004F5CBF"/>
    <w:rsid w:val="00530203"/>
    <w:rsid w:val="005372B6"/>
    <w:rsid w:val="005525F6"/>
    <w:rsid w:val="00556977"/>
    <w:rsid w:val="00592770"/>
    <w:rsid w:val="005A1395"/>
    <w:rsid w:val="005E51EE"/>
    <w:rsid w:val="00601B81"/>
    <w:rsid w:val="0061181A"/>
    <w:rsid w:val="00614719"/>
    <w:rsid w:val="00630214"/>
    <w:rsid w:val="00680EF3"/>
    <w:rsid w:val="006B6478"/>
    <w:rsid w:val="006C62DB"/>
    <w:rsid w:val="006E15DD"/>
    <w:rsid w:val="00734BE6"/>
    <w:rsid w:val="0075046A"/>
    <w:rsid w:val="0076144B"/>
    <w:rsid w:val="007650DC"/>
    <w:rsid w:val="00797315"/>
    <w:rsid w:val="007A4D28"/>
    <w:rsid w:val="007D5CED"/>
    <w:rsid w:val="007E0AF1"/>
    <w:rsid w:val="007E1548"/>
    <w:rsid w:val="007E337A"/>
    <w:rsid w:val="007F3296"/>
    <w:rsid w:val="008436B6"/>
    <w:rsid w:val="00853450"/>
    <w:rsid w:val="0088215C"/>
    <w:rsid w:val="008C01A6"/>
    <w:rsid w:val="008C27DA"/>
    <w:rsid w:val="008D6D73"/>
    <w:rsid w:val="008E4294"/>
    <w:rsid w:val="008F3D1F"/>
    <w:rsid w:val="00931879"/>
    <w:rsid w:val="00934D41"/>
    <w:rsid w:val="009350FE"/>
    <w:rsid w:val="00954385"/>
    <w:rsid w:val="00986C4C"/>
    <w:rsid w:val="009D1834"/>
    <w:rsid w:val="009E33F5"/>
    <w:rsid w:val="00A0229E"/>
    <w:rsid w:val="00A06CA1"/>
    <w:rsid w:val="00A10F3E"/>
    <w:rsid w:val="00A21B70"/>
    <w:rsid w:val="00A22DAC"/>
    <w:rsid w:val="00A247B8"/>
    <w:rsid w:val="00A3142C"/>
    <w:rsid w:val="00A36504"/>
    <w:rsid w:val="00A4213F"/>
    <w:rsid w:val="00A56B7F"/>
    <w:rsid w:val="00A730E8"/>
    <w:rsid w:val="00A97608"/>
    <w:rsid w:val="00AA2CD0"/>
    <w:rsid w:val="00AC7233"/>
    <w:rsid w:val="00AD0821"/>
    <w:rsid w:val="00AD4319"/>
    <w:rsid w:val="00AF2045"/>
    <w:rsid w:val="00B16710"/>
    <w:rsid w:val="00B25ACE"/>
    <w:rsid w:val="00B26C29"/>
    <w:rsid w:val="00B45C73"/>
    <w:rsid w:val="00B526C2"/>
    <w:rsid w:val="00B86E93"/>
    <w:rsid w:val="00BA65E3"/>
    <w:rsid w:val="00BC1507"/>
    <w:rsid w:val="00BC731A"/>
    <w:rsid w:val="00BD5B50"/>
    <w:rsid w:val="00C0429D"/>
    <w:rsid w:val="00C1198B"/>
    <w:rsid w:val="00C12AC3"/>
    <w:rsid w:val="00C204B3"/>
    <w:rsid w:val="00C23676"/>
    <w:rsid w:val="00C2528F"/>
    <w:rsid w:val="00C40BF5"/>
    <w:rsid w:val="00C80467"/>
    <w:rsid w:val="00C952E1"/>
    <w:rsid w:val="00C959DB"/>
    <w:rsid w:val="00C979FB"/>
    <w:rsid w:val="00C97EBD"/>
    <w:rsid w:val="00CC514C"/>
    <w:rsid w:val="00CC7416"/>
    <w:rsid w:val="00CD5C02"/>
    <w:rsid w:val="00CD7589"/>
    <w:rsid w:val="00CF323E"/>
    <w:rsid w:val="00D00279"/>
    <w:rsid w:val="00D0340A"/>
    <w:rsid w:val="00D86592"/>
    <w:rsid w:val="00D929E2"/>
    <w:rsid w:val="00D96BA1"/>
    <w:rsid w:val="00DA0CEA"/>
    <w:rsid w:val="00DA4DCA"/>
    <w:rsid w:val="00DA5BE7"/>
    <w:rsid w:val="00DA669A"/>
    <w:rsid w:val="00DC5D00"/>
    <w:rsid w:val="00E3283D"/>
    <w:rsid w:val="00E64555"/>
    <w:rsid w:val="00E80272"/>
    <w:rsid w:val="00E86421"/>
    <w:rsid w:val="00EA14F1"/>
    <w:rsid w:val="00EB08E3"/>
    <w:rsid w:val="00ED0D24"/>
    <w:rsid w:val="00EE0117"/>
    <w:rsid w:val="00EE385C"/>
    <w:rsid w:val="00EE733F"/>
    <w:rsid w:val="00F03CE5"/>
    <w:rsid w:val="00F05EF2"/>
    <w:rsid w:val="00F1454F"/>
    <w:rsid w:val="00F22152"/>
    <w:rsid w:val="00F503BB"/>
    <w:rsid w:val="00F86B9E"/>
    <w:rsid w:val="00F872D7"/>
    <w:rsid w:val="00FA36D7"/>
    <w:rsid w:val="00FB24D4"/>
    <w:rsid w:val="00FB2A64"/>
    <w:rsid w:val="00FB7CB8"/>
    <w:rsid w:val="00FD4251"/>
    <w:rsid w:val="00FD666B"/>
    <w:rsid w:val="00FE3A01"/>
    <w:rsid w:val="00FF4D7E"/>
    <w:rsid w:val="07CB58EF"/>
    <w:rsid w:val="083E3FBB"/>
    <w:rsid w:val="14A102D4"/>
    <w:rsid w:val="4D8D4DB7"/>
    <w:rsid w:val="68761F34"/>
    <w:rsid w:val="76DD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2"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next w:val="3"/>
    <w:link w:val="21"/>
    <w:autoRedefine/>
    <w:qFormat/>
    <w:uiPriority w:val="1"/>
    <w:pPr>
      <w:keepNext/>
      <w:keepLines/>
      <w:pageBreakBefore/>
      <w:numPr>
        <w:ilvl w:val="0"/>
        <w:numId w:val="1"/>
      </w:numPr>
      <w:spacing w:before="50" w:beforeLines="50" w:after="50" w:afterLines="50" w:line="360" w:lineRule="auto"/>
      <w:jc w:val="center"/>
      <w:outlineLvl w:val="0"/>
    </w:pPr>
    <w:rPr>
      <w:rFonts w:ascii="Times New Roman" w:hAnsi="Times New Roman" w:eastAsia="黑体" w:cs="Times New Roman"/>
      <w:bCs/>
      <w:kern w:val="0"/>
      <w:sz w:val="32"/>
      <w:szCs w:val="44"/>
      <w:lang w:val="en-US" w:eastAsia="zh-CN" w:bidi="ar-SA"/>
    </w:rPr>
  </w:style>
  <w:style w:type="paragraph" w:styleId="4">
    <w:name w:val="heading 2"/>
    <w:next w:val="3"/>
    <w:link w:val="22"/>
    <w:autoRedefine/>
    <w:qFormat/>
    <w:uiPriority w:val="1"/>
    <w:pPr>
      <w:keepNext/>
      <w:keepLines/>
      <w:numPr>
        <w:ilvl w:val="1"/>
        <w:numId w:val="1"/>
      </w:numPr>
      <w:spacing w:before="50" w:beforeLines="50" w:afterLines="50" w:line="360" w:lineRule="auto"/>
      <w:jc w:val="both"/>
      <w:outlineLvl w:val="1"/>
    </w:pPr>
    <w:rPr>
      <w:rFonts w:ascii="Times New Roman" w:hAnsi="Times New Roman" w:eastAsia="黑体" w:cs="Times New Roman"/>
      <w:bCs/>
      <w:kern w:val="2"/>
      <w:sz w:val="28"/>
      <w:szCs w:val="32"/>
      <w:lang w:val="en-US" w:eastAsia="zh-CN" w:bidi="ar-SA"/>
    </w:rPr>
  </w:style>
  <w:style w:type="paragraph" w:styleId="5">
    <w:name w:val="heading 3"/>
    <w:next w:val="3"/>
    <w:link w:val="23"/>
    <w:autoRedefine/>
    <w:qFormat/>
    <w:uiPriority w:val="1"/>
    <w:pPr>
      <w:keepNext/>
      <w:keepLines/>
      <w:numPr>
        <w:ilvl w:val="2"/>
        <w:numId w:val="1"/>
      </w:numPr>
      <w:spacing w:before="50" w:beforeLines="50" w:afterLines="50" w:line="360" w:lineRule="auto"/>
      <w:jc w:val="both"/>
      <w:outlineLvl w:val="2"/>
    </w:pPr>
    <w:rPr>
      <w:rFonts w:ascii="Times New Roman" w:hAnsi="Times New Roman" w:eastAsia="黑体" w:cs="Times New Roman"/>
      <w:bCs/>
      <w:color w:val="000000"/>
      <w:kern w:val="0"/>
      <w:sz w:val="24"/>
      <w:szCs w:val="24"/>
      <w:lang w:val="en-US" w:eastAsia="ar-SA" w:bidi="ar-SA"/>
    </w:rPr>
  </w:style>
  <w:style w:type="paragraph" w:styleId="6">
    <w:name w:val="heading 4"/>
    <w:next w:val="3"/>
    <w:link w:val="24"/>
    <w:autoRedefine/>
    <w:qFormat/>
    <w:uiPriority w:val="1"/>
    <w:pPr>
      <w:keepNext/>
      <w:keepLines/>
      <w:numPr>
        <w:ilvl w:val="3"/>
        <w:numId w:val="1"/>
      </w:numPr>
      <w:spacing w:before="50" w:beforeLines="50" w:after="50" w:afterLines="50" w:line="360" w:lineRule="auto"/>
      <w:jc w:val="both"/>
      <w:outlineLvl w:val="3"/>
    </w:pPr>
    <w:rPr>
      <w:rFonts w:ascii="Times New Roman" w:hAnsi="Times New Roman" w:eastAsia="宋体" w:cs="Times New Roman"/>
      <w:b/>
      <w:bCs/>
      <w:kern w:val="2"/>
      <w:sz w:val="24"/>
      <w:szCs w:val="28"/>
      <w:lang w:val="en-US" w:eastAsia="zh-CN" w:bidi="ar-SA"/>
    </w:rPr>
  </w:style>
  <w:style w:type="paragraph" w:styleId="7">
    <w:name w:val="heading 5"/>
    <w:next w:val="3"/>
    <w:link w:val="25"/>
    <w:autoRedefine/>
    <w:qFormat/>
    <w:uiPriority w:val="1"/>
    <w:pPr>
      <w:keepNext/>
      <w:keepLines/>
      <w:numPr>
        <w:ilvl w:val="4"/>
        <w:numId w:val="1"/>
      </w:numPr>
      <w:spacing w:before="50" w:beforeLines="50" w:after="50" w:afterLines="50" w:line="360" w:lineRule="auto"/>
      <w:ind w:firstLine="482"/>
      <w:outlineLvl w:val="4"/>
    </w:pPr>
    <w:rPr>
      <w:rFonts w:ascii="Times New Roman" w:hAnsi="Times New Roman" w:eastAsia="宋体" w:cs="Times New Roman"/>
      <w:bCs/>
      <w:kern w:val="2"/>
      <w:sz w:val="24"/>
      <w:szCs w:val="28"/>
      <w:lang w:val="en-US" w:eastAsia="zh-CN" w:bidi="ar-SA"/>
    </w:rPr>
  </w:style>
  <w:style w:type="paragraph" w:styleId="8">
    <w:name w:val="heading 6"/>
    <w:next w:val="3"/>
    <w:link w:val="26"/>
    <w:autoRedefine/>
    <w:qFormat/>
    <w:uiPriority w:val="1"/>
    <w:pPr>
      <w:numPr>
        <w:ilvl w:val="5"/>
        <w:numId w:val="1"/>
      </w:numPr>
      <w:spacing w:before="50" w:beforeLines="50" w:after="50" w:afterLines="50" w:line="360" w:lineRule="auto"/>
      <w:jc w:val="both"/>
      <w:outlineLvl w:val="5"/>
    </w:pPr>
    <w:rPr>
      <w:rFonts w:ascii="Times New Roman" w:hAnsi="Times New Roman" w:eastAsia="宋体" w:cs="Times New Roman"/>
      <w:bCs/>
      <w:kern w:val="2"/>
      <w:sz w:val="24"/>
      <w:szCs w:val="24"/>
      <w:lang w:val="en-US" w:eastAsia="zh-CN" w:bidi="ar-SA"/>
    </w:rPr>
  </w:style>
  <w:style w:type="paragraph" w:styleId="9">
    <w:name w:val="heading 7"/>
    <w:next w:val="3"/>
    <w:link w:val="27"/>
    <w:autoRedefine/>
    <w:unhideWhenUsed/>
    <w:qFormat/>
    <w:uiPriority w:val="2"/>
    <w:pPr>
      <w:keepNext/>
      <w:keepLines/>
      <w:numPr>
        <w:ilvl w:val="6"/>
        <w:numId w:val="1"/>
      </w:numPr>
      <w:spacing w:before="50" w:beforeLines="50" w:after="50" w:afterLines="50" w:line="360" w:lineRule="auto"/>
      <w:outlineLvl w:val="6"/>
    </w:pPr>
    <w:rPr>
      <w:rFonts w:ascii="Times New Roman" w:hAnsi="Times New Roman" w:eastAsia="宋体" w:cs="Times New Roman"/>
      <w:bCs/>
      <w:kern w:val="2"/>
      <w:sz w:val="24"/>
      <w:szCs w:val="24"/>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autoRedefine/>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10">
    <w:name w:val="annotation text"/>
    <w:basedOn w:val="1"/>
    <w:link w:val="34"/>
    <w:semiHidden/>
    <w:unhideWhenUsed/>
    <w:qFormat/>
    <w:uiPriority w:val="99"/>
    <w:pPr>
      <w:jc w:val="left"/>
    </w:pPr>
  </w:style>
  <w:style w:type="paragraph" w:styleId="11">
    <w:name w:val="toc 3"/>
    <w:basedOn w:val="1"/>
    <w:next w:val="1"/>
    <w:autoRedefine/>
    <w:unhideWhenUsed/>
    <w:qFormat/>
    <w:uiPriority w:val="39"/>
    <w:pPr>
      <w:ind w:left="840" w:leftChars="400"/>
    </w:pPr>
    <w:rPr>
      <w:rFonts w:ascii="Times New Roman" w:hAnsi="Times New Roman" w:eastAsia="黑体"/>
      <w:sz w:val="24"/>
    </w:rPr>
  </w:style>
  <w:style w:type="paragraph" w:styleId="12">
    <w:name w:val="Balloon Text"/>
    <w:basedOn w:val="1"/>
    <w:link w:val="36"/>
    <w:semiHidden/>
    <w:unhideWhenUsed/>
    <w:qFormat/>
    <w:uiPriority w:val="99"/>
    <w:rPr>
      <w:sz w:val="18"/>
      <w:szCs w:val="18"/>
    </w:rPr>
  </w:style>
  <w:style w:type="paragraph" w:styleId="13">
    <w:name w:val="footer"/>
    <w:basedOn w:val="1"/>
    <w:link w:val="3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autoRedefine/>
    <w:unhideWhenUsed/>
    <w:qFormat/>
    <w:uiPriority w:val="39"/>
    <w:rPr>
      <w:rFonts w:ascii="Times New Roman" w:hAnsi="Times New Roman" w:eastAsia="黑体"/>
      <w:sz w:val="24"/>
    </w:rPr>
  </w:style>
  <w:style w:type="paragraph" w:styleId="16">
    <w:name w:val="toc 2"/>
    <w:basedOn w:val="1"/>
    <w:next w:val="1"/>
    <w:autoRedefine/>
    <w:unhideWhenUsed/>
    <w:qFormat/>
    <w:uiPriority w:val="39"/>
    <w:pPr>
      <w:ind w:left="420" w:leftChars="200"/>
    </w:pPr>
    <w:rPr>
      <w:rFonts w:ascii="Times New Roman" w:hAnsi="Times New Roman" w:eastAsia="黑体"/>
      <w:sz w:val="24"/>
    </w:rPr>
  </w:style>
  <w:style w:type="paragraph" w:styleId="17">
    <w:name w:val="annotation subject"/>
    <w:basedOn w:val="10"/>
    <w:next w:val="10"/>
    <w:link w:val="35"/>
    <w:semiHidden/>
    <w:unhideWhenUsed/>
    <w:qFormat/>
    <w:uiPriority w:val="99"/>
    <w:rPr>
      <w:b/>
      <w:bCs/>
    </w:r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1"/>
    <w:rPr>
      <w:rFonts w:ascii="Times New Roman" w:hAnsi="Times New Roman" w:eastAsia="黑体" w:cs="Times New Roman"/>
      <w:bCs/>
      <w:kern w:val="0"/>
      <w:sz w:val="32"/>
      <w:szCs w:val="44"/>
    </w:rPr>
  </w:style>
  <w:style w:type="character" w:customStyle="1" w:styleId="22">
    <w:name w:val="标题 2 字符"/>
    <w:basedOn w:val="19"/>
    <w:link w:val="4"/>
    <w:qFormat/>
    <w:uiPriority w:val="1"/>
    <w:rPr>
      <w:rFonts w:ascii="Times New Roman" w:hAnsi="Times New Roman" w:eastAsia="黑体" w:cs="Times New Roman"/>
      <w:bCs/>
      <w:sz w:val="28"/>
      <w:szCs w:val="32"/>
    </w:rPr>
  </w:style>
  <w:style w:type="character" w:customStyle="1" w:styleId="23">
    <w:name w:val="标题 3 字符"/>
    <w:basedOn w:val="19"/>
    <w:link w:val="5"/>
    <w:qFormat/>
    <w:uiPriority w:val="1"/>
    <w:rPr>
      <w:rFonts w:ascii="Times New Roman" w:hAnsi="Times New Roman" w:eastAsia="黑体" w:cs="Times New Roman"/>
      <w:bCs/>
      <w:color w:val="000000"/>
      <w:kern w:val="0"/>
      <w:sz w:val="24"/>
      <w:szCs w:val="24"/>
      <w:lang w:eastAsia="ar-SA"/>
    </w:rPr>
  </w:style>
  <w:style w:type="character" w:customStyle="1" w:styleId="24">
    <w:name w:val="标题 4 字符"/>
    <w:basedOn w:val="19"/>
    <w:link w:val="6"/>
    <w:qFormat/>
    <w:uiPriority w:val="1"/>
    <w:rPr>
      <w:rFonts w:ascii="Times New Roman" w:hAnsi="Times New Roman" w:eastAsia="宋体" w:cs="Times New Roman"/>
      <w:b/>
      <w:bCs/>
      <w:sz w:val="24"/>
      <w:szCs w:val="28"/>
    </w:rPr>
  </w:style>
  <w:style w:type="character" w:customStyle="1" w:styleId="25">
    <w:name w:val="标题 5 字符"/>
    <w:basedOn w:val="19"/>
    <w:link w:val="7"/>
    <w:qFormat/>
    <w:uiPriority w:val="1"/>
    <w:rPr>
      <w:rFonts w:ascii="Times New Roman" w:hAnsi="Times New Roman" w:eastAsia="宋体" w:cs="Times New Roman"/>
      <w:bCs/>
      <w:sz w:val="24"/>
      <w:szCs w:val="28"/>
    </w:rPr>
  </w:style>
  <w:style w:type="character" w:customStyle="1" w:styleId="26">
    <w:name w:val="标题 6 字符"/>
    <w:basedOn w:val="19"/>
    <w:link w:val="8"/>
    <w:qFormat/>
    <w:uiPriority w:val="1"/>
    <w:rPr>
      <w:rFonts w:ascii="Times New Roman" w:hAnsi="Times New Roman" w:eastAsia="宋体" w:cs="Times New Roman"/>
      <w:bCs/>
      <w:sz w:val="24"/>
      <w:szCs w:val="24"/>
    </w:rPr>
  </w:style>
  <w:style w:type="character" w:customStyle="1" w:styleId="27">
    <w:name w:val="标题 7 字符"/>
    <w:basedOn w:val="19"/>
    <w:link w:val="9"/>
    <w:qFormat/>
    <w:uiPriority w:val="2"/>
    <w:rPr>
      <w:rFonts w:ascii="Times New Roman" w:hAnsi="Times New Roman" w:eastAsia="宋体" w:cs="Times New Roman"/>
      <w:bCs/>
      <w:sz w:val="24"/>
      <w:szCs w:val="24"/>
    </w:rPr>
  </w:style>
  <w:style w:type="paragraph" w:customStyle="1" w:styleId="28">
    <w:name w:val="表格后说明"/>
    <w:next w:val="3"/>
    <w:autoRedefine/>
    <w:qFormat/>
    <w:uiPriority w:val="3"/>
    <w:pPr>
      <w:jc w:val="both"/>
    </w:pPr>
    <w:rPr>
      <w:rFonts w:ascii="Times New Roman" w:hAnsi="Times New Roman" w:eastAsia="宋体" w:cs="Times New Roman"/>
      <w:kern w:val="2"/>
      <w:sz w:val="21"/>
      <w:szCs w:val="24"/>
      <w:lang w:val="en-US" w:eastAsia="zh-CN" w:bidi="ar-SA"/>
    </w:rPr>
  </w:style>
  <w:style w:type="paragraph" w:customStyle="1" w:styleId="29">
    <w:name w:val="表格前单位"/>
    <w:next w:val="3"/>
    <w:autoRedefine/>
    <w:qFormat/>
    <w:uiPriority w:val="2"/>
    <w:pPr>
      <w:keepNext/>
      <w:jc w:val="right"/>
    </w:pPr>
    <w:rPr>
      <w:rFonts w:ascii="Times New Roman" w:hAnsi="Times New Roman" w:eastAsia="宋体" w:cs="Times New Roman"/>
      <w:kern w:val="2"/>
      <w:sz w:val="21"/>
      <w:szCs w:val="24"/>
      <w:lang w:val="en-US" w:eastAsia="zh-CN" w:bidi="ar-SA"/>
    </w:rPr>
  </w:style>
  <w:style w:type="table" w:customStyle="1" w:styleId="30">
    <w:name w:val="报告表格"/>
    <w:basedOn w:val="18"/>
    <w:qFormat/>
    <w:uiPriority w:val="99"/>
    <w:rPr>
      <w:rFonts w:ascii="Times New Roman" w:hAnsi="Times New Roman" w:eastAsia="宋体"/>
      <w:sz w:val="18"/>
    </w:rPr>
  </w:style>
  <w:style w:type="paragraph" w:customStyle="1" w:styleId="31">
    <w:name w:val="TOC Heading"/>
    <w:basedOn w:val="2"/>
    <w:next w:val="1"/>
    <w:unhideWhenUsed/>
    <w:qFormat/>
    <w:uiPriority w:val="39"/>
    <w:pPr>
      <w:pageBreakBefore w:val="0"/>
      <w:numPr>
        <w:numId w:val="0"/>
      </w:numPr>
      <w:snapToGrid w:val="0"/>
      <w:spacing w:before="240" w:beforeLines="0" w:after="0" w:afterLines="0" w:line="259" w:lineRule="auto"/>
      <w:outlineLvl w:val="9"/>
    </w:pPr>
    <w:rPr>
      <w:bCs w:val="0"/>
      <w:szCs w:val="32"/>
    </w:rPr>
  </w:style>
  <w:style w:type="character" w:customStyle="1" w:styleId="32">
    <w:name w:val="页脚 字符"/>
    <w:basedOn w:val="19"/>
    <w:link w:val="13"/>
    <w:qFormat/>
    <w:uiPriority w:val="0"/>
    <w:rPr>
      <w:rFonts w:ascii="Times New Roman" w:hAnsi="Times New Roman" w:eastAsia="宋体" w:cs="Times New Roman"/>
      <w:sz w:val="18"/>
      <w:szCs w:val="18"/>
    </w:rPr>
  </w:style>
  <w:style w:type="character" w:customStyle="1" w:styleId="33">
    <w:name w:val="页眉 字符"/>
    <w:basedOn w:val="19"/>
    <w:link w:val="14"/>
    <w:qFormat/>
    <w:uiPriority w:val="0"/>
    <w:rPr>
      <w:rFonts w:ascii="Times New Roman" w:hAnsi="Times New Roman" w:eastAsia="宋体" w:cs="Times New Roman"/>
      <w:sz w:val="18"/>
      <w:szCs w:val="18"/>
    </w:rPr>
  </w:style>
  <w:style w:type="character" w:customStyle="1" w:styleId="34">
    <w:name w:val="批注文字 字符"/>
    <w:basedOn w:val="19"/>
    <w:link w:val="10"/>
    <w:semiHidden/>
    <w:qFormat/>
    <w:uiPriority w:val="99"/>
  </w:style>
  <w:style w:type="character" w:customStyle="1" w:styleId="35">
    <w:name w:val="批注主题 字符"/>
    <w:basedOn w:val="34"/>
    <w:link w:val="17"/>
    <w:semiHidden/>
    <w:qFormat/>
    <w:uiPriority w:val="99"/>
    <w:rPr>
      <w:b/>
      <w:bCs/>
    </w:rPr>
  </w:style>
  <w:style w:type="character" w:customStyle="1" w:styleId="36">
    <w:name w:val="批注框文本 字符"/>
    <w:basedOn w:val="19"/>
    <w:link w:val="1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5227</Words>
  <Characters>5421</Characters>
  <Lines>41</Lines>
  <Paragraphs>11</Paragraphs>
  <TotalTime>18</TotalTime>
  <ScaleCrop>false</ScaleCrop>
  <LinksUpToDate>false</LinksUpToDate>
  <CharactersWithSpaces>5650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2025-10-30T07:11:00Z</dcterms:created>
  <dc:creator>卢行健</dc:creator>
  <cp:lastModifiedBy>YangW</cp:lastModifiedBy>
  <cp:lastPrinted>2024-02-27T03:37:00Z</cp:lastPrinted>
  <dcterms:modified xsi:type="dcterms:W3CDTF">2026-06-17T09:13:02Z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eyJoZGlkIjoiNTY5YjBjNjNmNWY1MDI3YjgxZDFhYmUyODRhZmU2NmMiLCJ1c2VySWQiOiI1OTcyMjIxMDUifQ==</vt:lpwstr>
  </property>
  <property fmtid="{D5CDD505-2E9C-101B-9397-08002B2CF9AE}" pid="3" name="KSOProductBuildVer">
    <vt:lpwstr>2052-12.8.2.18205</vt:lpwstr>
  </property>
  <property fmtid="{D5CDD505-2E9C-101B-9397-08002B2CF9AE}" pid="4" name="ICV">
    <vt:lpwstr>21842D5C4B724288A9A6CC3A42203200_13</vt:lpwstr>
  </property>
</Properties>
</file>