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338D9D">
      <w:pPr>
        <w:keepNext/>
        <w:keepLines/>
        <w:spacing w:before="260" w:after="260" w:line="360" w:lineRule="auto"/>
        <w:jc w:val="center"/>
        <w:outlineLvl w:val="1"/>
        <w:rPr>
          <w:rFonts w:ascii="宋体" w:hAnsi="宋体" w:eastAsia="宋体" w:cs="Times New Roman"/>
          <w:b/>
          <w:bCs/>
          <w:iCs/>
          <w:sz w:val="24"/>
          <w:szCs w:val="24"/>
        </w:rPr>
      </w:pPr>
      <w:r>
        <w:rPr>
          <w:rFonts w:hint="eastAsia" w:ascii="宋体" w:hAnsi="宋体" w:eastAsia="宋体" w:cs="Times New Roman"/>
          <w:b/>
          <w:bCs/>
          <w:iCs/>
          <w:sz w:val="24"/>
          <w:szCs w:val="24"/>
        </w:rPr>
        <w:t>证券代码：688082                                 证券简称：盛美上海</w:t>
      </w:r>
    </w:p>
    <w:p w14:paraId="3ECCAF87">
      <w:pPr>
        <w:keepNext/>
        <w:keepLines/>
        <w:spacing w:before="156" w:beforeLines="50" w:after="156" w:afterLines="50" w:line="360" w:lineRule="auto"/>
        <w:jc w:val="center"/>
        <w:outlineLvl w:val="1"/>
        <w:rPr>
          <w:rFonts w:ascii="宋体" w:hAnsi="宋体" w:eastAsia="宋体" w:cs="Times New Roman"/>
          <w:b/>
          <w:bCs/>
          <w:sz w:val="32"/>
          <w:szCs w:val="32"/>
        </w:rPr>
      </w:pPr>
      <w:r>
        <w:rPr>
          <w:rFonts w:hint="eastAsia" w:ascii="宋体" w:hAnsi="宋体" w:eastAsia="宋体" w:cs="Times New Roman"/>
          <w:b/>
          <w:bCs/>
          <w:sz w:val="32"/>
          <w:szCs w:val="32"/>
        </w:rPr>
        <w:t>盛美半导体设备（上海）股份有限公司</w:t>
      </w:r>
    </w:p>
    <w:p w14:paraId="4D76B2AC">
      <w:pPr>
        <w:keepNext/>
        <w:keepLines/>
        <w:spacing w:before="156" w:beforeLines="50" w:after="156" w:afterLines="50" w:line="360" w:lineRule="auto"/>
        <w:jc w:val="center"/>
        <w:outlineLvl w:val="1"/>
        <w:rPr>
          <w:rFonts w:ascii="宋体" w:hAnsi="宋体" w:eastAsia="宋体" w:cs="Times New Roman"/>
          <w:b/>
          <w:bCs/>
          <w:sz w:val="32"/>
          <w:szCs w:val="32"/>
        </w:rPr>
      </w:pPr>
      <w:r>
        <w:rPr>
          <w:rFonts w:hint="eastAsia" w:ascii="宋体" w:hAnsi="宋体" w:eastAsia="宋体" w:cs="Times New Roman"/>
          <w:b/>
          <w:bCs/>
          <w:sz w:val="32"/>
          <w:szCs w:val="32"/>
        </w:rPr>
        <w:t>投资者关系活动记录表</w:t>
      </w:r>
    </w:p>
    <w:p w14:paraId="5DB14826">
      <w:pPr>
        <w:keepNext/>
        <w:keepLines/>
        <w:spacing w:before="260" w:after="260" w:line="360" w:lineRule="auto"/>
        <w:jc w:val="center"/>
        <w:outlineLvl w:val="1"/>
        <w:rPr>
          <w:rFonts w:ascii="宋体" w:hAnsi="宋体" w:eastAsia="宋体" w:cs="Times New Roman"/>
          <w:b/>
          <w:bCs/>
          <w:sz w:val="24"/>
          <w:szCs w:val="24"/>
        </w:rPr>
      </w:pPr>
      <w:r>
        <w:rPr>
          <w:rFonts w:hint="eastAsia" w:ascii="宋体" w:hAnsi="宋体" w:eastAsia="宋体" w:cs="Times New Roman"/>
          <w:b/>
          <w:bCs/>
          <w:sz w:val="24"/>
          <w:szCs w:val="24"/>
        </w:rPr>
        <w:t>编号：202</w:t>
      </w:r>
      <w:r>
        <w:rPr>
          <w:rFonts w:hint="eastAsia" w:ascii="宋体" w:hAnsi="宋体" w:eastAsia="宋体" w:cs="Times New Roman"/>
          <w:b/>
          <w:bCs/>
          <w:sz w:val="24"/>
          <w:szCs w:val="24"/>
          <w:lang w:val="en-US" w:eastAsia="zh-CN"/>
        </w:rPr>
        <w:t>6</w:t>
      </w:r>
      <w:r>
        <w:rPr>
          <w:rFonts w:hint="eastAsia" w:ascii="宋体" w:hAnsi="宋体" w:eastAsia="宋体" w:cs="Times New Roman"/>
          <w:b/>
          <w:bCs/>
          <w:sz w:val="24"/>
          <w:szCs w:val="24"/>
        </w:rPr>
        <w:t>-</w:t>
      </w:r>
      <w:r>
        <w:rPr>
          <w:rFonts w:ascii="宋体" w:hAnsi="宋体" w:eastAsia="宋体" w:cs="Times New Roman"/>
          <w:b/>
          <w:bCs/>
          <w:sz w:val="24"/>
          <w:szCs w:val="24"/>
        </w:rPr>
        <w:t>0</w:t>
      </w:r>
      <w:r>
        <w:rPr>
          <w:rFonts w:hint="eastAsia" w:ascii="宋体" w:hAnsi="宋体" w:eastAsia="宋体" w:cs="Times New Roman"/>
          <w:b/>
          <w:bCs/>
          <w:sz w:val="24"/>
          <w:szCs w:val="24"/>
          <w:lang w:val="en-US" w:eastAsia="zh-CN"/>
        </w:rPr>
        <w:t>4</w:t>
      </w:r>
    </w:p>
    <w:tbl>
      <w:tblPr>
        <w:tblStyle w:val="7"/>
        <w:tblW w:w="88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3"/>
        <w:gridCol w:w="6287"/>
      </w:tblGrid>
      <w:tr w14:paraId="07748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shd w:val="clear" w:color="auto" w:fill="auto"/>
          </w:tcPr>
          <w:p w14:paraId="7529C792">
            <w:pPr>
              <w:spacing w:line="360" w:lineRule="auto"/>
              <w:rPr>
                <w:rFonts w:ascii="宋体" w:hAnsi="宋体" w:eastAsia="宋体" w:cs="Times New Roman"/>
                <w:b/>
                <w:bCs/>
                <w:iCs/>
                <w:sz w:val="24"/>
                <w:szCs w:val="24"/>
              </w:rPr>
            </w:pPr>
            <w:r>
              <w:rPr>
                <w:rFonts w:hint="eastAsia" w:ascii="宋体" w:hAnsi="宋体" w:eastAsia="宋体" w:cs="Times New Roman"/>
                <w:b/>
                <w:bCs/>
                <w:iCs/>
                <w:sz w:val="24"/>
                <w:szCs w:val="24"/>
              </w:rPr>
              <w:t>投资者关系</w:t>
            </w:r>
          </w:p>
          <w:p w14:paraId="5EDA3036">
            <w:pPr>
              <w:spacing w:line="360" w:lineRule="auto"/>
              <w:rPr>
                <w:rFonts w:ascii="宋体" w:hAnsi="宋体" w:eastAsia="宋体" w:cs="Times New Roman"/>
                <w:b/>
                <w:bCs/>
                <w:iCs/>
                <w:sz w:val="24"/>
                <w:szCs w:val="24"/>
              </w:rPr>
            </w:pPr>
            <w:r>
              <w:rPr>
                <w:rFonts w:hint="eastAsia" w:ascii="宋体" w:hAnsi="宋体" w:eastAsia="宋体" w:cs="Times New Roman"/>
                <w:b/>
                <w:bCs/>
                <w:iCs/>
                <w:sz w:val="24"/>
                <w:szCs w:val="24"/>
              </w:rPr>
              <w:t>活动类别</w:t>
            </w:r>
          </w:p>
          <w:p w14:paraId="73787157">
            <w:pPr>
              <w:spacing w:line="360" w:lineRule="auto"/>
              <w:rPr>
                <w:rFonts w:ascii="宋体" w:hAnsi="宋体" w:eastAsia="宋体" w:cs="Times New Roman"/>
                <w:b/>
                <w:bCs/>
                <w:iCs/>
                <w:sz w:val="24"/>
                <w:szCs w:val="24"/>
              </w:rPr>
            </w:pPr>
          </w:p>
        </w:tc>
        <w:tc>
          <w:tcPr>
            <w:tcW w:w="6287" w:type="dxa"/>
            <w:shd w:val="clear" w:color="auto" w:fill="auto"/>
          </w:tcPr>
          <w:p w14:paraId="6EA0FBC2">
            <w:pPr>
              <w:spacing w:line="360" w:lineRule="auto"/>
              <w:rPr>
                <w:rFonts w:ascii="宋体" w:hAnsi="宋体" w:eastAsia="宋体" w:cs="Times New Roman"/>
                <w:bCs/>
                <w:iCs/>
                <w:sz w:val="24"/>
                <w:szCs w:val="24"/>
              </w:rPr>
            </w:pPr>
            <w:r>
              <w:rPr>
                <w:rFonts w:hint="eastAsia" w:ascii="宋体" w:hAnsi="宋体" w:eastAsia="宋体" w:cs="Times New Roman"/>
                <w:bCs/>
                <w:iCs/>
                <w:sz w:val="24"/>
                <w:szCs w:val="24"/>
              </w:rPr>
              <w:t>√</w:t>
            </w:r>
            <w:r>
              <w:rPr>
                <w:rFonts w:hint="eastAsia" w:ascii="宋体" w:hAnsi="宋体" w:eastAsia="宋体" w:cs="Times New Roman"/>
                <w:sz w:val="24"/>
                <w:szCs w:val="24"/>
              </w:rPr>
              <w:t xml:space="preserve">特定对象调研        </w:t>
            </w:r>
            <w:r>
              <w:rPr>
                <w:rFonts w:hint="eastAsia" w:ascii="宋体" w:hAnsi="宋体" w:eastAsia="宋体" w:cs="Times New Roman"/>
                <w:bCs/>
                <w:iCs/>
                <w:sz w:val="24"/>
                <w:szCs w:val="24"/>
                <w:lang w:eastAsia="zh-CN"/>
              </w:rPr>
              <w:t>□</w:t>
            </w:r>
            <w:r>
              <w:rPr>
                <w:rFonts w:hint="eastAsia" w:ascii="宋体" w:hAnsi="宋体" w:eastAsia="宋体" w:cs="Times New Roman"/>
                <w:sz w:val="24"/>
                <w:szCs w:val="24"/>
              </w:rPr>
              <w:t>分析师会议</w:t>
            </w:r>
          </w:p>
          <w:p w14:paraId="30E723B5">
            <w:pPr>
              <w:spacing w:line="360" w:lineRule="auto"/>
              <w:rPr>
                <w:rFonts w:ascii="宋体" w:hAnsi="宋体" w:eastAsia="宋体" w:cs="Times New Roman"/>
                <w:bCs/>
                <w:iCs/>
                <w:sz w:val="24"/>
                <w:szCs w:val="24"/>
              </w:rPr>
            </w:pPr>
            <w:r>
              <w:rPr>
                <w:rFonts w:hint="eastAsia" w:ascii="宋体" w:hAnsi="宋体" w:eastAsia="宋体" w:cs="Times New Roman"/>
                <w:bCs/>
                <w:iCs/>
                <w:sz w:val="24"/>
                <w:szCs w:val="24"/>
              </w:rPr>
              <w:t>□</w:t>
            </w:r>
            <w:r>
              <w:rPr>
                <w:rFonts w:hint="eastAsia" w:ascii="宋体" w:hAnsi="宋体" w:eastAsia="宋体" w:cs="Times New Roman"/>
                <w:sz w:val="24"/>
                <w:szCs w:val="24"/>
              </w:rPr>
              <w:t xml:space="preserve">媒体采访            </w:t>
            </w:r>
            <w:r>
              <w:rPr>
                <w:rFonts w:hint="eastAsia" w:ascii="宋体" w:hAnsi="宋体" w:eastAsia="宋体" w:cs="Times New Roman"/>
                <w:bCs/>
                <w:iCs/>
                <w:sz w:val="24"/>
                <w:szCs w:val="24"/>
              </w:rPr>
              <w:t>□</w:t>
            </w:r>
            <w:r>
              <w:rPr>
                <w:rFonts w:hint="eastAsia" w:ascii="宋体" w:hAnsi="宋体" w:eastAsia="宋体" w:cs="Times New Roman"/>
                <w:sz w:val="24"/>
                <w:szCs w:val="24"/>
              </w:rPr>
              <w:t>业绩说明会</w:t>
            </w:r>
          </w:p>
          <w:p w14:paraId="2E51B5B1">
            <w:pPr>
              <w:spacing w:line="360" w:lineRule="auto"/>
              <w:rPr>
                <w:rFonts w:ascii="宋体" w:hAnsi="宋体" w:eastAsia="宋体" w:cs="Times New Roman"/>
                <w:bCs/>
                <w:iCs/>
                <w:sz w:val="24"/>
                <w:szCs w:val="24"/>
              </w:rPr>
            </w:pPr>
            <w:r>
              <w:rPr>
                <w:rFonts w:hint="eastAsia" w:ascii="宋体" w:hAnsi="宋体" w:eastAsia="宋体" w:cs="Times New Roman"/>
                <w:bCs/>
                <w:iCs/>
                <w:sz w:val="24"/>
                <w:szCs w:val="24"/>
              </w:rPr>
              <w:t>□</w:t>
            </w:r>
            <w:r>
              <w:rPr>
                <w:rFonts w:hint="eastAsia" w:ascii="宋体" w:hAnsi="宋体" w:eastAsia="宋体" w:cs="Times New Roman"/>
                <w:sz w:val="24"/>
                <w:szCs w:val="24"/>
              </w:rPr>
              <w:t xml:space="preserve">新闻发布会          </w:t>
            </w:r>
            <w:r>
              <w:rPr>
                <w:rFonts w:hint="eastAsia" w:ascii="宋体" w:hAnsi="宋体" w:eastAsia="宋体" w:cs="Times New Roman"/>
                <w:bCs/>
                <w:iCs/>
                <w:sz w:val="24"/>
                <w:szCs w:val="24"/>
              </w:rPr>
              <w:t>□</w:t>
            </w:r>
            <w:r>
              <w:rPr>
                <w:rFonts w:hint="eastAsia" w:ascii="宋体" w:hAnsi="宋体" w:eastAsia="宋体" w:cs="Times New Roman"/>
                <w:sz w:val="24"/>
                <w:szCs w:val="24"/>
              </w:rPr>
              <w:t>路演活动</w:t>
            </w:r>
          </w:p>
          <w:p w14:paraId="0FB4001A">
            <w:pPr>
              <w:tabs>
                <w:tab w:val="left" w:pos="2690"/>
                <w:tab w:val="center" w:pos="3199"/>
              </w:tabs>
              <w:spacing w:line="360" w:lineRule="auto"/>
              <w:rPr>
                <w:rFonts w:ascii="宋体" w:hAnsi="宋体" w:eastAsia="宋体" w:cs="Times New Roman"/>
                <w:bCs/>
                <w:iCs/>
                <w:sz w:val="24"/>
                <w:szCs w:val="24"/>
              </w:rPr>
            </w:pPr>
            <w:r>
              <w:rPr>
                <w:rFonts w:hint="eastAsia" w:ascii="宋体" w:hAnsi="宋体" w:eastAsia="宋体" w:cs="Times New Roman"/>
                <w:bCs/>
                <w:iCs/>
                <w:sz w:val="24"/>
                <w:szCs w:val="24"/>
              </w:rPr>
              <w:t>√</w:t>
            </w:r>
            <w:r>
              <w:rPr>
                <w:rFonts w:hint="eastAsia" w:ascii="宋体" w:hAnsi="宋体" w:eastAsia="宋体" w:cs="Times New Roman"/>
                <w:sz w:val="24"/>
                <w:szCs w:val="24"/>
              </w:rPr>
              <w:t xml:space="preserve">现场参观            </w:t>
            </w:r>
            <w:r>
              <w:rPr>
                <w:rFonts w:hint="eastAsia" w:ascii="宋体" w:hAnsi="宋体" w:eastAsia="宋体" w:cs="Times New Roman"/>
                <w:bCs/>
                <w:iCs/>
                <w:sz w:val="24"/>
                <w:szCs w:val="24"/>
              </w:rPr>
              <w:t>√</w:t>
            </w:r>
            <w:r>
              <w:rPr>
                <w:rFonts w:hint="eastAsia" w:ascii="宋体" w:hAnsi="宋体" w:eastAsia="宋体" w:cs="Times New Roman"/>
                <w:sz w:val="24"/>
                <w:szCs w:val="24"/>
              </w:rPr>
              <w:t>其他</w:t>
            </w:r>
          </w:p>
        </w:tc>
      </w:tr>
      <w:tr w14:paraId="1725D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shd w:val="clear" w:color="auto" w:fill="auto"/>
          </w:tcPr>
          <w:p w14:paraId="1D49BC5C">
            <w:pPr>
              <w:spacing w:line="360" w:lineRule="auto"/>
              <w:rPr>
                <w:rFonts w:ascii="宋体" w:hAnsi="宋体" w:eastAsia="宋体" w:cs="Times New Roman"/>
                <w:b/>
                <w:bCs/>
                <w:iCs/>
                <w:sz w:val="24"/>
                <w:szCs w:val="24"/>
              </w:rPr>
            </w:pPr>
            <w:r>
              <w:rPr>
                <w:rFonts w:hint="eastAsia" w:ascii="宋体" w:hAnsi="宋体" w:eastAsia="宋体" w:cs="Times New Roman"/>
                <w:b/>
                <w:bCs/>
                <w:iCs/>
                <w:sz w:val="24"/>
                <w:szCs w:val="24"/>
              </w:rPr>
              <w:t>会议时间</w:t>
            </w:r>
          </w:p>
        </w:tc>
        <w:tc>
          <w:tcPr>
            <w:tcW w:w="6287" w:type="dxa"/>
            <w:shd w:val="clear" w:color="auto" w:fill="auto"/>
          </w:tcPr>
          <w:p w14:paraId="30CBD7E2">
            <w:pPr>
              <w:spacing w:line="360" w:lineRule="auto"/>
              <w:rPr>
                <w:rFonts w:ascii="宋体" w:hAnsi="宋体" w:eastAsia="宋体" w:cs="Times New Roman"/>
                <w:bCs/>
                <w:iCs/>
                <w:sz w:val="24"/>
                <w:szCs w:val="24"/>
              </w:rPr>
            </w:pPr>
            <w:r>
              <w:rPr>
                <w:rFonts w:hint="eastAsia" w:ascii="宋体" w:hAnsi="宋体" w:eastAsia="宋体" w:cs="Times New Roman"/>
                <w:bCs/>
                <w:iCs/>
                <w:sz w:val="24"/>
                <w:szCs w:val="24"/>
              </w:rPr>
              <w:t>202</w:t>
            </w:r>
            <w:r>
              <w:rPr>
                <w:rFonts w:hint="eastAsia" w:ascii="宋体" w:hAnsi="宋体" w:eastAsia="宋体" w:cs="Times New Roman"/>
                <w:bCs/>
                <w:iCs/>
                <w:sz w:val="24"/>
                <w:szCs w:val="24"/>
                <w:lang w:val="en-US" w:eastAsia="zh-CN"/>
              </w:rPr>
              <w:t>6</w:t>
            </w:r>
            <w:r>
              <w:rPr>
                <w:rFonts w:hint="eastAsia" w:ascii="宋体" w:hAnsi="宋体" w:eastAsia="宋体" w:cs="Times New Roman"/>
                <w:bCs/>
                <w:iCs/>
                <w:sz w:val="24"/>
                <w:szCs w:val="24"/>
              </w:rPr>
              <w:t>年</w:t>
            </w:r>
            <w:r>
              <w:rPr>
                <w:rFonts w:hint="eastAsia" w:ascii="宋体" w:hAnsi="宋体" w:eastAsia="宋体" w:cs="Times New Roman"/>
                <w:bCs/>
                <w:iCs/>
                <w:sz w:val="24"/>
                <w:szCs w:val="24"/>
                <w:lang w:val="en-US" w:eastAsia="zh-CN"/>
              </w:rPr>
              <w:t>6</w:t>
            </w:r>
            <w:r>
              <w:rPr>
                <w:rFonts w:hint="eastAsia" w:ascii="宋体" w:hAnsi="宋体" w:eastAsia="宋体" w:cs="Times New Roman"/>
                <w:bCs/>
                <w:iCs/>
                <w:sz w:val="24"/>
                <w:szCs w:val="24"/>
              </w:rPr>
              <w:t>月</w:t>
            </w:r>
            <w:r>
              <w:rPr>
                <w:rFonts w:hint="eastAsia" w:ascii="宋体" w:hAnsi="宋体" w:eastAsia="宋体" w:cs="Times New Roman"/>
                <w:bCs/>
                <w:iCs/>
                <w:sz w:val="24"/>
                <w:szCs w:val="24"/>
                <w:lang w:val="en-US" w:eastAsia="zh-CN"/>
              </w:rPr>
              <w:t>16</w:t>
            </w:r>
            <w:r>
              <w:rPr>
                <w:rFonts w:hint="eastAsia" w:ascii="宋体" w:hAnsi="宋体" w:eastAsia="宋体" w:cs="Times New Roman"/>
                <w:bCs/>
                <w:iCs/>
                <w:sz w:val="24"/>
                <w:szCs w:val="24"/>
              </w:rPr>
              <w:t>日</w:t>
            </w:r>
          </w:p>
        </w:tc>
      </w:tr>
      <w:tr w14:paraId="41F01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shd w:val="clear" w:color="auto" w:fill="auto"/>
          </w:tcPr>
          <w:p w14:paraId="21C3D198">
            <w:pPr>
              <w:spacing w:line="360" w:lineRule="auto"/>
              <w:rPr>
                <w:rFonts w:ascii="宋体" w:hAnsi="宋体" w:eastAsia="宋体" w:cs="Times New Roman"/>
                <w:b/>
                <w:bCs/>
                <w:iCs/>
                <w:sz w:val="24"/>
                <w:szCs w:val="24"/>
              </w:rPr>
            </w:pPr>
            <w:r>
              <w:rPr>
                <w:rFonts w:hint="eastAsia" w:ascii="宋体" w:hAnsi="宋体" w:eastAsia="宋体" w:cs="Times New Roman"/>
                <w:b/>
                <w:bCs/>
                <w:iCs/>
                <w:sz w:val="24"/>
                <w:szCs w:val="24"/>
              </w:rPr>
              <w:t>会议地点</w:t>
            </w:r>
          </w:p>
        </w:tc>
        <w:tc>
          <w:tcPr>
            <w:tcW w:w="6287" w:type="dxa"/>
            <w:shd w:val="clear" w:color="auto" w:fill="auto"/>
          </w:tcPr>
          <w:p w14:paraId="704C80A5">
            <w:pPr>
              <w:spacing w:line="360" w:lineRule="auto"/>
              <w:rPr>
                <w:rFonts w:hint="default" w:ascii="宋体" w:hAnsi="宋体" w:eastAsia="宋体" w:cs="Times New Roman"/>
                <w:bCs/>
                <w:iCs/>
                <w:sz w:val="24"/>
                <w:szCs w:val="24"/>
                <w:lang w:val="en-US" w:eastAsia="zh-CN"/>
              </w:rPr>
            </w:pPr>
            <w:r>
              <w:rPr>
                <w:rFonts w:hint="eastAsia" w:ascii="宋体" w:hAnsi="宋体" w:eastAsia="宋体" w:cs="Times New Roman"/>
                <w:bCs/>
                <w:iCs/>
                <w:sz w:val="24"/>
                <w:szCs w:val="24"/>
              </w:rPr>
              <w:t>上海市浦东新区新元南路3</w:t>
            </w:r>
            <w:r>
              <w:rPr>
                <w:rFonts w:ascii="宋体" w:hAnsi="宋体" w:eastAsia="宋体" w:cs="Times New Roman"/>
                <w:bCs/>
                <w:iCs/>
                <w:sz w:val="24"/>
                <w:szCs w:val="24"/>
              </w:rPr>
              <w:t>88</w:t>
            </w:r>
            <w:r>
              <w:rPr>
                <w:rFonts w:hint="eastAsia" w:ascii="宋体" w:hAnsi="宋体" w:eastAsia="宋体" w:cs="Times New Roman"/>
                <w:bCs/>
                <w:iCs/>
                <w:sz w:val="24"/>
                <w:szCs w:val="24"/>
              </w:rPr>
              <w:t>号</w:t>
            </w:r>
          </w:p>
        </w:tc>
      </w:tr>
      <w:tr w14:paraId="4C63D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shd w:val="clear" w:color="auto" w:fill="auto"/>
          </w:tcPr>
          <w:p w14:paraId="33C61F4C">
            <w:pPr>
              <w:spacing w:line="360" w:lineRule="auto"/>
              <w:rPr>
                <w:rFonts w:ascii="宋体" w:hAnsi="宋体" w:eastAsia="宋体" w:cs="Times New Roman"/>
                <w:b/>
                <w:bCs/>
                <w:iCs/>
                <w:sz w:val="24"/>
                <w:szCs w:val="24"/>
              </w:rPr>
            </w:pPr>
            <w:r>
              <w:rPr>
                <w:rFonts w:hint="eastAsia" w:ascii="宋体" w:hAnsi="宋体" w:eastAsia="宋体" w:cs="Times New Roman"/>
                <w:b/>
                <w:bCs/>
                <w:iCs/>
                <w:sz w:val="24"/>
                <w:szCs w:val="24"/>
              </w:rPr>
              <w:t>上市公司</w:t>
            </w:r>
          </w:p>
          <w:p w14:paraId="52AB8578">
            <w:pPr>
              <w:spacing w:line="360" w:lineRule="auto"/>
              <w:rPr>
                <w:rFonts w:ascii="宋体" w:hAnsi="宋体" w:eastAsia="宋体" w:cs="Times New Roman"/>
                <w:b/>
                <w:bCs/>
                <w:iCs/>
                <w:sz w:val="24"/>
                <w:szCs w:val="24"/>
              </w:rPr>
            </w:pPr>
            <w:r>
              <w:rPr>
                <w:rFonts w:hint="eastAsia" w:ascii="宋体" w:hAnsi="宋体" w:eastAsia="宋体" w:cs="Times New Roman"/>
                <w:b/>
                <w:bCs/>
                <w:iCs/>
                <w:sz w:val="24"/>
                <w:szCs w:val="24"/>
              </w:rPr>
              <w:t>接待人员姓名</w:t>
            </w:r>
          </w:p>
        </w:tc>
        <w:tc>
          <w:tcPr>
            <w:tcW w:w="6287" w:type="dxa"/>
            <w:shd w:val="clear" w:color="auto" w:fill="auto"/>
          </w:tcPr>
          <w:p w14:paraId="192C24C9">
            <w:pPr>
              <w:spacing w:line="360" w:lineRule="auto"/>
              <w:rPr>
                <w:rFonts w:ascii="宋体" w:hAnsi="宋体" w:eastAsia="宋体" w:cs="Times New Roman"/>
                <w:bCs/>
                <w:iCs/>
                <w:sz w:val="24"/>
                <w:szCs w:val="24"/>
              </w:rPr>
            </w:pPr>
            <w:r>
              <w:rPr>
                <w:rFonts w:hint="eastAsia" w:ascii="宋体" w:hAnsi="宋体" w:eastAsia="宋体" w:cs="Times New Roman"/>
                <w:bCs/>
                <w:iCs/>
                <w:sz w:val="24"/>
                <w:szCs w:val="24"/>
              </w:rPr>
              <w:t>董事长：HUI WANG</w:t>
            </w:r>
          </w:p>
          <w:p w14:paraId="259CE63F">
            <w:pPr>
              <w:spacing w:line="360" w:lineRule="auto"/>
              <w:rPr>
                <w:rFonts w:hint="eastAsia" w:ascii="宋体" w:hAnsi="宋体" w:eastAsia="宋体" w:cs="Times New Roman"/>
                <w:bCs/>
                <w:iCs/>
                <w:sz w:val="24"/>
                <w:szCs w:val="24"/>
              </w:rPr>
            </w:pPr>
            <w:r>
              <w:rPr>
                <w:rFonts w:hint="eastAsia" w:ascii="宋体" w:hAnsi="宋体" w:eastAsia="宋体" w:cs="Times New Roman"/>
                <w:bCs/>
                <w:iCs/>
                <w:sz w:val="24"/>
                <w:szCs w:val="24"/>
                <w:lang w:val="en-US" w:eastAsia="zh-CN"/>
              </w:rPr>
              <w:t>董事、</w:t>
            </w:r>
            <w:r>
              <w:rPr>
                <w:rFonts w:hint="eastAsia" w:ascii="宋体" w:hAnsi="宋体" w:eastAsia="宋体" w:cs="Times New Roman"/>
                <w:bCs/>
                <w:iCs/>
                <w:sz w:val="24"/>
                <w:szCs w:val="24"/>
              </w:rPr>
              <w:t>总经理：王坚</w:t>
            </w:r>
          </w:p>
          <w:p w14:paraId="77714C78">
            <w:pPr>
              <w:spacing w:line="360" w:lineRule="auto"/>
              <w:rPr>
                <w:rFonts w:ascii="宋体" w:hAnsi="宋体" w:eastAsia="宋体" w:cs="Times New Roman"/>
                <w:bCs/>
                <w:iCs/>
                <w:sz w:val="24"/>
                <w:szCs w:val="24"/>
              </w:rPr>
            </w:pPr>
            <w:r>
              <w:rPr>
                <w:rFonts w:hint="eastAsia" w:ascii="宋体" w:hAnsi="宋体" w:eastAsia="宋体" w:cs="Times New Roman"/>
                <w:bCs/>
                <w:iCs/>
                <w:sz w:val="24"/>
                <w:szCs w:val="24"/>
              </w:rPr>
              <w:t>副总经理：陈福平</w:t>
            </w:r>
          </w:p>
          <w:p w14:paraId="0FA2936F">
            <w:pPr>
              <w:spacing w:line="360" w:lineRule="auto"/>
              <w:rPr>
                <w:rFonts w:ascii="宋体" w:hAnsi="宋体" w:eastAsia="宋体" w:cs="Times New Roman"/>
                <w:bCs/>
                <w:iCs/>
                <w:sz w:val="24"/>
                <w:szCs w:val="24"/>
              </w:rPr>
            </w:pPr>
            <w:r>
              <w:rPr>
                <w:rFonts w:hint="eastAsia" w:ascii="宋体" w:hAnsi="宋体" w:eastAsia="宋体" w:cs="Times New Roman"/>
                <w:bCs/>
                <w:iCs/>
                <w:sz w:val="24"/>
                <w:szCs w:val="24"/>
              </w:rPr>
              <w:t>财务负责人：</w:t>
            </w:r>
            <w:r>
              <w:rPr>
                <w:rFonts w:ascii="宋体" w:hAnsi="宋体" w:eastAsia="宋体" w:cs="Times New Roman"/>
                <w:bCs/>
                <w:iCs/>
                <w:sz w:val="24"/>
                <w:szCs w:val="24"/>
              </w:rPr>
              <w:t>LISA YI LU FENG</w:t>
            </w:r>
          </w:p>
          <w:p w14:paraId="6AFECF4E">
            <w:pPr>
              <w:spacing w:line="360" w:lineRule="auto"/>
              <w:rPr>
                <w:rFonts w:ascii="宋体" w:hAnsi="宋体" w:eastAsia="宋体" w:cs="Times New Roman"/>
                <w:bCs/>
                <w:iCs/>
                <w:sz w:val="24"/>
                <w:szCs w:val="24"/>
              </w:rPr>
            </w:pPr>
            <w:r>
              <w:rPr>
                <w:rFonts w:hint="eastAsia" w:ascii="宋体" w:hAnsi="宋体" w:eastAsia="宋体" w:cs="Times New Roman"/>
                <w:bCs/>
                <w:iCs/>
                <w:sz w:val="24"/>
                <w:szCs w:val="24"/>
              </w:rPr>
              <w:t>董事会秘书：罗明珠</w:t>
            </w:r>
          </w:p>
        </w:tc>
      </w:tr>
      <w:tr w14:paraId="6EDBB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2553" w:type="dxa"/>
            <w:shd w:val="clear" w:color="auto" w:fill="auto"/>
            <w:vAlign w:val="center"/>
          </w:tcPr>
          <w:p w14:paraId="2D1D4DE7">
            <w:pPr>
              <w:spacing w:line="360" w:lineRule="auto"/>
              <w:rPr>
                <w:rFonts w:ascii="宋体" w:hAnsi="宋体" w:eastAsia="宋体" w:cs="Times New Roman"/>
                <w:b/>
                <w:bCs/>
                <w:iCs/>
                <w:sz w:val="24"/>
                <w:szCs w:val="24"/>
              </w:rPr>
            </w:pPr>
            <w:bookmarkStart w:id="0" w:name="_Hlk143013646"/>
            <w:r>
              <w:rPr>
                <w:rFonts w:ascii="宋体" w:hAnsi="宋体" w:eastAsia="宋体" w:cs="Times New Roman"/>
                <w:b/>
                <w:bCs/>
                <w:iCs/>
                <w:sz w:val="24"/>
                <w:szCs w:val="24"/>
              </w:rPr>
              <w:t>投资者关系活动</w:t>
            </w:r>
          </w:p>
          <w:p w14:paraId="5842558F">
            <w:pPr>
              <w:spacing w:line="360" w:lineRule="auto"/>
              <w:rPr>
                <w:rFonts w:ascii="宋体" w:hAnsi="宋体" w:eastAsia="宋体" w:cs="Times New Roman"/>
                <w:b/>
                <w:bCs/>
                <w:iCs/>
                <w:sz w:val="24"/>
                <w:szCs w:val="24"/>
              </w:rPr>
            </w:pPr>
            <w:r>
              <w:rPr>
                <w:rFonts w:ascii="宋体" w:hAnsi="宋体" w:eastAsia="宋体" w:cs="Times New Roman"/>
                <w:b/>
                <w:bCs/>
                <w:iCs/>
                <w:sz w:val="24"/>
                <w:szCs w:val="24"/>
              </w:rPr>
              <w:t>主要内容介绍</w:t>
            </w:r>
          </w:p>
        </w:tc>
        <w:tc>
          <w:tcPr>
            <w:tcW w:w="6287" w:type="dxa"/>
            <w:shd w:val="clear" w:color="auto" w:fill="auto"/>
          </w:tcPr>
          <w:p w14:paraId="01D9E074">
            <w:pPr>
              <w:pStyle w:val="18"/>
              <w:numPr>
                <w:ilvl w:val="0"/>
                <w:numId w:val="1"/>
              </w:numPr>
              <w:spacing w:line="360" w:lineRule="auto"/>
              <w:ind w:firstLineChars="0"/>
              <w:rPr>
                <w:rFonts w:ascii="宋体" w:hAnsi="宋体" w:eastAsia="宋体" w:cs="Times New Roman"/>
                <w:b/>
                <w:iCs/>
                <w:sz w:val="24"/>
                <w:szCs w:val="24"/>
              </w:rPr>
            </w:pPr>
            <w:bookmarkStart w:id="1" w:name="_Hlk142567878"/>
            <w:r>
              <w:rPr>
                <w:rFonts w:ascii="宋体" w:hAnsi="宋体" w:eastAsia="宋体" w:cs="Times New Roman"/>
                <w:b/>
                <w:iCs/>
                <w:sz w:val="24"/>
                <w:szCs w:val="24"/>
              </w:rPr>
              <w:t>问答环节</w:t>
            </w:r>
          </w:p>
          <w:bookmarkEnd w:id="1"/>
          <w:p w14:paraId="119E4375">
            <w:pPr>
              <w:spacing w:line="240" w:lineRule="auto"/>
              <w:rPr>
                <w:rFonts w:hint="eastAsia" w:ascii="宋体" w:hAnsi="宋体" w:eastAsia="宋体" w:cs="Times New Roman"/>
                <w:b/>
                <w:bCs/>
                <w:color w:val="000000" w:themeColor="text1"/>
                <w:sz w:val="22"/>
                <w14:textFill>
                  <w14:solidFill>
                    <w14:schemeClr w14:val="tx1"/>
                  </w14:solidFill>
                </w14:textFill>
              </w:rPr>
            </w:pPr>
            <w:r>
              <w:rPr>
                <w:rFonts w:hint="eastAsia" w:ascii="宋体" w:hAnsi="宋体" w:eastAsia="宋体" w:cs="Times New Roman"/>
                <w:b/>
                <w:bCs/>
                <w:color w:val="000000" w:themeColor="text1"/>
                <w:sz w:val="22"/>
                <w14:textFill>
                  <w14:solidFill>
                    <w14:schemeClr w14:val="tx1"/>
                  </w14:solidFill>
                </w14:textFill>
              </w:rPr>
              <w:t>1、问：公司今年的订单情况如何？增长趋势及驱动因素有哪些？</w:t>
            </w:r>
          </w:p>
          <w:p w14:paraId="44C3DFA2">
            <w:pPr>
              <w:spacing w:line="360" w:lineRule="auto"/>
              <w:rPr>
                <w:rFonts w:hint="eastAsia" w:ascii="宋体" w:hAnsi="宋体" w:eastAsia="宋体" w:cs="Times New Roman"/>
                <w:b w:val="0"/>
                <w:bCs w:val="0"/>
                <w:color w:val="000000" w:themeColor="text1"/>
                <w:sz w:val="22"/>
                <w14:textFill>
                  <w14:solidFill>
                    <w14:schemeClr w14:val="tx1"/>
                  </w14:solidFill>
                </w14:textFill>
              </w:rPr>
            </w:pPr>
            <w:r>
              <w:rPr>
                <w:rFonts w:hint="eastAsia" w:ascii="宋体" w:hAnsi="宋体" w:eastAsia="宋体" w:cs="Times New Roman"/>
                <w:b w:val="0"/>
                <w:bCs w:val="0"/>
                <w:color w:val="000000" w:themeColor="text1"/>
                <w:sz w:val="22"/>
                <w14:textFill>
                  <w14:solidFill>
                    <w14:schemeClr w14:val="tx1"/>
                  </w14:solidFill>
                </w14:textFill>
              </w:rPr>
              <w:t>答：此前公司已披露2026年第一季度的新签订单同比增速为65%，这为公司营收增长奠定了较好基础。按照惯例，公司将在每年9月底自愿披露在手订单情况，敬请关注公司后续披露的公告。同时，综合近年来的业务发展趋势，以及目前的订单等多方面情况，公司仍然维持2026年全年82.00亿元至88.00亿元之间的营收预测。</w:t>
            </w:r>
          </w:p>
          <w:p w14:paraId="0757359A">
            <w:pPr>
              <w:spacing w:line="360" w:lineRule="auto"/>
              <w:rPr>
                <w:rFonts w:hint="eastAsia" w:ascii="宋体" w:hAnsi="宋体" w:eastAsia="宋体" w:cs="Times New Roman"/>
                <w:b/>
                <w:bCs/>
                <w:color w:val="000000" w:themeColor="text1"/>
                <w:sz w:val="22"/>
                <w14:textFill>
                  <w14:solidFill>
                    <w14:schemeClr w14:val="tx1"/>
                  </w14:solidFill>
                </w14:textFill>
              </w:rPr>
            </w:pPr>
          </w:p>
          <w:p w14:paraId="2391401B">
            <w:pPr>
              <w:spacing w:line="360" w:lineRule="auto"/>
              <w:rPr>
                <w:rFonts w:hint="eastAsia" w:ascii="宋体" w:hAnsi="宋体" w:eastAsia="宋体" w:cs="Times New Roman"/>
                <w:b/>
                <w:bCs/>
                <w:color w:val="000000" w:themeColor="text1"/>
                <w:sz w:val="22"/>
                <w14:textFill>
                  <w14:solidFill>
                    <w14:schemeClr w14:val="tx1"/>
                  </w14:solidFill>
                </w14:textFill>
              </w:rPr>
            </w:pPr>
            <w:r>
              <w:rPr>
                <w:rFonts w:hint="eastAsia" w:ascii="宋体" w:hAnsi="宋体" w:eastAsia="宋体" w:cs="Times New Roman"/>
                <w:b/>
                <w:bCs/>
                <w:color w:val="000000" w:themeColor="text1"/>
                <w:sz w:val="22"/>
                <w14:textFill>
                  <w14:solidFill>
                    <w14:schemeClr w14:val="tx1"/>
                  </w14:solidFill>
                </w14:textFill>
              </w:rPr>
              <w:t>2、问：请问在公司的几类主流设备中，订单增长情况如何？</w:t>
            </w:r>
          </w:p>
          <w:p w14:paraId="0A2ADEBF">
            <w:pPr>
              <w:spacing w:line="360" w:lineRule="auto"/>
              <w:rPr>
                <w:rFonts w:hint="eastAsia" w:ascii="宋体" w:hAnsi="宋体" w:eastAsia="宋体" w:cs="Times New Roman"/>
                <w:b/>
                <w:bCs/>
                <w:color w:val="000000" w:themeColor="text1"/>
                <w:sz w:val="22"/>
                <w14:textFill>
                  <w14:solidFill>
                    <w14:schemeClr w14:val="tx1"/>
                  </w14:solidFill>
                </w14:textFill>
              </w:rPr>
            </w:pPr>
            <w:r>
              <w:rPr>
                <w:rFonts w:hint="eastAsia" w:ascii="宋体" w:hAnsi="宋体" w:eastAsia="宋体" w:cs="Times New Roman"/>
                <w:b w:val="0"/>
                <w:bCs w:val="0"/>
                <w:color w:val="000000" w:themeColor="text1"/>
                <w:sz w:val="22"/>
                <w14:textFill>
                  <w14:solidFill>
                    <w14:schemeClr w14:val="tx1"/>
                  </w14:solidFill>
                </w14:textFill>
              </w:rPr>
              <w:t>答：此前公司已披露2026年第一季度的新签订单同比增速为65%。清洗设备方面，公司高温及中温硫酸设备的工艺已达到国际领先水平，能够有效提升全球客户产品良率。目前，中国及海外客户对该设备均产生较大兴趣，公司预计2026年中低温及高温硫酸设备将交付20余台设备至多个客户。电镀设备业务也将迎来显著增量，在2026年至今的新签订单中，电镀设备占比约30%。</w:t>
            </w:r>
          </w:p>
          <w:p w14:paraId="5C2489D0">
            <w:pPr>
              <w:spacing w:line="360" w:lineRule="auto"/>
              <w:rPr>
                <w:rFonts w:hint="eastAsia" w:ascii="宋体" w:hAnsi="宋体" w:eastAsia="宋体" w:cs="Times New Roman"/>
                <w:b/>
                <w:bCs/>
                <w:color w:val="000000" w:themeColor="text1"/>
                <w:sz w:val="22"/>
                <w14:textFill>
                  <w14:solidFill>
                    <w14:schemeClr w14:val="tx1"/>
                  </w14:solidFill>
                </w14:textFill>
              </w:rPr>
            </w:pPr>
          </w:p>
          <w:p w14:paraId="4439A058">
            <w:pPr>
              <w:spacing w:line="360" w:lineRule="auto"/>
              <w:rPr>
                <w:rFonts w:hint="eastAsia" w:ascii="宋体" w:hAnsi="宋体" w:eastAsia="宋体" w:cs="Times New Roman"/>
                <w:b/>
                <w:bCs/>
                <w:color w:val="000000" w:themeColor="text1"/>
                <w:sz w:val="22"/>
                <w14:textFill>
                  <w14:solidFill>
                    <w14:schemeClr w14:val="tx1"/>
                  </w14:solidFill>
                </w14:textFill>
              </w:rPr>
            </w:pPr>
            <w:r>
              <w:rPr>
                <w:rFonts w:hint="eastAsia" w:ascii="宋体" w:hAnsi="宋体" w:eastAsia="宋体" w:cs="Times New Roman"/>
                <w:b/>
                <w:bCs/>
                <w:color w:val="000000" w:themeColor="text1"/>
                <w:sz w:val="22"/>
                <w14:textFill>
                  <w14:solidFill>
                    <w14:schemeClr w14:val="tx1"/>
                  </w14:solidFill>
                </w14:textFill>
              </w:rPr>
              <w:t>3、问：公司认为国产半导体设备的天花板在何处？是来自先进封装的新增产能，或者出海机遇？前道与后道设备的发展情况如何？</w:t>
            </w:r>
          </w:p>
          <w:p w14:paraId="3A4EF066">
            <w:pPr>
              <w:spacing w:line="360" w:lineRule="auto"/>
              <w:rPr>
                <w:rFonts w:hint="eastAsia" w:ascii="宋体" w:hAnsi="宋体" w:eastAsia="宋体" w:cs="Times New Roman"/>
                <w:b w:val="0"/>
                <w:bCs w:val="0"/>
                <w:color w:val="000000" w:themeColor="text1"/>
                <w:sz w:val="22"/>
                <w14:textFill>
                  <w14:solidFill>
                    <w14:schemeClr w14:val="tx1"/>
                  </w14:solidFill>
                </w14:textFill>
              </w:rPr>
            </w:pPr>
            <w:r>
              <w:rPr>
                <w:rFonts w:hint="eastAsia" w:ascii="宋体" w:hAnsi="宋体" w:eastAsia="宋体" w:cs="Times New Roman"/>
                <w:b w:val="0"/>
                <w:bCs w:val="0"/>
                <w:color w:val="000000" w:themeColor="text1"/>
                <w:sz w:val="22"/>
                <w14:textFill>
                  <w14:solidFill>
                    <w14:schemeClr w14:val="tx1"/>
                  </w14:solidFill>
                </w14:textFill>
              </w:rPr>
              <w:t>答：</w:t>
            </w:r>
            <w:r>
              <w:rPr>
                <w:rFonts w:hint="eastAsia" w:ascii="宋体" w:hAnsi="宋体" w:eastAsia="宋体" w:cs="Times New Roman"/>
                <w:color w:val="000000" w:themeColor="text1"/>
                <w:sz w:val="22"/>
                <w14:textFill>
                  <w14:solidFill>
                    <w14:schemeClr w14:val="tx1"/>
                  </w14:solidFill>
                </w14:textFill>
              </w:rPr>
              <w:t>未来，存储及逻辑领域仍将处于建设周期，公司对未来行业发展趋势保持乐观预期，持续看好中国半导体消费市场前景。前道及后道设备方面，后道设备的市场体量还远小于前道设备市场体量，但其增长率快于前道设备。</w:t>
            </w:r>
          </w:p>
          <w:p w14:paraId="08642A3E">
            <w:pPr>
              <w:spacing w:line="360" w:lineRule="auto"/>
              <w:rPr>
                <w:rFonts w:hint="eastAsia" w:ascii="宋体" w:hAnsi="宋体" w:eastAsia="宋体" w:cs="Times New Roman"/>
                <w:b/>
                <w:bCs/>
                <w:color w:val="000000" w:themeColor="text1"/>
                <w:sz w:val="22"/>
                <w14:textFill>
                  <w14:solidFill>
                    <w14:schemeClr w14:val="tx1"/>
                  </w14:solidFill>
                </w14:textFill>
              </w:rPr>
            </w:pPr>
          </w:p>
          <w:p w14:paraId="1F58AEC5">
            <w:pPr>
              <w:spacing w:line="360" w:lineRule="auto"/>
              <w:rPr>
                <w:rFonts w:hint="eastAsia" w:ascii="宋体" w:hAnsi="宋体" w:eastAsia="宋体" w:cs="Times New Roman"/>
                <w:b/>
                <w:bCs/>
                <w:color w:val="000000" w:themeColor="text1"/>
                <w:sz w:val="22"/>
                <w14:textFill>
                  <w14:solidFill>
                    <w14:schemeClr w14:val="tx1"/>
                  </w14:solidFill>
                </w14:textFill>
              </w:rPr>
            </w:pPr>
            <w:r>
              <w:rPr>
                <w:rFonts w:hint="eastAsia" w:ascii="宋体" w:hAnsi="宋体" w:eastAsia="宋体" w:cs="Times New Roman"/>
                <w:b/>
                <w:bCs/>
                <w:color w:val="000000" w:themeColor="text1"/>
                <w:sz w:val="22"/>
                <w14:textFill>
                  <w14:solidFill>
                    <w14:schemeClr w14:val="tx1"/>
                  </w14:solidFill>
                </w14:textFill>
              </w:rPr>
              <w:t>4、问：公司提到临港mini-line产线对设备研发进度助力明显，请介绍一下产线投产的实际效果。</w:t>
            </w:r>
          </w:p>
          <w:p w14:paraId="29663608">
            <w:pPr>
              <w:spacing w:line="360" w:lineRule="auto"/>
              <w:rPr>
                <w:rFonts w:hint="eastAsia" w:ascii="宋体" w:hAnsi="宋体" w:eastAsia="宋体" w:cs="Times New Roman"/>
                <w:color w:val="000000" w:themeColor="text1"/>
                <w:sz w:val="22"/>
                <w14:textFill>
                  <w14:solidFill>
                    <w14:schemeClr w14:val="tx1"/>
                  </w14:solidFill>
                </w14:textFill>
              </w:rPr>
            </w:pPr>
            <w:r>
              <w:rPr>
                <w:rFonts w:hint="eastAsia" w:ascii="宋体" w:hAnsi="宋体" w:eastAsia="宋体" w:cs="Times New Roman"/>
                <w:b/>
                <w:bCs/>
                <w:color w:val="000000" w:themeColor="text1"/>
                <w:sz w:val="22"/>
                <w14:textFill>
                  <w14:solidFill>
                    <w14:schemeClr w14:val="tx1"/>
                  </w14:solidFill>
                </w14:textFill>
              </w:rPr>
              <w:t>答：</w:t>
            </w:r>
            <w:r>
              <w:rPr>
                <w:rFonts w:hint="eastAsia" w:ascii="宋体" w:hAnsi="宋体" w:eastAsia="宋体" w:cs="Times New Roman"/>
                <w:color w:val="000000" w:themeColor="text1"/>
                <w:sz w:val="22"/>
                <w14:textFill>
                  <w14:solidFill>
                    <w14:schemeClr w14:val="tx1"/>
                  </w14:solidFill>
                </w14:textFill>
              </w:rPr>
              <w:t>公司定向增发的募投项目临港mini-line的建设取得积极进展，这是一条在100级洁净室环境下运行的完整实验性研发产线，整合了盛美自研设备、第三方工艺设备以及量测设备，能够在接近客户端真实量产环境的条件下开展工艺验证与联合研发。临港mini-line带来的不只是研发效率的提升，更重要的是推动了公司新产品开发与交付模式的升级。过去，新设备通常需要直接进入客户端开展较长周期的验证与工艺调试；而现在，公司可以先在临港mini-line上基于客户产品需求进行工艺验证与参数优化，出货前就完成针对客户特定工艺需求的预验证，在满足客户特定工艺要求后，才交付客户端进行最终验证，大大加快了设备在客户端的验证周期。</w:t>
            </w:r>
          </w:p>
          <w:p w14:paraId="0B75F015">
            <w:pPr>
              <w:spacing w:line="360" w:lineRule="auto"/>
              <w:rPr>
                <w:rFonts w:hint="eastAsia" w:ascii="宋体" w:hAnsi="宋体" w:eastAsia="宋体" w:cs="Times New Roman"/>
                <w:b w:val="0"/>
                <w:bCs w:val="0"/>
                <w:color w:val="000000" w:themeColor="text1"/>
                <w:sz w:val="22"/>
                <w14:textFill>
                  <w14:solidFill>
                    <w14:schemeClr w14:val="tx1"/>
                  </w14:solidFill>
                </w14:textFill>
              </w:rPr>
            </w:pPr>
            <w:r>
              <w:rPr>
                <w:rFonts w:hint="eastAsia" w:ascii="宋体" w:hAnsi="宋体" w:eastAsia="宋体" w:cs="Times New Roman"/>
                <w:color w:val="000000" w:themeColor="text1"/>
                <w:sz w:val="22"/>
                <w14:textFill>
                  <w14:solidFill>
                    <w14:schemeClr w14:val="tx1"/>
                  </w14:solidFill>
                </w14:textFill>
              </w:rPr>
              <w:t>该内部工艺线可覆盖清洗、电镀、涂胶显影、炉管及PECVD等全品类设备流片验证，降低外协测试成本，同时能够提前模拟各类制程工况，有助于优化设备稳定性与颗粒控制指标，还可配合客户开展下一代工艺联合开发。目前，这一模式已经展现出积极成效。公司4月出机的首台PECVD SiCN设备，正是在临港完成工艺预验证后出机，直接进入客户端最终验证阶段，显著缩短了客户端验证周期。此外，公司高温单片SPM产品也在临港与主要客户完成了数月联合测试及工艺参数优化。在完成15纳米颗粒控制性能验证后，该产品已成功获得多家客户批量订单。这些案例充分体现了临港mini-line在加速新产品开发、工艺验证及客户导入方面的重要战略价值。</w:t>
            </w:r>
          </w:p>
          <w:p w14:paraId="509490FF">
            <w:pPr>
              <w:spacing w:line="360" w:lineRule="auto"/>
              <w:rPr>
                <w:rFonts w:hint="eastAsia" w:ascii="宋体" w:hAnsi="宋体" w:eastAsia="宋体" w:cs="Times New Roman"/>
                <w:b/>
                <w:bCs/>
                <w:color w:val="000000" w:themeColor="text1"/>
                <w:sz w:val="22"/>
                <w14:textFill>
                  <w14:solidFill>
                    <w14:schemeClr w14:val="tx1"/>
                  </w14:solidFill>
                </w14:textFill>
              </w:rPr>
            </w:pPr>
          </w:p>
          <w:p w14:paraId="40FB000D">
            <w:pPr>
              <w:spacing w:line="360" w:lineRule="auto"/>
              <w:rPr>
                <w:rFonts w:hint="eastAsia" w:ascii="宋体" w:hAnsi="宋体" w:eastAsia="宋体" w:cs="Times New Roman"/>
                <w:b/>
                <w:bCs/>
                <w:color w:val="000000" w:themeColor="text1"/>
                <w:sz w:val="22"/>
                <w14:textFill>
                  <w14:solidFill>
                    <w14:schemeClr w14:val="tx1"/>
                  </w14:solidFill>
                </w14:textFill>
              </w:rPr>
            </w:pPr>
            <w:r>
              <w:rPr>
                <w:rFonts w:hint="eastAsia" w:ascii="宋体" w:hAnsi="宋体" w:eastAsia="宋体" w:cs="Times New Roman"/>
                <w:b/>
                <w:bCs/>
                <w:color w:val="000000" w:themeColor="text1"/>
                <w:sz w:val="22"/>
                <w14:textFill>
                  <w14:solidFill>
                    <w14:schemeClr w14:val="tx1"/>
                  </w14:solidFill>
                </w14:textFill>
              </w:rPr>
              <w:t>5、问：请问国内电镀设备的市场空间多大？</w:t>
            </w:r>
          </w:p>
          <w:p w14:paraId="3FF29D46">
            <w:pPr>
              <w:spacing w:line="360" w:lineRule="auto"/>
              <w:rPr>
                <w:rFonts w:hint="eastAsia" w:ascii="宋体" w:hAnsi="宋体" w:eastAsia="宋体" w:cs="Times New Roman"/>
                <w:b w:val="0"/>
                <w:bCs w:val="0"/>
                <w:color w:val="000000" w:themeColor="text1"/>
                <w:sz w:val="22"/>
                <w14:textFill>
                  <w14:solidFill>
                    <w14:schemeClr w14:val="tx1"/>
                  </w14:solidFill>
                </w14:textFill>
              </w:rPr>
            </w:pPr>
            <w:r>
              <w:rPr>
                <w:rFonts w:hint="eastAsia" w:ascii="宋体" w:hAnsi="宋体" w:eastAsia="宋体" w:cs="Times New Roman"/>
                <w:b w:val="0"/>
                <w:bCs w:val="0"/>
                <w:color w:val="000000" w:themeColor="text1"/>
                <w:sz w:val="22"/>
                <w14:textFill>
                  <w14:solidFill>
                    <w14:schemeClr w14:val="tx1"/>
                  </w14:solidFill>
                </w14:textFill>
              </w:rPr>
              <w:t>答：</w:t>
            </w:r>
            <w:r>
              <w:rPr>
                <w:rFonts w:hint="eastAsia" w:ascii="宋体" w:hAnsi="宋体" w:eastAsia="宋体" w:cs="Times New Roman"/>
                <w:color w:val="000000" w:themeColor="text1"/>
                <w:sz w:val="22"/>
                <w14:textFill>
                  <w14:solidFill>
                    <w14:schemeClr w14:val="tx1"/>
                  </w14:solidFill>
                </w14:textFill>
              </w:rPr>
              <w:t>从市场规模长期来看，3D封装会大规模应用电镀设备，头部封测企业后续集中采购规模可达数百台，落地周期暂未确定，但长期需求确定性较强；中国台湾地区头部晶圆代工厂年采购量也</w:t>
            </w:r>
            <w:r>
              <w:rPr>
                <w:rFonts w:hint="eastAsia" w:ascii="宋体" w:hAnsi="宋体" w:eastAsia="宋体" w:cs="Times New Roman"/>
                <w:color w:val="000000" w:themeColor="text1"/>
                <w:sz w:val="22"/>
                <w:lang w:val="en-US" w:eastAsia="zh-CN"/>
                <w14:textFill>
                  <w14:solidFill>
                    <w14:schemeClr w14:val="tx1"/>
                  </w14:solidFill>
                </w14:textFill>
              </w:rPr>
              <w:t>有</w:t>
            </w:r>
            <w:r>
              <w:rPr>
                <w:rFonts w:hint="eastAsia" w:ascii="宋体" w:hAnsi="宋体" w:eastAsia="宋体" w:cs="Times New Roman"/>
                <w:color w:val="000000" w:themeColor="text1"/>
                <w:sz w:val="22"/>
                <w14:textFill>
                  <w14:solidFill>
                    <w14:schemeClr w14:val="tx1"/>
                  </w14:solidFill>
                </w14:textFill>
              </w:rPr>
              <w:t>一百多台，行业整体规模可观。国内市场尚处起步阶段，未来成长潜力突出，今年公司电镀设备业务也将迎来显著增量。</w:t>
            </w:r>
          </w:p>
          <w:p w14:paraId="0AFE2A9F">
            <w:pPr>
              <w:spacing w:line="360" w:lineRule="auto"/>
              <w:rPr>
                <w:rFonts w:hint="eastAsia" w:ascii="宋体" w:hAnsi="宋体" w:eastAsia="宋体" w:cs="Times New Roman"/>
                <w:b/>
                <w:bCs/>
                <w:color w:val="000000" w:themeColor="text1"/>
                <w:sz w:val="22"/>
                <w14:textFill>
                  <w14:solidFill>
                    <w14:schemeClr w14:val="tx1"/>
                  </w14:solidFill>
                </w14:textFill>
              </w:rPr>
            </w:pPr>
          </w:p>
          <w:p w14:paraId="4323F1A6">
            <w:pPr>
              <w:spacing w:line="360" w:lineRule="auto"/>
              <w:rPr>
                <w:rFonts w:hint="eastAsia" w:ascii="宋体" w:hAnsi="宋体" w:eastAsia="宋体" w:cs="Times New Roman"/>
                <w:b/>
                <w:bCs/>
                <w:color w:val="000000" w:themeColor="text1"/>
                <w:sz w:val="22"/>
                <w14:textFill>
                  <w14:solidFill>
                    <w14:schemeClr w14:val="tx1"/>
                  </w14:solidFill>
                </w14:textFill>
              </w:rPr>
            </w:pPr>
            <w:r>
              <w:rPr>
                <w:rFonts w:hint="eastAsia" w:ascii="宋体" w:hAnsi="宋体" w:eastAsia="宋体" w:cs="Times New Roman"/>
                <w:b/>
                <w:bCs/>
                <w:color w:val="000000" w:themeColor="text1"/>
                <w:sz w:val="22"/>
                <w14:textFill>
                  <w14:solidFill>
                    <w14:schemeClr w14:val="tx1"/>
                  </w14:solidFill>
                </w14:textFill>
              </w:rPr>
              <w:t>6、问：请问公司电镀设备毛利率表现如何？</w:t>
            </w:r>
          </w:p>
          <w:p w14:paraId="3D778249">
            <w:pPr>
              <w:spacing w:line="360" w:lineRule="auto"/>
              <w:rPr>
                <w:rFonts w:hint="eastAsia" w:ascii="宋体" w:hAnsi="宋体" w:eastAsia="宋体" w:cs="Times New Roman"/>
                <w:b w:val="0"/>
                <w:bCs w:val="0"/>
                <w:color w:val="000000" w:themeColor="text1"/>
                <w:sz w:val="22"/>
                <w14:textFill>
                  <w14:solidFill>
                    <w14:schemeClr w14:val="tx1"/>
                  </w14:solidFill>
                </w14:textFill>
              </w:rPr>
            </w:pPr>
            <w:r>
              <w:rPr>
                <w:rFonts w:hint="eastAsia" w:ascii="宋体" w:hAnsi="宋体" w:eastAsia="宋体" w:cs="Times New Roman"/>
                <w:b w:val="0"/>
                <w:bCs w:val="0"/>
                <w:color w:val="000000" w:themeColor="text1"/>
                <w:sz w:val="22"/>
                <w14:textFill>
                  <w14:solidFill>
                    <w14:schemeClr w14:val="tx1"/>
                  </w14:solidFill>
                </w14:textFill>
              </w:rPr>
              <w:t>答：现阶段公司世界首创的新产品ECP面板级电镀设备，创新性地采用了专利申请保护的水平式面板电镀方式，让方形电场与方形硅片实现同步旋转，能够更好地控制电镀均匀性；同时能够实现硅片传输过程中引起的槽体间污染控制，大大降低了不同种类金属电镀槽之间化学交叉污染的风险，依托该设备的技术难度及市场稀缺性，其毛利率表现良好。</w:t>
            </w:r>
          </w:p>
          <w:p w14:paraId="799182F4">
            <w:pPr>
              <w:spacing w:line="360" w:lineRule="auto"/>
              <w:rPr>
                <w:rFonts w:hint="eastAsia" w:ascii="宋体" w:hAnsi="宋体" w:eastAsia="宋体" w:cs="Times New Roman"/>
                <w:b/>
                <w:bCs/>
                <w:color w:val="000000" w:themeColor="text1"/>
                <w:sz w:val="22"/>
                <w14:textFill>
                  <w14:solidFill>
                    <w14:schemeClr w14:val="tx1"/>
                  </w14:solidFill>
                </w14:textFill>
              </w:rPr>
            </w:pPr>
          </w:p>
          <w:p w14:paraId="019EAC55">
            <w:pPr>
              <w:spacing w:line="360" w:lineRule="auto"/>
              <w:rPr>
                <w:rFonts w:hint="eastAsia" w:ascii="宋体" w:hAnsi="宋体" w:eastAsia="宋体" w:cs="Times New Roman"/>
                <w:b/>
                <w:bCs/>
                <w:color w:val="000000" w:themeColor="text1"/>
                <w:sz w:val="22"/>
                <w14:textFill>
                  <w14:solidFill>
                    <w14:schemeClr w14:val="tx1"/>
                  </w14:solidFill>
                </w14:textFill>
              </w:rPr>
            </w:pPr>
            <w:r>
              <w:rPr>
                <w:rFonts w:hint="eastAsia" w:ascii="宋体" w:hAnsi="宋体" w:eastAsia="宋体" w:cs="Times New Roman"/>
                <w:b/>
                <w:bCs/>
                <w:color w:val="000000" w:themeColor="text1"/>
                <w:sz w:val="22"/>
                <w14:textFill>
                  <w14:solidFill>
                    <w14:schemeClr w14:val="tx1"/>
                  </w14:solidFill>
                </w14:textFill>
              </w:rPr>
              <w:t>7、问：公司PECVD设备当前开发进展如何？</w:t>
            </w:r>
          </w:p>
          <w:p w14:paraId="44378C41">
            <w:pPr>
              <w:spacing w:line="360" w:lineRule="auto"/>
              <w:rPr>
                <w:rFonts w:hint="eastAsia" w:ascii="宋体" w:hAnsi="宋体" w:eastAsia="宋体" w:cs="Times New Roman"/>
                <w:b w:val="0"/>
                <w:bCs w:val="0"/>
                <w:color w:val="000000" w:themeColor="text1"/>
                <w:sz w:val="22"/>
                <w14:textFill>
                  <w14:solidFill>
                    <w14:schemeClr w14:val="tx1"/>
                  </w14:solidFill>
                </w14:textFill>
              </w:rPr>
            </w:pPr>
            <w:r>
              <w:rPr>
                <w:rFonts w:hint="eastAsia" w:ascii="宋体" w:hAnsi="宋体" w:eastAsia="宋体" w:cs="Times New Roman"/>
                <w:b w:val="0"/>
                <w:bCs w:val="0"/>
                <w:color w:val="000000" w:themeColor="text1"/>
                <w:sz w:val="22"/>
                <w14:textFill>
                  <w14:solidFill>
                    <w14:schemeClr w14:val="tx1"/>
                  </w14:solidFill>
                </w14:textFill>
              </w:rPr>
              <w:t>答：今年4月，公司首台PECVD SiCN设备已经顺利出机，该设备在盛美上海临港实验室已验证满足工艺指标，现发往客户端进行最终验证。该平台在单一反应腔内配置了三个工艺工位（专利申请保护中），采用旋转沉积的方式，每个工位完成总膜厚三分之一的沉积。这种设计能够实现对界面层形成、气流管理及薄膜均匀性的更精确控制。此外，盛美“一工位一射频”控制软件技术，通过每个工位独立的射频系统实现对等离子体的独立控制，大幅提升工艺的稳定性与一致性。该设备旨在支持55纳米及以下高端IC工艺的后段金属互联工艺应用中的PECVD NDC (SiCN)工艺，应用场景包括铜氧化抑制、铜扩散阻挡层及刻蚀停止层。</w:t>
            </w:r>
          </w:p>
          <w:p w14:paraId="1AEE6923">
            <w:pPr>
              <w:spacing w:line="360" w:lineRule="auto"/>
              <w:rPr>
                <w:rFonts w:hint="eastAsia" w:ascii="宋体" w:hAnsi="宋体" w:eastAsia="宋体" w:cs="Times New Roman"/>
                <w:b/>
                <w:bCs/>
                <w:color w:val="000000" w:themeColor="text1"/>
                <w:sz w:val="22"/>
                <w14:textFill>
                  <w14:solidFill>
                    <w14:schemeClr w14:val="tx1"/>
                  </w14:solidFill>
                </w14:textFill>
              </w:rPr>
            </w:pPr>
          </w:p>
          <w:p w14:paraId="3A1E65B0">
            <w:pPr>
              <w:spacing w:line="360" w:lineRule="auto"/>
              <w:rPr>
                <w:rFonts w:hint="eastAsia" w:ascii="宋体" w:hAnsi="宋体" w:eastAsia="宋体" w:cs="Times New Roman"/>
                <w:b/>
                <w:bCs/>
                <w:color w:val="000000" w:themeColor="text1"/>
                <w:sz w:val="22"/>
                <w14:textFill>
                  <w14:solidFill>
                    <w14:schemeClr w14:val="tx1"/>
                  </w14:solidFill>
                </w14:textFill>
              </w:rPr>
            </w:pPr>
            <w:r>
              <w:rPr>
                <w:rFonts w:hint="eastAsia" w:ascii="宋体" w:hAnsi="宋体" w:eastAsia="宋体" w:cs="Times New Roman"/>
                <w:b/>
                <w:bCs/>
                <w:color w:val="000000" w:themeColor="text1"/>
                <w:sz w:val="22"/>
                <w14:textFill>
                  <w14:solidFill>
                    <w14:schemeClr w14:val="tx1"/>
                  </w14:solidFill>
                </w14:textFill>
              </w:rPr>
              <w:t>8、问：能否详细介绍一下炉管和PECVD这两个设备的订单情况？</w:t>
            </w:r>
          </w:p>
          <w:p w14:paraId="3A4E107F">
            <w:pPr>
              <w:spacing w:line="360" w:lineRule="auto"/>
              <w:rPr>
                <w:rFonts w:hint="eastAsia" w:ascii="宋体" w:hAnsi="宋体" w:eastAsia="宋体" w:cs="Times New Roman"/>
                <w:b w:val="0"/>
                <w:bCs w:val="0"/>
                <w:color w:val="000000" w:themeColor="text1"/>
                <w:sz w:val="22"/>
                <w14:textFill>
                  <w14:solidFill>
                    <w14:schemeClr w14:val="tx1"/>
                  </w14:solidFill>
                </w14:textFill>
              </w:rPr>
            </w:pPr>
            <w:r>
              <w:rPr>
                <w:rFonts w:hint="eastAsia" w:ascii="宋体" w:hAnsi="宋体" w:eastAsia="宋体" w:cs="Times New Roman"/>
                <w:b w:val="0"/>
                <w:bCs w:val="0"/>
                <w:color w:val="000000" w:themeColor="text1"/>
                <w:sz w:val="22"/>
                <w14:textFill>
                  <w14:solidFill>
                    <w14:schemeClr w14:val="tx1"/>
                  </w14:solidFill>
                </w14:textFill>
              </w:rPr>
              <w:t>答：公司LPCVD、ALD炉管系列设备持续推进技术研发，均取得了创新突破。炉管设备方面，公司已获取部分客户的重复订单，此外，公司还自主研发了高温Ultra Fn立式炉管设备，该设备采用公司独有的立式炉管结构设计，具备最高1250°C的处理能力，能够聚焦高端IGBT应用，市场整体反响良好。ALD设备方面，公司已积累了一系列自主研发的具有全球知识产权保护的专利技术，以差异化创新工艺持续满足客户多样化需求；PECVD方面，公司正在与两家客户进行积极洽谈。</w:t>
            </w:r>
          </w:p>
          <w:p w14:paraId="0B122ADA">
            <w:pPr>
              <w:spacing w:line="360" w:lineRule="auto"/>
              <w:rPr>
                <w:rFonts w:hint="eastAsia" w:ascii="宋体" w:hAnsi="宋体" w:eastAsia="宋体" w:cs="Times New Roman"/>
                <w:b/>
                <w:bCs/>
                <w:color w:val="000000" w:themeColor="text1"/>
                <w:sz w:val="22"/>
                <w14:textFill>
                  <w14:solidFill>
                    <w14:schemeClr w14:val="tx1"/>
                  </w14:solidFill>
                </w14:textFill>
              </w:rPr>
            </w:pPr>
          </w:p>
          <w:p w14:paraId="6E6C8EB5">
            <w:pPr>
              <w:spacing w:line="360" w:lineRule="auto"/>
              <w:rPr>
                <w:rFonts w:hint="eastAsia" w:ascii="宋体" w:hAnsi="宋体" w:eastAsia="宋体" w:cs="Times New Roman"/>
                <w:b/>
                <w:bCs/>
                <w:color w:val="000000" w:themeColor="text1"/>
                <w:sz w:val="22"/>
                <w14:textFill>
                  <w14:solidFill>
                    <w14:schemeClr w14:val="tx1"/>
                  </w14:solidFill>
                </w14:textFill>
              </w:rPr>
            </w:pPr>
            <w:r>
              <w:rPr>
                <w:rFonts w:hint="eastAsia" w:ascii="宋体" w:hAnsi="宋体" w:eastAsia="宋体" w:cs="Times New Roman"/>
                <w:b/>
                <w:bCs/>
                <w:color w:val="000000" w:themeColor="text1"/>
                <w:sz w:val="22"/>
                <w14:textFill>
                  <w14:solidFill>
                    <w14:schemeClr w14:val="tx1"/>
                  </w14:solidFill>
                </w14:textFill>
              </w:rPr>
              <w:t>9、问：公司面板级封装设备在中国台湾市场的进展情况如何？</w:t>
            </w:r>
          </w:p>
          <w:p w14:paraId="11CA1472">
            <w:pPr>
              <w:spacing w:line="360" w:lineRule="auto"/>
              <w:rPr>
                <w:rFonts w:hint="eastAsia" w:ascii="宋体" w:hAnsi="宋体" w:eastAsia="宋体" w:cs="Times New Roman"/>
                <w:color w:val="000000" w:themeColor="text1"/>
                <w:sz w:val="22"/>
                <w14:textFill>
                  <w14:solidFill>
                    <w14:schemeClr w14:val="tx1"/>
                  </w14:solidFill>
                </w14:textFill>
              </w:rPr>
            </w:pPr>
            <w:r>
              <w:rPr>
                <w:rFonts w:hint="eastAsia" w:ascii="宋体" w:hAnsi="宋体" w:eastAsia="宋体" w:cs="Times New Roman"/>
                <w:b w:val="0"/>
                <w:bCs w:val="0"/>
                <w:color w:val="000000" w:themeColor="text1"/>
                <w:sz w:val="22"/>
                <w14:textFill>
                  <w14:solidFill>
                    <w14:schemeClr w14:val="tx1"/>
                  </w14:solidFill>
                </w14:textFill>
              </w:rPr>
              <w:t>答：</w:t>
            </w:r>
            <w:r>
              <w:rPr>
                <w:rFonts w:hint="eastAsia" w:ascii="宋体" w:hAnsi="宋体" w:eastAsia="宋体" w:cs="Times New Roman"/>
                <w:color w:val="000000" w:themeColor="text1"/>
                <w:sz w:val="22"/>
                <w14:textFill>
                  <w14:solidFill>
                    <w14:schemeClr w14:val="tx1"/>
                  </w14:solidFill>
                </w14:textFill>
              </w:rPr>
              <w:t xml:space="preserve">目前，公司重点推出的世界首创面板级先进封装的新设备包括Ultra ECP ap-p面板级电镀设备、Ultra C vac-p面板级负压清洗设备和Ultra C bev-p面板级边缘刻蚀设备等三款新产品。其中，Ultra ECP ap-p面板级电镀设备创新性地采用了专利申请保护的水平式面板电镀方式，让方形电场与面板实现同步旋转，能够更好地控制电镀均匀性；同时能够实现面板传输过程中引起的槽体间污染控制，大大降低了不同种金属电镀槽之间化学交叉污染的风险；Ultra C vac-p面板级负压清洗设备利用负压技术去除微凸块中的助焊剂残留物，可使清洗液到达狭窄的缝隙，显著提高了清洗效率，目前该设备已经在客户端实现量产；Ultra C bev-p面板级边缘刻蚀设备采用专为边缘刻蚀和铜残留清除而设计的湿法刻蚀工艺，在扇出型面板级封装技术中起到至关重要的作用。 </w:t>
            </w:r>
          </w:p>
          <w:p w14:paraId="4E62EBC6">
            <w:pPr>
              <w:spacing w:line="360" w:lineRule="auto"/>
              <w:rPr>
                <w:rFonts w:hint="eastAsia" w:ascii="宋体" w:hAnsi="宋体" w:eastAsia="宋体" w:cs="Times New Roman"/>
                <w:b w:val="0"/>
                <w:bCs w:val="0"/>
                <w:color w:val="000000" w:themeColor="text1"/>
                <w:sz w:val="22"/>
                <w14:textFill>
                  <w14:solidFill>
                    <w14:schemeClr w14:val="tx1"/>
                  </w14:solidFill>
                </w14:textFill>
              </w:rPr>
            </w:pPr>
            <w:r>
              <w:rPr>
                <w:rFonts w:hint="eastAsia" w:ascii="宋体" w:hAnsi="宋体" w:eastAsia="宋体" w:cs="Times New Roman"/>
                <w:color w:val="000000" w:themeColor="text1"/>
                <w:sz w:val="22"/>
                <w14:textFill>
                  <w14:solidFill>
                    <w14:schemeClr w14:val="tx1"/>
                  </w14:solidFill>
                </w14:textFill>
              </w:rPr>
              <w:t>公司将积极推进上述三类产品在中国大陆和台湾市场</w:t>
            </w:r>
            <w:r>
              <w:rPr>
                <w:rFonts w:hint="eastAsia" w:ascii="宋体" w:hAnsi="宋体" w:eastAsia="宋体" w:cs="Times New Roman"/>
                <w:color w:val="000000" w:themeColor="text1"/>
                <w:sz w:val="22"/>
                <w:lang w:eastAsia="zh-CN"/>
                <w14:textFill>
                  <w14:solidFill>
                    <w14:schemeClr w14:val="tx1"/>
                  </w14:solidFill>
                </w14:textFill>
              </w:rPr>
              <w:t>、</w:t>
            </w:r>
            <w:r>
              <w:rPr>
                <w:rFonts w:hint="eastAsia" w:ascii="宋体" w:hAnsi="宋体" w:eastAsia="宋体" w:cs="Times New Roman"/>
                <w:color w:val="000000" w:themeColor="text1"/>
                <w:sz w:val="22"/>
                <w14:textFill>
                  <w14:solidFill>
                    <w14:schemeClr w14:val="tx1"/>
                  </w14:solidFill>
                </w14:textFill>
              </w:rPr>
              <w:t>新加坡</w:t>
            </w:r>
            <w:r>
              <w:rPr>
                <w:rFonts w:hint="eastAsia" w:ascii="宋体" w:hAnsi="宋体" w:eastAsia="宋体" w:cs="Times New Roman"/>
                <w:color w:val="000000" w:themeColor="text1"/>
                <w:sz w:val="22"/>
                <w:lang w:eastAsia="zh-CN"/>
                <w14:textFill>
                  <w14:solidFill>
                    <w14:schemeClr w14:val="tx1"/>
                  </w14:solidFill>
                </w14:textFill>
              </w:rPr>
              <w:t>、</w:t>
            </w:r>
            <w:r>
              <w:rPr>
                <w:rFonts w:hint="eastAsia" w:ascii="宋体" w:hAnsi="宋体" w:eastAsia="宋体" w:cs="Times New Roman"/>
                <w:color w:val="000000" w:themeColor="text1"/>
                <w:sz w:val="22"/>
                <w14:textFill>
                  <w14:solidFill>
                    <w14:schemeClr w14:val="tx1"/>
                  </w14:solidFill>
                </w14:textFill>
              </w:rPr>
              <w:t>韩国市场的应用及拓展，后续相关产品的具体动态信息敬请关注公司披露的公开信息。公司将积极把握面板级设备市场发展趋势，做全湿法工艺的面板设备类型。</w:t>
            </w:r>
          </w:p>
          <w:p w14:paraId="689741DF">
            <w:pPr>
              <w:spacing w:line="360" w:lineRule="auto"/>
              <w:rPr>
                <w:rFonts w:hint="eastAsia" w:ascii="宋体" w:hAnsi="宋体" w:eastAsia="宋体" w:cs="Times New Roman"/>
                <w:b/>
                <w:bCs/>
                <w:color w:val="000000" w:themeColor="text1"/>
                <w:sz w:val="22"/>
                <w14:textFill>
                  <w14:solidFill>
                    <w14:schemeClr w14:val="tx1"/>
                  </w14:solidFill>
                </w14:textFill>
              </w:rPr>
            </w:pPr>
          </w:p>
          <w:p w14:paraId="719B7CDA">
            <w:pPr>
              <w:spacing w:line="360" w:lineRule="auto"/>
              <w:rPr>
                <w:rFonts w:hint="eastAsia" w:ascii="宋体" w:hAnsi="宋体" w:eastAsia="宋体" w:cs="Times New Roman"/>
                <w:b/>
                <w:bCs/>
                <w:color w:val="000000" w:themeColor="text1"/>
                <w:sz w:val="22"/>
                <w14:textFill>
                  <w14:solidFill>
                    <w14:schemeClr w14:val="tx1"/>
                  </w14:solidFill>
                </w14:textFill>
              </w:rPr>
            </w:pPr>
            <w:r>
              <w:rPr>
                <w:rFonts w:hint="eastAsia" w:ascii="宋体" w:hAnsi="宋体" w:eastAsia="宋体" w:cs="Times New Roman"/>
                <w:b/>
                <w:bCs/>
                <w:color w:val="000000" w:themeColor="text1"/>
                <w:sz w:val="22"/>
                <w14:textFill>
                  <w14:solidFill>
                    <w14:schemeClr w14:val="tx1"/>
                  </w14:solidFill>
                </w14:textFill>
              </w:rPr>
              <w:t>10、问：请问公司涂胶显影设备取得的具体成效如何？</w:t>
            </w:r>
          </w:p>
          <w:p w14:paraId="0221581D">
            <w:pPr>
              <w:spacing w:line="360" w:lineRule="auto"/>
              <w:rPr>
                <w:rFonts w:hint="eastAsia" w:ascii="宋体" w:hAnsi="宋体" w:eastAsia="宋体" w:cs="Times New Roman"/>
                <w:b w:val="0"/>
                <w:bCs w:val="0"/>
                <w:color w:val="000000" w:themeColor="text1"/>
                <w:sz w:val="22"/>
                <w14:textFill>
                  <w14:solidFill>
                    <w14:schemeClr w14:val="tx1"/>
                  </w14:solidFill>
                </w14:textFill>
              </w:rPr>
            </w:pPr>
            <w:r>
              <w:rPr>
                <w:rFonts w:hint="eastAsia" w:ascii="宋体" w:hAnsi="宋体" w:eastAsia="宋体" w:cs="Times New Roman"/>
                <w:b w:val="0"/>
                <w:bCs w:val="0"/>
                <w:color w:val="000000" w:themeColor="text1"/>
                <w:sz w:val="22"/>
                <w14:textFill>
                  <w14:solidFill>
                    <w14:schemeClr w14:val="tx1"/>
                  </w14:solidFill>
                </w14:textFill>
              </w:rPr>
              <w:t>答：公司布局前道涂胶显影多年，在涂胶显影设备（Track）领域，公司正有序推进 KrF 与 ArF两大技术节点的产品布局，这两款设备亦是公司Track系列的核心组成部分。经过5年的潜心研发，2025年第三季度公司推出首款自主研发的高产出（300WPH）KrF 工艺前道涂胶显影（Track）设备 Ultra LITH KrF，该产品具有高产能、先进温控技术以及实时工艺控制和监测功能，进一步拓展了光刻相关的应用领域，展现了公司在新产品品类中的持续扩展能力，已于2025年9月顺利交付中国头部逻辑晶圆厂客户，预计今年7月份与光刻机对接，年底完成全生产流程验证。</w:t>
            </w:r>
            <w:r>
              <w:rPr>
                <w:rFonts w:hint="eastAsia" w:ascii="宋体" w:hAnsi="宋体" w:eastAsia="宋体" w:cs="Times New Roman"/>
                <w:color w:val="000000" w:themeColor="text1"/>
                <w:sz w:val="22"/>
                <w14:textFill>
                  <w14:solidFill>
                    <w14:schemeClr w14:val="tx1"/>
                  </w14:solidFill>
                </w14:textFill>
              </w:rPr>
              <w:t>同时，基于KrF与ArF-i设备在功能上的共同性，公司有望加快推进ArF-i设备的生产及研发进程，并期待未来与客户端的紧密合作。</w:t>
            </w:r>
          </w:p>
          <w:p w14:paraId="622A03D2">
            <w:pPr>
              <w:spacing w:line="360" w:lineRule="auto"/>
              <w:rPr>
                <w:rFonts w:hint="eastAsia" w:ascii="宋体" w:hAnsi="宋体" w:eastAsia="宋体" w:cs="Times New Roman"/>
                <w:b/>
                <w:bCs/>
                <w:color w:val="000000" w:themeColor="text1"/>
                <w:sz w:val="22"/>
                <w14:textFill>
                  <w14:solidFill>
                    <w14:schemeClr w14:val="tx1"/>
                  </w14:solidFill>
                </w14:textFill>
              </w:rPr>
            </w:pPr>
          </w:p>
          <w:p w14:paraId="51C0E9C6">
            <w:pPr>
              <w:spacing w:line="360" w:lineRule="auto"/>
              <w:rPr>
                <w:rFonts w:hint="eastAsia" w:ascii="宋体" w:hAnsi="宋体" w:eastAsia="宋体" w:cs="Times New Roman"/>
                <w:b/>
                <w:bCs/>
                <w:color w:val="000000" w:themeColor="text1"/>
                <w:sz w:val="22"/>
                <w14:textFill>
                  <w14:solidFill>
                    <w14:schemeClr w14:val="tx1"/>
                  </w14:solidFill>
                </w14:textFill>
              </w:rPr>
            </w:pPr>
            <w:r>
              <w:rPr>
                <w:rFonts w:hint="eastAsia" w:ascii="宋体" w:hAnsi="宋体" w:eastAsia="宋体" w:cs="Times New Roman"/>
                <w:b/>
                <w:bCs/>
                <w:color w:val="000000" w:themeColor="text1"/>
                <w:sz w:val="22"/>
                <w14:textFill>
                  <w14:solidFill>
                    <w14:schemeClr w14:val="tx1"/>
                  </w14:solidFill>
                </w14:textFill>
              </w:rPr>
              <w:t>11、问：未来公司海外市场的营收的目标是多少？</w:t>
            </w:r>
          </w:p>
          <w:p w14:paraId="5E58DF48">
            <w:pPr>
              <w:spacing w:line="360" w:lineRule="auto"/>
              <w:rPr>
                <w:rFonts w:hint="eastAsia" w:ascii="宋体" w:hAnsi="宋体" w:eastAsia="宋体" w:cs="Times New Roman"/>
                <w:b w:val="0"/>
                <w:bCs w:val="0"/>
                <w:color w:val="000000" w:themeColor="text1"/>
                <w:sz w:val="22"/>
                <w14:textFill>
                  <w14:solidFill>
                    <w14:schemeClr w14:val="tx1"/>
                  </w14:solidFill>
                </w14:textFill>
              </w:rPr>
            </w:pPr>
            <w:r>
              <w:rPr>
                <w:rFonts w:hint="eastAsia" w:ascii="宋体" w:hAnsi="宋体" w:eastAsia="宋体" w:cs="Times New Roman"/>
                <w:b w:val="0"/>
                <w:bCs w:val="0"/>
                <w:color w:val="000000" w:themeColor="text1"/>
                <w:sz w:val="22"/>
                <w14:textFill>
                  <w14:solidFill>
                    <w14:schemeClr w14:val="tx1"/>
                  </w14:solidFill>
                </w14:textFill>
              </w:rPr>
              <w:t>答：公司的长期营收目标是40亿美元，其中海外地区的长期营收目标为16亿美元，中国大陆市场的长期营收目标为24亿美元。</w:t>
            </w:r>
          </w:p>
          <w:p w14:paraId="6E9E9A90">
            <w:pPr>
              <w:spacing w:line="360" w:lineRule="auto"/>
              <w:rPr>
                <w:rFonts w:hint="eastAsia" w:ascii="宋体" w:hAnsi="宋体" w:eastAsia="宋体" w:cs="Times New Roman"/>
                <w:b/>
                <w:bCs/>
                <w:color w:val="000000" w:themeColor="text1"/>
                <w:sz w:val="22"/>
                <w14:textFill>
                  <w14:solidFill>
                    <w14:schemeClr w14:val="tx1"/>
                  </w14:solidFill>
                </w14:textFill>
              </w:rPr>
            </w:pPr>
          </w:p>
          <w:p w14:paraId="5ABFDF5C">
            <w:pPr>
              <w:spacing w:line="360" w:lineRule="auto"/>
              <w:rPr>
                <w:rFonts w:hint="eastAsia" w:ascii="宋体" w:hAnsi="宋体" w:eastAsia="宋体" w:cs="Times New Roman"/>
                <w:b/>
                <w:bCs/>
                <w:color w:val="000000" w:themeColor="text1"/>
                <w:sz w:val="22"/>
                <w14:textFill>
                  <w14:solidFill>
                    <w14:schemeClr w14:val="tx1"/>
                  </w14:solidFill>
                </w14:textFill>
              </w:rPr>
            </w:pPr>
            <w:r>
              <w:rPr>
                <w:rFonts w:hint="eastAsia" w:ascii="宋体" w:hAnsi="宋体" w:eastAsia="宋体" w:cs="Times New Roman"/>
                <w:b/>
                <w:bCs/>
                <w:color w:val="000000" w:themeColor="text1"/>
                <w:sz w:val="22"/>
                <w14:textFill>
                  <w14:solidFill>
                    <w14:schemeClr w14:val="tx1"/>
                  </w14:solidFill>
                </w14:textFill>
              </w:rPr>
              <w:t>12、问：请公司能否介绍一下韩国团队的情况公司海外产能后续规划？</w:t>
            </w:r>
          </w:p>
          <w:p w14:paraId="2D153391">
            <w:pPr>
              <w:spacing w:line="360" w:lineRule="auto"/>
              <w:rPr>
                <w:rFonts w:hint="eastAsia" w:ascii="宋体" w:hAnsi="宋体" w:eastAsia="宋体" w:cs="Times New Roman"/>
                <w:b w:val="0"/>
                <w:bCs w:val="0"/>
                <w:color w:val="000000" w:themeColor="text1"/>
                <w:sz w:val="22"/>
                <w14:textFill>
                  <w14:solidFill>
                    <w14:schemeClr w14:val="tx1"/>
                  </w14:solidFill>
                </w14:textFill>
              </w:rPr>
            </w:pPr>
            <w:r>
              <w:rPr>
                <w:rFonts w:hint="eastAsia" w:ascii="宋体" w:hAnsi="宋体" w:eastAsia="宋体" w:cs="Times New Roman"/>
                <w:b w:val="0"/>
                <w:bCs w:val="0"/>
                <w:color w:val="000000" w:themeColor="text1"/>
                <w:sz w:val="22"/>
                <w14:textFill>
                  <w14:solidFill>
                    <w14:schemeClr w14:val="tx1"/>
                  </w14:solidFill>
                </w14:textFill>
              </w:rPr>
              <w:t xml:space="preserve">答：公司持续推进海外业务布局，韩国业务目前运营成熟。除韩国之外，盛美上海也在寻求新加坡、马来西亚、越南、泰国等东南亚市场的更多市场机会。 </w:t>
            </w:r>
          </w:p>
          <w:p w14:paraId="591B0775">
            <w:pPr>
              <w:spacing w:line="360" w:lineRule="auto"/>
              <w:rPr>
                <w:rFonts w:hint="eastAsia" w:ascii="宋体" w:hAnsi="宋体" w:eastAsia="宋体" w:cs="Times New Roman"/>
                <w:b/>
                <w:bCs/>
                <w:color w:val="000000" w:themeColor="text1"/>
                <w:sz w:val="22"/>
                <w14:textFill>
                  <w14:solidFill>
                    <w14:schemeClr w14:val="tx1"/>
                  </w14:solidFill>
                </w14:textFill>
              </w:rPr>
            </w:pPr>
          </w:p>
          <w:p w14:paraId="2F311E22">
            <w:pPr>
              <w:spacing w:line="360" w:lineRule="auto"/>
              <w:rPr>
                <w:rFonts w:hint="eastAsia" w:ascii="宋体" w:hAnsi="宋体" w:eastAsia="宋体" w:cs="Times New Roman"/>
                <w:b/>
                <w:bCs/>
                <w:color w:val="000000" w:themeColor="text1"/>
                <w:sz w:val="22"/>
                <w14:textFill>
                  <w14:solidFill>
                    <w14:schemeClr w14:val="tx1"/>
                  </w14:solidFill>
                </w14:textFill>
              </w:rPr>
            </w:pPr>
            <w:r>
              <w:rPr>
                <w:rFonts w:hint="eastAsia" w:ascii="宋体" w:hAnsi="宋体" w:eastAsia="宋体" w:cs="Times New Roman"/>
                <w:b/>
                <w:bCs/>
                <w:color w:val="000000" w:themeColor="text1"/>
                <w:sz w:val="22"/>
                <w14:textFill>
                  <w14:solidFill>
                    <w14:schemeClr w14:val="tx1"/>
                  </w14:solidFill>
                </w14:textFill>
              </w:rPr>
              <w:t>13、问：请问公司厂房B投产后，未来产能情况如何？</w:t>
            </w:r>
          </w:p>
          <w:p w14:paraId="0FD06AC1">
            <w:pPr>
              <w:spacing w:line="360" w:lineRule="auto"/>
              <w:rPr>
                <w:rFonts w:hint="eastAsia" w:ascii="宋体" w:hAnsi="宋体" w:eastAsia="宋体" w:cs="Times New Roman"/>
                <w:b w:val="0"/>
                <w:bCs w:val="0"/>
                <w:color w:val="000000" w:themeColor="text1"/>
                <w:sz w:val="22"/>
                <w14:textFill>
                  <w14:solidFill>
                    <w14:schemeClr w14:val="tx1"/>
                  </w14:solidFill>
                </w14:textFill>
              </w:rPr>
            </w:pPr>
            <w:r>
              <w:rPr>
                <w:rFonts w:hint="eastAsia" w:ascii="宋体" w:hAnsi="宋体" w:eastAsia="宋体" w:cs="Times New Roman"/>
                <w:b w:val="0"/>
                <w:bCs w:val="0"/>
                <w:color w:val="000000" w:themeColor="text1"/>
                <w:sz w:val="22"/>
                <w14:textFill>
                  <w14:solidFill>
                    <w14:schemeClr w14:val="tx1"/>
                  </w14:solidFill>
                </w14:textFill>
              </w:rPr>
              <w:t>答：公司当前A厂房已接近满产，B厂房计划于今年下半年启动装修，四季度力争实现部分产线投产。A、B 厂房全部投产后整体年产值可达200亿元，B厂房投产后将进一步打开公司业绩成长空间。</w:t>
            </w:r>
          </w:p>
          <w:p w14:paraId="10A47D00">
            <w:pPr>
              <w:spacing w:line="360" w:lineRule="auto"/>
              <w:rPr>
                <w:rFonts w:hint="eastAsia" w:ascii="宋体" w:hAnsi="宋体" w:eastAsia="宋体" w:cs="Times New Roman"/>
                <w:b/>
                <w:bCs/>
                <w:color w:val="000000" w:themeColor="text1"/>
                <w:sz w:val="22"/>
                <w14:textFill>
                  <w14:solidFill>
                    <w14:schemeClr w14:val="tx1"/>
                  </w14:solidFill>
                </w14:textFill>
              </w:rPr>
            </w:pPr>
          </w:p>
          <w:p w14:paraId="2F4C6A0C">
            <w:pPr>
              <w:spacing w:line="360" w:lineRule="auto"/>
              <w:rPr>
                <w:rFonts w:hint="eastAsia" w:ascii="宋体" w:hAnsi="宋体" w:eastAsia="宋体" w:cs="Times New Roman"/>
                <w:b/>
                <w:bCs/>
                <w:color w:val="000000" w:themeColor="text1"/>
                <w:sz w:val="22"/>
                <w14:textFill>
                  <w14:solidFill>
                    <w14:schemeClr w14:val="tx1"/>
                  </w14:solidFill>
                </w14:textFill>
              </w:rPr>
            </w:pPr>
            <w:r>
              <w:rPr>
                <w:rFonts w:hint="eastAsia" w:ascii="宋体" w:hAnsi="宋体" w:eastAsia="宋体" w:cs="Times New Roman"/>
                <w:b/>
                <w:bCs/>
                <w:color w:val="000000" w:themeColor="text1"/>
                <w:sz w:val="22"/>
                <w14:textFill>
                  <w14:solidFill>
                    <w14:schemeClr w14:val="tx1"/>
                  </w14:solidFill>
                </w14:textFill>
              </w:rPr>
              <w:t>14、问：长远看半导体零部件涨价趋势，请问公司库存大概是什么样的情况？</w:t>
            </w:r>
          </w:p>
          <w:p w14:paraId="5818FCCF">
            <w:pPr>
              <w:spacing w:line="360" w:lineRule="auto"/>
              <w:rPr>
                <w:rFonts w:hint="eastAsia" w:ascii="宋体" w:hAnsi="宋体" w:eastAsia="宋体" w:cs="Times New Roman"/>
                <w:color w:val="000000" w:themeColor="text1"/>
                <w:sz w:val="22"/>
                <w14:textFill>
                  <w14:solidFill>
                    <w14:schemeClr w14:val="tx1"/>
                  </w14:solidFill>
                </w14:textFill>
              </w:rPr>
            </w:pPr>
            <w:r>
              <w:rPr>
                <w:rFonts w:hint="eastAsia" w:ascii="宋体" w:hAnsi="宋体" w:eastAsia="宋体" w:cs="Times New Roman"/>
                <w:b w:val="0"/>
                <w:bCs w:val="0"/>
                <w:color w:val="000000" w:themeColor="text1"/>
                <w:sz w:val="22"/>
                <w14:textFill>
                  <w14:solidFill>
                    <w14:schemeClr w14:val="tx1"/>
                  </w14:solidFill>
                </w14:textFill>
              </w:rPr>
              <w:t>答：公司已关注到零部件市场的价格波动情况，采取了相应的应对措施。目前，公司通过提高</w:t>
            </w:r>
            <w:r>
              <w:rPr>
                <w:rFonts w:hint="eastAsia" w:ascii="宋体" w:hAnsi="宋体" w:eastAsia="宋体" w:cs="Times New Roman"/>
                <w:b w:val="0"/>
                <w:bCs w:val="0"/>
                <w:color w:val="000000" w:themeColor="text1"/>
                <w:sz w:val="22"/>
                <w:lang w:val="en-US" w:eastAsia="zh-CN"/>
                <w14:textFill>
                  <w14:solidFill>
                    <w14:schemeClr w14:val="tx1"/>
                  </w14:solidFill>
                </w14:textFill>
              </w:rPr>
              <w:t>本土</w:t>
            </w:r>
            <w:r>
              <w:rPr>
                <w:rFonts w:hint="eastAsia" w:ascii="宋体" w:hAnsi="宋体" w:eastAsia="宋体" w:cs="Times New Roman"/>
                <w:b w:val="0"/>
                <w:bCs w:val="0"/>
                <w:color w:val="000000" w:themeColor="text1"/>
                <w:sz w:val="22"/>
                <w14:textFill>
                  <w14:solidFill>
                    <w14:schemeClr w14:val="tx1"/>
                  </w14:solidFill>
                </w14:textFill>
              </w:rPr>
              <w:t>零部件使用比例、推进供应渠道多元化布局、提前储备零部件库存等多种方式降低市场价格波动对公司的影响。近年来，公司的核心零部件本土化进程也已取得积极进展。目前非标准件已实现全面本土化；对于标准件中的部分核心零部件同样取得了重要突破，例如磁旋泵、加热器、过滤器等部分实现本土化。同时，为系统推进公司零部件本土化，公司从2025年开始，在半导体前道及先进封装领域先后设计并组装出两台全部使用</w:t>
            </w:r>
            <w:r>
              <w:rPr>
                <w:rFonts w:hint="eastAsia" w:ascii="宋体" w:hAnsi="宋体" w:eastAsia="宋体" w:cs="Times New Roman"/>
                <w:b w:val="0"/>
                <w:bCs w:val="0"/>
                <w:color w:val="000000" w:themeColor="text1"/>
                <w:sz w:val="22"/>
                <w:lang w:val="en-US" w:eastAsia="zh-CN"/>
                <w14:textFill>
                  <w14:solidFill>
                    <w14:schemeClr w14:val="tx1"/>
                  </w14:solidFill>
                </w14:textFill>
              </w:rPr>
              <w:t>本土</w:t>
            </w:r>
            <w:r>
              <w:rPr>
                <w:rFonts w:hint="eastAsia" w:ascii="宋体" w:hAnsi="宋体" w:eastAsia="宋体" w:cs="Times New Roman"/>
                <w:b w:val="0"/>
                <w:bCs w:val="0"/>
                <w:color w:val="000000" w:themeColor="text1"/>
                <w:sz w:val="22"/>
                <w14:textFill>
                  <w14:solidFill>
                    <w14:schemeClr w14:val="tx1"/>
                  </w14:solidFill>
                </w14:textFill>
              </w:rPr>
              <w:t>零部件的设备（需要特别说明的是，上述设备仅为公司内部用于检验零部件性能的测试设备），之后计划将其在临港洁净室中进行零部件测试及验证，并将把通过验证的合格零部件逐步导入公司量产设备中。</w:t>
            </w:r>
          </w:p>
        </w:tc>
      </w:tr>
      <w:bookmarkEnd w:id="0"/>
    </w:tbl>
    <w:p w14:paraId="4E417465">
      <w:pPr>
        <w:widowControl/>
        <w:jc w:val="left"/>
        <w:rPr>
          <w:rFonts w:ascii="宋体" w:hAnsi="宋体" w:eastAsia="宋体" w:cs="Times New Roman"/>
          <w:iCs/>
          <w:sz w:val="24"/>
          <w:szCs w:val="24"/>
        </w:rPr>
        <w:sectPr>
          <w:head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49BE670">
      <w:pPr>
        <w:widowControl/>
        <w:jc w:val="left"/>
        <w:rPr>
          <w:rFonts w:ascii="宋体" w:hAnsi="宋体" w:eastAsia="宋体" w:cs="Times New Roman"/>
          <w:b/>
          <w:bCs/>
          <w:iCs/>
          <w:sz w:val="24"/>
          <w:szCs w:val="24"/>
        </w:rPr>
      </w:pPr>
      <w:r>
        <w:rPr>
          <w:rFonts w:hint="eastAsia" w:ascii="宋体" w:hAnsi="宋体" w:eastAsia="宋体" w:cs="Times New Roman"/>
          <w:b/>
          <w:bCs/>
          <w:iCs/>
          <w:sz w:val="24"/>
          <w:szCs w:val="24"/>
        </w:rPr>
        <w:t>附：参与单位名称</w:t>
      </w:r>
    </w:p>
    <w:p w14:paraId="5E179868">
      <w:pPr>
        <w:widowControl/>
        <w:jc w:val="left"/>
        <w:rPr>
          <w:rFonts w:hint="eastAsia" w:ascii="宋体" w:hAnsi="宋体" w:eastAsia="宋体" w:cs="Times New Roman"/>
          <w:iCs/>
          <w:sz w:val="24"/>
          <w:szCs w:val="24"/>
        </w:rPr>
      </w:pPr>
    </w:p>
    <w:p w14:paraId="11B1E074">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Anatole Investment</w:t>
      </w:r>
    </w:p>
    <w:p w14:paraId="77566A45">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Arrowpoint</w:t>
      </w:r>
    </w:p>
    <w:p w14:paraId="10C8A82D">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Balyasny Asset Management</w:t>
      </w:r>
    </w:p>
    <w:p w14:paraId="3290C5CA">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CloudAlpha</w:t>
      </w:r>
    </w:p>
    <w:p w14:paraId="0689DA95">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CPE源峰</w:t>
      </w:r>
    </w:p>
    <w:p w14:paraId="4FCCFB91">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Goldstream Capital</w:t>
      </w:r>
    </w:p>
    <w:p w14:paraId="32C5F2AB">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Greenwoods</w:t>
      </w:r>
    </w:p>
    <w:p w14:paraId="22F464F1">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IDG资本</w:t>
      </w:r>
    </w:p>
    <w:p w14:paraId="24FBE92E">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Oasis</w:t>
      </w:r>
    </w:p>
    <w:p w14:paraId="2A19E21C">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WFM Asia</w:t>
      </w:r>
    </w:p>
    <w:p w14:paraId="2EFD98FD">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爱建证券有限责任公司</w:t>
      </w:r>
    </w:p>
    <w:p w14:paraId="15357FD4">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北大方正人寿保险有限公司</w:t>
      </w:r>
    </w:p>
    <w:p w14:paraId="1878416F">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北京富弘荣宸私募基金管理有限公司</w:t>
      </w:r>
    </w:p>
    <w:p w14:paraId="1B833CD7">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北京泰致投资有限公司</w:t>
      </w:r>
    </w:p>
    <w:p w14:paraId="41ADAE2B">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北京源乐晟资产管理有限公司</w:t>
      </w:r>
    </w:p>
    <w:p w14:paraId="12DDF0CC">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壁仞投资</w:t>
      </w:r>
    </w:p>
    <w:p w14:paraId="579443D8">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博睿资本</w:t>
      </w:r>
    </w:p>
    <w:p w14:paraId="3AC2277A">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博时基金管理有限公司</w:t>
      </w:r>
    </w:p>
    <w:p w14:paraId="0E077D6B">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财通基金管理有限公司</w:t>
      </w:r>
    </w:p>
    <w:p w14:paraId="18394EC0">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财信基金管理有限公司</w:t>
      </w:r>
    </w:p>
    <w:p w14:paraId="3785F4A9">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常州金融投资集团有限公司</w:t>
      </w:r>
    </w:p>
    <w:p w14:paraId="5552F0C5">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承珞（上海）投资管理中心（有限合伙）</w:t>
      </w:r>
    </w:p>
    <w:p w14:paraId="5B30D473">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第一上海投资有限公司</w:t>
      </w:r>
    </w:p>
    <w:p w14:paraId="5C423020">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鼎森集团有限公司</w:t>
      </w:r>
    </w:p>
    <w:p w14:paraId="689D6389">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东方证券股份有限公司</w:t>
      </w:r>
    </w:p>
    <w:p w14:paraId="3C8EA93E">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东吴人寿保险股份有限公司</w:t>
      </w:r>
    </w:p>
    <w:p w14:paraId="2EF39A3A">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方正证券股份有限公司</w:t>
      </w:r>
    </w:p>
    <w:p w14:paraId="20C793B7">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复星联合健康保险</w:t>
      </w:r>
    </w:p>
    <w:p w14:paraId="794A0DAD">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富安达基金管理有限公司</w:t>
      </w:r>
    </w:p>
    <w:p w14:paraId="3E2B8EE9">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富国基金管理有限公司</w:t>
      </w:r>
    </w:p>
    <w:p w14:paraId="583B277E">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高瓴集团</w:t>
      </w:r>
    </w:p>
    <w:p w14:paraId="7B9BA26C">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广州芯晟投资有限公司</w:t>
      </w:r>
    </w:p>
    <w:p w14:paraId="591F4FDF">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国海证券有限责任公司</w:t>
      </w:r>
    </w:p>
    <w:p w14:paraId="41E7D2C3">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国联民生证券股份有限公司</w:t>
      </w:r>
    </w:p>
    <w:p w14:paraId="6FC0799E">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国泰海通证券股份有限公司</w:t>
      </w:r>
    </w:p>
    <w:p w14:paraId="5ECB899C">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国泰海通政策产业研究院</w:t>
      </w:r>
    </w:p>
    <w:p w14:paraId="36E19A38">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国泰基金管理有限公司</w:t>
      </w:r>
    </w:p>
    <w:p w14:paraId="55E2CE0A">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海创（上海）私募基金管理有限公司</w:t>
      </w:r>
    </w:p>
    <w:p w14:paraId="12E1B059">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杭州济海投资有限公司</w:t>
      </w:r>
    </w:p>
    <w:p w14:paraId="13169837">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杭州弈宸私募基金管理有限公司</w:t>
      </w:r>
    </w:p>
    <w:p w14:paraId="549CB9C3">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杭州涨不停企业管理咨询有限公司</w:t>
      </w:r>
    </w:p>
    <w:p w14:paraId="08819CA7">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苏州红方红投资管理有限公司</w:t>
      </w:r>
    </w:p>
    <w:p w14:paraId="322F9863">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鸿商资本股权投资有限公司</w:t>
      </w:r>
    </w:p>
    <w:p w14:paraId="55A6EFF5">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华创资管</w:t>
      </w:r>
    </w:p>
    <w:p w14:paraId="505DD4DD">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华福证券股份有限公司</w:t>
      </w:r>
    </w:p>
    <w:p w14:paraId="7A426913">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华鲁投资发展有限公司</w:t>
      </w:r>
    </w:p>
    <w:p w14:paraId="09CCD709">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华能贵诚信托有限公司</w:t>
      </w:r>
    </w:p>
    <w:p w14:paraId="52CB6FDF">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华数数科（浙江）股权投资有限公司</w:t>
      </w:r>
    </w:p>
    <w:p w14:paraId="4867D777">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华泰柏瑞基金管理有限公司</w:t>
      </w:r>
    </w:p>
    <w:p w14:paraId="12BCB326">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华泰证券股份有限公司</w:t>
      </w:r>
    </w:p>
    <w:p w14:paraId="4C85186C">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华泰资产管理有限公司</w:t>
      </w:r>
    </w:p>
    <w:p w14:paraId="465274F6">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华夏基金管理有限公司</w:t>
      </w:r>
    </w:p>
    <w:p w14:paraId="45C908A9">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华兴证券有限公司</w:t>
      </w:r>
    </w:p>
    <w:p w14:paraId="08E074D8">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辉腾投资</w:t>
      </w:r>
    </w:p>
    <w:p w14:paraId="19FB87F8">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汇安基金管理有限责任公司</w:t>
      </w:r>
    </w:p>
    <w:p w14:paraId="6668E982">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汇丰晋信基金管理有限公司</w:t>
      </w:r>
    </w:p>
    <w:p w14:paraId="0381A3AB">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惠理基金</w:t>
      </w:r>
    </w:p>
    <w:p w14:paraId="4BECD022">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嘉实基金管理有限公司</w:t>
      </w:r>
    </w:p>
    <w:p w14:paraId="49F08AB5">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建信保险资产管理有限公司</w:t>
      </w:r>
    </w:p>
    <w:p w14:paraId="413DFD47">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江苏毅达股权投资基金管理有限公司</w:t>
      </w:r>
    </w:p>
    <w:p w14:paraId="4E43570A">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九方智投控股有限公司</w:t>
      </w:r>
    </w:p>
    <w:p w14:paraId="3741C0E5">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兰馨亚洲投资集团</w:t>
      </w:r>
    </w:p>
    <w:p w14:paraId="1108283B">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民生加银基金管理有限公司</w:t>
      </w:r>
    </w:p>
    <w:p w14:paraId="62685254">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摩根大通集团</w:t>
      </w:r>
    </w:p>
    <w:p w14:paraId="1A82F8CD">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南方基金管理股份有限公司</w:t>
      </w:r>
    </w:p>
    <w:p w14:paraId="0747380A">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南京祥运和投资管理有限公司</w:t>
      </w:r>
    </w:p>
    <w:p w14:paraId="523ECB3C">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南京证券股份有限公司</w:t>
      </w:r>
    </w:p>
    <w:p w14:paraId="449B6F21">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宁波和济投资</w:t>
      </w:r>
    </w:p>
    <w:p w14:paraId="5C0C852B">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鹏华基金管理有限公司</w:t>
      </w:r>
    </w:p>
    <w:p w14:paraId="3EA04488">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瑞银集团</w:t>
      </w:r>
    </w:p>
    <w:p w14:paraId="1629FB63">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厦门国际银行上海分行</w:t>
      </w:r>
    </w:p>
    <w:p w14:paraId="22C70B62">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山西证券股份有限公司</w:t>
      </w:r>
    </w:p>
    <w:p w14:paraId="712D0ED6">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上海道仁资产管理有限公司</w:t>
      </w:r>
    </w:p>
    <w:p w14:paraId="32EC4D67">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上海道子天资产管理有限公司</w:t>
      </w:r>
    </w:p>
    <w:p w14:paraId="38D1EDF9">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上海国投科创产业研究院</w:t>
      </w:r>
    </w:p>
    <w:p w14:paraId="4C75FAB1">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上海国有资本投资有限公司</w:t>
      </w:r>
    </w:p>
    <w:p w14:paraId="5B4548CC">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上海鹤禧私募基金管理有限公司</w:t>
      </w:r>
    </w:p>
    <w:p w14:paraId="47A0BAFF">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上海景林资产管理有限公司</w:t>
      </w:r>
    </w:p>
    <w:p w14:paraId="7A0E4132">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上海朗程投资管理有限公司</w:t>
      </w:r>
    </w:p>
    <w:p w14:paraId="067FD123">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上海量泽投资管理有限公司</w:t>
      </w:r>
    </w:p>
    <w:p w14:paraId="7AD0B315">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上海聆泽私募基金管理有限公司</w:t>
      </w:r>
    </w:p>
    <w:p w14:paraId="31A1CF5F">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上海明投资管理有限公司</w:t>
      </w:r>
    </w:p>
    <w:p w14:paraId="0F866AF6">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上海荣疆投资管理有限公司</w:t>
      </w:r>
    </w:p>
    <w:p w14:paraId="5AE83C8A">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上海森锦投资管理有限公司</w:t>
      </w:r>
    </w:p>
    <w:p w14:paraId="584466C0">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上海尚颀投资管理合伙企业</w:t>
      </w:r>
    </w:p>
    <w:p w14:paraId="42EE1AC4">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上海韦豪创芯投资管理有限公司</w:t>
      </w:r>
    </w:p>
    <w:p w14:paraId="0FC7021E">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上海小熙投资管理有限公司</w:t>
      </w:r>
    </w:p>
    <w:p w14:paraId="1D5DF52C">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上海驭秉投资管理有限公司</w:t>
      </w:r>
    </w:p>
    <w:p w14:paraId="41D64F8E">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上海远海私募基金管理有限公司</w:t>
      </w:r>
    </w:p>
    <w:p w14:paraId="7D9FB21D">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上海兆顺私募基金管理有限公司</w:t>
      </w:r>
    </w:p>
    <w:p w14:paraId="515A8ACA">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上海证券通投资资讯科技有限公司</w:t>
      </w:r>
    </w:p>
    <w:p w14:paraId="42E6EEF3">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上海证券有限责任公司</w:t>
      </w:r>
    </w:p>
    <w:p w14:paraId="1353F80D">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上海紫阁投资管理有限公司</w:t>
      </w:r>
    </w:p>
    <w:p w14:paraId="7A9DAB23">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申万宏源证券有限公司</w:t>
      </w:r>
    </w:p>
    <w:p w14:paraId="3EA58AC1">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深圳市前海尚善资产管理有限公司</w:t>
      </w:r>
    </w:p>
    <w:p w14:paraId="131F73A3">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深圳市协众投资管理有限公司</w:t>
      </w:r>
    </w:p>
    <w:p w14:paraId="71505045">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太保资产</w:t>
      </w:r>
    </w:p>
    <w:p w14:paraId="1579D889">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太平基金管理有限公司</w:t>
      </w:r>
    </w:p>
    <w:p w14:paraId="35F9C652">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天风证券股份有限公司</w:t>
      </w:r>
    </w:p>
    <w:p w14:paraId="3A70699B">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天瑞万合（上海）私募基金管理有限公司</w:t>
      </w:r>
    </w:p>
    <w:p w14:paraId="18EF06B1">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天演论集团</w:t>
      </w:r>
    </w:p>
    <w:p w14:paraId="5359972C">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伟星资本</w:t>
      </w:r>
    </w:p>
    <w:p w14:paraId="6B12483D">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西部利得基金管理有限公司</w:t>
      </w:r>
    </w:p>
    <w:p w14:paraId="0435721A">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西部证券股份有限公司</w:t>
      </w:r>
    </w:p>
    <w:p w14:paraId="20452F1F">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西南证券股份有限公司</w:t>
      </w:r>
    </w:p>
    <w:p w14:paraId="51B3E025">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新华资产管理股份有限公司</w:t>
      </w:r>
    </w:p>
    <w:p w14:paraId="6B088171">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鑫元基金管理有限公司</w:t>
      </w:r>
    </w:p>
    <w:p w14:paraId="085F4FBC">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信达澳亚基金管理有限公司</w:t>
      </w:r>
    </w:p>
    <w:p w14:paraId="439B197A">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信庭投资国际有限公司</w:t>
      </w:r>
    </w:p>
    <w:p w14:paraId="5150B0D5">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兴证全球基金管理有限公司</w:t>
      </w:r>
    </w:p>
    <w:p w14:paraId="4E49A834">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宜兴科产谷产业基金合伙企业</w:t>
      </w:r>
    </w:p>
    <w:p w14:paraId="216CD706">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永赢基金管理有限公司</w:t>
      </w:r>
    </w:p>
    <w:p w14:paraId="114C7938">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远信（珠海）私募基金管理有限公司</w:t>
      </w:r>
    </w:p>
    <w:p w14:paraId="705072C8">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云南国际信托有限公司</w:t>
      </w:r>
    </w:p>
    <w:p w14:paraId="1BD0ACDC">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泽安私募基金管理（三亚）合伙企业（有限合伙）</w:t>
      </w:r>
    </w:p>
    <w:p w14:paraId="36243636">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长江证券股份有限公司</w:t>
      </w:r>
    </w:p>
    <w:p w14:paraId="756B7211">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长信基金管理有限责任公司</w:t>
      </w:r>
    </w:p>
    <w:p w14:paraId="4E2B554F">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招商基金管理有限公司</w:t>
      </w:r>
    </w:p>
    <w:p w14:paraId="184F41C3">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招商证券股份有限公司</w:t>
      </w:r>
    </w:p>
    <w:p w14:paraId="67EBF77C">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浙江吉晟资产管理有限公司</w:t>
      </w:r>
    </w:p>
    <w:p w14:paraId="1D1B7DA3">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浙江浙商证券资产管理有限公司</w:t>
      </w:r>
    </w:p>
    <w:p w14:paraId="360BCAAF">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浙商证券股份有限公司</w:t>
      </w:r>
    </w:p>
    <w:p w14:paraId="7E4485C3">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中财招商投资集团商业保理有限公司</w:t>
      </w:r>
    </w:p>
    <w:p w14:paraId="60D32AD5">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中电科投资控股有限公司</w:t>
      </w:r>
    </w:p>
    <w:p w14:paraId="776D595A">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中庚基金管理有限公司</w:t>
      </w:r>
    </w:p>
    <w:p w14:paraId="41C2FE14">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中国电子专用设备工业协会半导体设备分会</w:t>
      </w:r>
    </w:p>
    <w:p w14:paraId="2941CB7B">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中国光晖投资控股公司</w:t>
      </w:r>
    </w:p>
    <w:p w14:paraId="7D5703B7">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中国国际金融股份有限公司</w:t>
      </w:r>
    </w:p>
    <w:p w14:paraId="2BD9BC98">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中海基金管理有限公司</w:t>
      </w:r>
    </w:p>
    <w:p w14:paraId="459699D3">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中泰证券股份有限公司</w:t>
      </w:r>
    </w:p>
    <w:p w14:paraId="1D17CF26">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中信证券股份有限公司</w:t>
      </w:r>
    </w:p>
    <w:p w14:paraId="20F89B71">
      <w:pPr>
        <w:widowControl/>
        <w:jc w:val="left"/>
        <w:rPr>
          <w:rFonts w:hint="eastAsia" w:ascii="宋体" w:hAnsi="宋体" w:eastAsia="宋体" w:cs="Times New Roman"/>
          <w:iCs/>
          <w:sz w:val="24"/>
          <w:szCs w:val="24"/>
        </w:rPr>
      </w:pPr>
      <w:r>
        <w:rPr>
          <w:rFonts w:hint="eastAsia" w:ascii="宋体" w:hAnsi="宋体" w:eastAsia="宋体" w:cs="Times New Roman"/>
          <w:iCs/>
          <w:sz w:val="24"/>
          <w:szCs w:val="24"/>
        </w:rPr>
        <w:t>中证鹏元资信评估股份有限公司</w:t>
      </w:r>
    </w:p>
    <w:p w14:paraId="615950B0">
      <w:pPr>
        <w:widowControl/>
        <w:jc w:val="left"/>
        <w:rPr>
          <w:rFonts w:hint="default" w:ascii="宋体" w:hAnsi="宋体" w:eastAsia="宋体" w:cs="Times New Roman"/>
          <w:iCs/>
          <w:sz w:val="24"/>
          <w:szCs w:val="24"/>
          <w:lang w:val="en-US" w:eastAsia="zh-CN"/>
        </w:rPr>
      </w:pPr>
      <w:r>
        <w:rPr>
          <w:rFonts w:hint="eastAsia" w:ascii="宋体" w:hAnsi="宋体" w:eastAsia="宋体" w:cs="Times New Roman"/>
          <w:iCs/>
          <w:sz w:val="24"/>
          <w:szCs w:val="24"/>
          <w:lang w:val="en-US" w:eastAsia="zh-CN"/>
        </w:rPr>
        <w:t>个人投资者</w:t>
      </w:r>
      <w:bookmarkStart w:id="2" w:name="_GoBack"/>
      <w:bookmarkEnd w:id="2"/>
    </w:p>
    <w:sectPr>
      <w:head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F0D4CB">
    <w:pPr>
      <w:pStyle w:val="5"/>
    </w:pPr>
    <w:r>
      <w:drawing>
        <wp:anchor distT="0" distB="0" distL="114300" distR="114300" simplePos="0" relativeHeight="251659264" behindDoc="0" locked="0" layoutInCell="1" allowOverlap="1">
          <wp:simplePos x="0" y="0"/>
          <wp:positionH relativeFrom="column">
            <wp:posOffset>-29845</wp:posOffset>
          </wp:positionH>
          <wp:positionV relativeFrom="paragraph">
            <wp:posOffset>-133350</wp:posOffset>
          </wp:positionV>
          <wp:extent cx="396240" cy="255905"/>
          <wp:effectExtent l="0" t="0" r="381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6416" cy="255815"/>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E9E5B">
    <w:pPr>
      <w:pStyle w:val="5"/>
    </w:pPr>
    <w:r>
      <w:drawing>
        <wp:anchor distT="0" distB="0" distL="114300" distR="114300" simplePos="0" relativeHeight="251660288" behindDoc="0" locked="0" layoutInCell="1" allowOverlap="1">
          <wp:simplePos x="0" y="0"/>
          <wp:positionH relativeFrom="column">
            <wp:posOffset>-29845</wp:posOffset>
          </wp:positionH>
          <wp:positionV relativeFrom="paragraph">
            <wp:posOffset>-133350</wp:posOffset>
          </wp:positionV>
          <wp:extent cx="396240" cy="255905"/>
          <wp:effectExtent l="0" t="0" r="3810" b="0"/>
          <wp:wrapNone/>
          <wp:docPr id="1772694622" name="图片 1772694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694622" name="图片 177269462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6416" cy="25581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6C7A52"/>
    <w:multiLevelType w:val="multilevel"/>
    <w:tmpl w:val="3A6C7A52"/>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6CD"/>
    <w:rsid w:val="0000466C"/>
    <w:rsid w:val="00006EAB"/>
    <w:rsid w:val="00007952"/>
    <w:rsid w:val="00011BC7"/>
    <w:rsid w:val="00014EDC"/>
    <w:rsid w:val="00014F2A"/>
    <w:rsid w:val="00021F69"/>
    <w:rsid w:val="00023F7B"/>
    <w:rsid w:val="000241F0"/>
    <w:rsid w:val="00024642"/>
    <w:rsid w:val="000269F1"/>
    <w:rsid w:val="00026CD7"/>
    <w:rsid w:val="00026E2B"/>
    <w:rsid w:val="000270E5"/>
    <w:rsid w:val="00027D0A"/>
    <w:rsid w:val="000323F8"/>
    <w:rsid w:val="000333DF"/>
    <w:rsid w:val="00036EDB"/>
    <w:rsid w:val="00041E25"/>
    <w:rsid w:val="00042C46"/>
    <w:rsid w:val="00042EEA"/>
    <w:rsid w:val="000443F9"/>
    <w:rsid w:val="000444E5"/>
    <w:rsid w:val="00050011"/>
    <w:rsid w:val="00050BA7"/>
    <w:rsid w:val="000528A8"/>
    <w:rsid w:val="0005452E"/>
    <w:rsid w:val="00063DB5"/>
    <w:rsid w:val="0006434F"/>
    <w:rsid w:val="00070593"/>
    <w:rsid w:val="00070C3B"/>
    <w:rsid w:val="00070C8D"/>
    <w:rsid w:val="00071B11"/>
    <w:rsid w:val="000736E8"/>
    <w:rsid w:val="00073AFD"/>
    <w:rsid w:val="000760AD"/>
    <w:rsid w:val="00077A28"/>
    <w:rsid w:val="00081B36"/>
    <w:rsid w:val="000828F8"/>
    <w:rsid w:val="000844AF"/>
    <w:rsid w:val="00086C90"/>
    <w:rsid w:val="00095F45"/>
    <w:rsid w:val="000A1420"/>
    <w:rsid w:val="000A2025"/>
    <w:rsid w:val="000A64AC"/>
    <w:rsid w:val="000A65EF"/>
    <w:rsid w:val="000B45C6"/>
    <w:rsid w:val="000B462B"/>
    <w:rsid w:val="000B5299"/>
    <w:rsid w:val="000B6918"/>
    <w:rsid w:val="000B6FFD"/>
    <w:rsid w:val="000B7409"/>
    <w:rsid w:val="000C2F52"/>
    <w:rsid w:val="000C5707"/>
    <w:rsid w:val="000C6613"/>
    <w:rsid w:val="000D1A05"/>
    <w:rsid w:val="000F15EB"/>
    <w:rsid w:val="000F295B"/>
    <w:rsid w:val="000F6BEB"/>
    <w:rsid w:val="001004FC"/>
    <w:rsid w:val="00103C4E"/>
    <w:rsid w:val="00103E08"/>
    <w:rsid w:val="00105F14"/>
    <w:rsid w:val="00111EF4"/>
    <w:rsid w:val="00113C72"/>
    <w:rsid w:val="00114CEA"/>
    <w:rsid w:val="001221B8"/>
    <w:rsid w:val="00126191"/>
    <w:rsid w:val="001263C3"/>
    <w:rsid w:val="001304EB"/>
    <w:rsid w:val="001334C1"/>
    <w:rsid w:val="00136BC5"/>
    <w:rsid w:val="00137300"/>
    <w:rsid w:val="00142F11"/>
    <w:rsid w:val="001439E6"/>
    <w:rsid w:val="00143A57"/>
    <w:rsid w:val="00146172"/>
    <w:rsid w:val="00151B55"/>
    <w:rsid w:val="00154F64"/>
    <w:rsid w:val="001606F3"/>
    <w:rsid w:val="001672FF"/>
    <w:rsid w:val="001819EF"/>
    <w:rsid w:val="00184AC1"/>
    <w:rsid w:val="00186DBB"/>
    <w:rsid w:val="00187077"/>
    <w:rsid w:val="00191637"/>
    <w:rsid w:val="00194C3E"/>
    <w:rsid w:val="001965A6"/>
    <w:rsid w:val="001A125C"/>
    <w:rsid w:val="001A1337"/>
    <w:rsid w:val="001B00D8"/>
    <w:rsid w:val="001B011E"/>
    <w:rsid w:val="001B140B"/>
    <w:rsid w:val="001B508F"/>
    <w:rsid w:val="001B51B7"/>
    <w:rsid w:val="001B723E"/>
    <w:rsid w:val="001B7B58"/>
    <w:rsid w:val="001B7D68"/>
    <w:rsid w:val="001C07BF"/>
    <w:rsid w:val="001C40CA"/>
    <w:rsid w:val="001C49D9"/>
    <w:rsid w:val="001C6742"/>
    <w:rsid w:val="001C6F2F"/>
    <w:rsid w:val="001C7C07"/>
    <w:rsid w:val="001D5222"/>
    <w:rsid w:val="001D7715"/>
    <w:rsid w:val="001D7A5D"/>
    <w:rsid w:val="001E117B"/>
    <w:rsid w:val="001E2BC5"/>
    <w:rsid w:val="001E5E64"/>
    <w:rsid w:val="001E7F7C"/>
    <w:rsid w:val="001F0DCC"/>
    <w:rsid w:val="001F2572"/>
    <w:rsid w:val="001F327E"/>
    <w:rsid w:val="001F47A5"/>
    <w:rsid w:val="001F5B62"/>
    <w:rsid w:val="00201646"/>
    <w:rsid w:val="00201BF2"/>
    <w:rsid w:val="002043B7"/>
    <w:rsid w:val="0020724D"/>
    <w:rsid w:val="002118DC"/>
    <w:rsid w:val="00214C8F"/>
    <w:rsid w:val="00221E78"/>
    <w:rsid w:val="002239C5"/>
    <w:rsid w:val="002278FB"/>
    <w:rsid w:val="00230F6A"/>
    <w:rsid w:val="00232813"/>
    <w:rsid w:val="00234237"/>
    <w:rsid w:val="00234D03"/>
    <w:rsid w:val="00236082"/>
    <w:rsid w:val="00241B33"/>
    <w:rsid w:val="00243B13"/>
    <w:rsid w:val="002450D7"/>
    <w:rsid w:val="0024743C"/>
    <w:rsid w:val="00251EF8"/>
    <w:rsid w:val="002525E9"/>
    <w:rsid w:val="0025271B"/>
    <w:rsid w:val="00255B4A"/>
    <w:rsid w:val="00256250"/>
    <w:rsid w:val="0025686C"/>
    <w:rsid w:val="00262368"/>
    <w:rsid w:val="00263229"/>
    <w:rsid w:val="0026427F"/>
    <w:rsid w:val="002650F9"/>
    <w:rsid w:val="00266A22"/>
    <w:rsid w:val="00267056"/>
    <w:rsid w:val="0027034A"/>
    <w:rsid w:val="00271324"/>
    <w:rsid w:val="00271800"/>
    <w:rsid w:val="002722E0"/>
    <w:rsid w:val="002739C7"/>
    <w:rsid w:val="00273BE7"/>
    <w:rsid w:val="00273D9E"/>
    <w:rsid w:val="0028148B"/>
    <w:rsid w:val="002835F7"/>
    <w:rsid w:val="00286F7B"/>
    <w:rsid w:val="002879B6"/>
    <w:rsid w:val="002916F6"/>
    <w:rsid w:val="0029285E"/>
    <w:rsid w:val="00293FBB"/>
    <w:rsid w:val="00293FFD"/>
    <w:rsid w:val="00295236"/>
    <w:rsid w:val="0029536D"/>
    <w:rsid w:val="00297A54"/>
    <w:rsid w:val="002A15B6"/>
    <w:rsid w:val="002B0AD4"/>
    <w:rsid w:val="002B2AD7"/>
    <w:rsid w:val="002B75F5"/>
    <w:rsid w:val="002C1C3B"/>
    <w:rsid w:val="002C23DD"/>
    <w:rsid w:val="002C3AD1"/>
    <w:rsid w:val="002D15D1"/>
    <w:rsid w:val="002D23B6"/>
    <w:rsid w:val="002D3753"/>
    <w:rsid w:val="002D3890"/>
    <w:rsid w:val="002D543D"/>
    <w:rsid w:val="002E1CE3"/>
    <w:rsid w:val="002F1B04"/>
    <w:rsid w:val="002F3DFE"/>
    <w:rsid w:val="002F4C46"/>
    <w:rsid w:val="002F5458"/>
    <w:rsid w:val="002F6EAD"/>
    <w:rsid w:val="002F7A65"/>
    <w:rsid w:val="00306AE8"/>
    <w:rsid w:val="00306E75"/>
    <w:rsid w:val="00307607"/>
    <w:rsid w:val="00307EC1"/>
    <w:rsid w:val="0031032E"/>
    <w:rsid w:val="00311D65"/>
    <w:rsid w:val="003131C3"/>
    <w:rsid w:val="0031371B"/>
    <w:rsid w:val="00320D2C"/>
    <w:rsid w:val="00320D9D"/>
    <w:rsid w:val="00320EA7"/>
    <w:rsid w:val="00325F60"/>
    <w:rsid w:val="00327330"/>
    <w:rsid w:val="00327CE4"/>
    <w:rsid w:val="00330A90"/>
    <w:rsid w:val="00331AE4"/>
    <w:rsid w:val="00333A41"/>
    <w:rsid w:val="00336191"/>
    <w:rsid w:val="00337123"/>
    <w:rsid w:val="00340A0E"/>
    <w:rsid w:val="003413FD"/>
    <w:rsid w:val="00341FA4"/>
    <w:rsid w:val="0034208C"/>
    <w:rsid w:val="00346C02"/>
    <w:rsid w:val="0035053A"/>
    <w:rsid w:val="003508D5"/>
    <w:rsid w:val="003524BC"/>
    <w:rsid w:val="0035572A"/>
    <w:rsid w:val="0035672A"/>
    <w:rsid w:val="00357207"/>
    <w:rsid w:val="00362CD0"/>
    <w:rsid w:val="00363384"/>
    <w:rsid w:val="00366005"/>
    <w:rsid w:val="00367719"/>
    <w:rsid w:val="00367F59"/>
    <w:rsid w:val="0037038A"/>
    <w:rsid w:val="00370EA6"/>
    <w:rsid w:val="003722F1"/>
    <w:rsid w:val="0037245D"/>
    <w:rsid w:val="00374A09"/>
    <w:rsid w:val="00376EB2"/>
    <w:rsid w:val="0038034C"/>
    <w:rsid w:val="00381281"/>
    <w:rsid w:val="003826F3"/>
    <w:rsid w:val="0038311C"/>
    <w:rsid w:val="0038319A"/>
    <w:rsid w:val="00383FA5"/>
    <w:rsid w:val="00385068"/>
    <w:rsid w:val="00386F86"/>
    <w:rsid w:val="00387320"/>
    <w:rsid w:val="00397642"/>
    <w:rsid w:val="003A2EB2"/>
    <w:rsid w:val="003A6970"/>
    <w:rsid w:val="003A7179"/>
    <w:rsid w:val="003B12EA"/>
    <w:rsid w:val="003B13A4"/>
    <w:rsid w:val="003B49D2"/>
    <w:rsid w:val="003B7F90"/>
    <w:rsid w:val="003C0703"/>
    <w:rsid w:val="003C0892"/>
    <w:rsid w:val="003C1712"/>
    <w:rsid w:val="003C31F7"/>
    <w:rsid w:val="003C3FDF"/>
    <w:rsid w:val="003C5829"/>
    <w:rsid w:val="003C67F8"/>
    <w:rsid w:val="003C6A2B"/>
    <w:rsid w:val="003D1782"/>
    <w:rsid w:val="003D2A88"/>
    <w:rsid w:val="003D2F73"/>
    <w:rsid w:val="003D40E0"/>
    <w:rsid w:val="003D452A"/>
    <w:rsid w:val="003D6D81"/>
    <w:rsid w:val="003E2989"/>
    <w:rsid w:val="003E5D54"/>
    <w:rsid w:val="003F2A5A"/>
    <w:rsid w:val="003F6D0B"/>
    <w:rsid w:val="00400B90"/>
    <w:rsid w:val="0040142B"/>
    <w:rsid w:val="00401581"/>
    <w:rsid w:val="0040439F"/>
    <w:rsid w:val="00404723"/>
    <w:rsid w:val="004106EC"/>
    <w:rsid w:val="00411262"/>
    <w:rsid w:val="00414684"/>
    <w:rsid w:val="00415FC4"/>
    <w:rsid w:val="00417B0B"/>
    <w:rsid w:val="00420071"/>
    <w:rsid w:val="00421493"/>
    <w:rsid w:val="0042182D"/>
    <w:rsid w:val="00422C85"/>
    <w:rsid w:val="00424F55"/>
    <w:rsid w:val="00425BB1"/>
    <w:rsid w:val="004265AA"/>
    <w:rsid w:val="00432964"/>
    <w:rsid w:val="00432BE6"/>
    <w:rsid w:val="00433835"/>
    <w:rsid w:val="00435DFE"/>
    <w:rsid w:val="00442E50"/>
    <w:rsid w:val="004460A1"/>
    <w:rsid w:val="00450320"/>
    <w:rsid w:val="00450F55"/>
    <w:rsid w:val="00455457"/>
    <w:rsid w:val="00457FBC"/>
    <w:rsid w:val="00461E22"/>
    <w:rsid w:val="00462285"/>
    <w:rsid w:val="00462C70"/>
    <w:rsid w:val="0046519C"/>
    <w:rsid w:val="00467171"/>
    <w:rsid w:val="00467B9C"/>
    <w:rsid w:val="00470346"/>
    <w:rsid w:val="0047142B"/>
    <w:rsid w:val="00472F77"/>
    <w:rsid w:val="004736A2"/>
    <w:rsid w:val="00473CA1"/>
    <w:rsid w:val="00473F91"/>
    <w:rsid w:val="00482D5D"/>
    <w:rsid w:val="004831CD"/>
    <w:rsid w:val="004859A7"/>
    <w:rsid w:val="00487DC9"/>
    <w:rsid w:val="00495655"/>
    <w:rsid w:val="004A2A0A"/>
    <w:rsid w:val="004A54C9"/>
    <w:rsid w:val="004A58CB"/>
    <w:rsid w:val="004A7FDD"/>
    <w:rsid w:val="004B500C"/>
    <w:rsid w:val="004B5578"/>
    <w:rsid w:val="004B75FB"/>
    <w:rsid w:val="004C1168"/>
    <w:rsid w:val="004C3E41"/>
    <w:rsid w:val="004C4DA1"/>
    <w:rsid w:val="004C6956"/>
    <w:rsid w:val="004D05EA"/>
    <w:rsid w:val="004D0B86"/>
    <w:rsid w:val="004D0FFB"/>
    <w:rsid w:val="004D14EA"/>
    <w:rsid w:val="004D4156"/>
    <w:rsid w:val="004D614E"/>
    <w:rsid w:val="004E25DD"/>
    <w:rsid w:val="004E32B5"/>
    <w:rsid w:val="004E4CBB"/>
    <w:rsid w:val="004F1712"/>
    <w:rsid w:val="004F2B4E"/>
    <w:rsid w:val="004F5C3F"/>
    <w:rsid w:val="004F6A32"/>
    <w:rsid w:val="00502B91"/>
    <w:rsid w:val="00504DF9"/>
    <w:rsid w:val="00507071"/>
    <w:rsid w:val="00510286"/>
    <w:rsid w:val="0051329D"/>
    <w:rsid w:val="00515865"/>
    <w:rsid w:val="005162D4"/>
    <w:rsid w:val="0052170C"/>
    <w:rsid w:val="00524D04"/>
    <w:rsid w:val="00534D66"/>
    <w:rsid w:val="005359DD"/>
    <w:rsid w:val="00537A32"/>
    <w:rsid w:val="00540A4D"/>
    <w:rsid w:val="0054404C"/>
    <w:rsid w:val="00547346"/>
    <w:rsid w:val="00553B7A"/>
    <w:rsid w:val="00555CAF"/>
    <w:rsid w:val="00570E68"/>
    <w:rsid w:val="00572A6D"/>
    <w:rsid w:val="00581B43"/>
    <w:rsid w:val="00582D78"/>
    <w:rsid w:val="00583357"/>
    <w:rsid w:val="00584526"/>
    <w:rsid w:val="00584C0A"/>
    <w:rsid w:val="00584D8F"/>
    <w:rsid w:val="00587DAB"/>
    <w:rsid w:val="005902F1"/>
    <w:rsid w:val="00590DC4"/>
    <w:rsid w:val="00591336"/>
    <w:rsid w:val="005917EA"/>
    <w:rsid w:val="00594A86"/>
    <w:rsid w:val="00594B89"/>
    <w:rsid w:val="005953E9"/>
    <w:rsid w:val="00596F10"/>
    <w:rsid w:val="00597162"/>
    <w:rsid w:val="005A0CBE"/>
    <w:rsid w:val="005A17E4"/>
    <w:rsid w:val="005A1A37"/>
    <w:rsid w:val="005A3CFE"/>
    <w:rsid w:val="005A4D77"/>
    <w:rsid w:val="005A706A"/>
    <w:rsid w:val="005B17EF"/>
    <w:rsid w:val="005B3D04"/>
    <w:rsid w:val="005B527A"/>
    <w:rsid w:val="005B628F"/>
    <w:rsid w:val="005C0846"/>
    <w:rsid w:val="005C19C5"/>
    <w:rsid w:val="005C2899"/>
    <w:rsid w:val="005C5706"/>
    <w:rsid w:val="005C6678"/>
    <w:rsid w:val="005D087C"/>
    <w:rsid w:val="005D08DB"/>
    <w:rsid w:val="005D20DD"/>
    <w:rsid w:val="005D34BF"/>
    <w:rsid w:val="005D4CCA"/>
    <w:rsid w:val="005E0E40"/>
    <w:rsid w:val="005E3D89"/>
    <w:rsid w:val="005E4107"/>
    <w:rsid w:val="005E4F20"/>
    <w:rsid w:val="005E5F7A"/>
    <w:rsid w:val="005E6CC4"/>
    <w:rsid w:val="005E7539"/>
    <w:rsid w:val="005E76E6"/>
    <w:rsid w:val="005F2C62"/>
    <w:rsid w:val="005F3897"/>
    <w:rsid w:val="005F617B"/>
    <w:rsid w:val="005F6250"/>
    <w:rsid w:val="005F7318"/>
    <w:rsid w:val="006016A0"/>
    <w:rsid w:val="00604BB7"/>
    <w:rsid w:val="00605119"/>
    <w:rsid w:val="00605FD9"/>
    <w:rsid w:val="00606A42"/>
    <w:rsid w:val="006100F6"/>
    <w:rsid w:val="0061328E"/>
    <w:rsid w:val="00617CC4"/>
    <w:rsid w:val="00623855"/>
    <w:rsid w:val="00625477"/>
    <w:rsid w:val="00626FB3"/>
    <w:rsid w:val="0063129A"/>
    <w:rsid w:val="006323B5"/>
    <w:rsid w:val="00636C62"/>
    <w:rsid w:val="00641888"/>
    <w:rsid w:val="00642382"/>
    <w:rsid w:val="00643F90"/>
    <w:rsid w:val="0064637F"/>
    <w:rsid w:val="00646412"/>
    <w:rsid w:val="00650F6D"/>
    <w:rsid w:val="00651CD7"/>
    <w:rsid w:val="00653190"/>
    <w:rsid w:val="006535A0"/>
    <w:rsid w:val="00653A71"/>
    <w:rsid w:val="00655835"/>
    <w:rsid w:val="00656E6F"/>
    <w:rsid w:val="00656F4B"/>
    <w:rsid w:val="00660563"/>
    <w:rsid w:val="00661BAD"/>
    <w:rsid w:val="00663D01"/>
    <w:rsid w:val="00664034"/>
    <w:rsid w:val="00665ACA"/>
    <w:rsid w:val="00667252"/>
    <w:rsid w:val="00667FB5"/>
    <w:rsid w:val="00672C00"/>
    <w:rsid w:val="00686E4C"/>
    <w:rsid w:val="00687532"/>
    <w:rsid w:val="00690CCE"/>
    <w:rsid w:val="00692F04"/>
    <w:rsid w:val="006946CB"/>
    <w:rsid w:val="0069619A"/>
    <w:rsid w:val="006A2E11"/>
    <w:rsid w:val="006A3184"/>
    <w:rsid w:val="006A3925"/>
    <w:rsid w:val="006B169A"/>
    <w:rsid w:val="006B5BFE"/>
    <w:rsid w:val="006C10F7"/>
    <w:rsid w:val="006C63BE"/>
    <w:rsid w:val="006C6843"/>
    <w:rsid w:val="006C7C54"/>
    <w:rsid w:val="006D693E"/>
    <w:rsid w:val="006E3B82"/>
    <w:rsid w:val="006E59BD"/>
    <w:rsid w:val="006E7372"/>
    <w:rsid w:val="006F06CA"/>
    <w:rsid w:val="006F1C3C"/>
    <w:rsid w:val="006F32A2"/>
    <w:rsid w:val="006F438E"/>
    <w:rsid w:val="007000BC"/>
    <w:rsid w:val="0070024F"/>
    <w:rsid w:val="00701E34"/>
    <w:rsid w:val="007118F2"/>
    <w:rsid w:val="007130B8"/>
    <w:rsid w:val="00713A75"/>
    <w:rsid w:val="00716093"/>
    <w:rsid w:val="0072040F"/>
    <w:rsid w:val="007252C2"/>
    <w:rsid w:val="00725F85"/>
    <w:rsid w:val="00730963"/>
    <w:rsid w:val="00730B79"/>
    <w:rsid w:val="00733488"/>
    <w:rsid w:val="00735117"/>
    <w:rsid w:val="00735F4D"/>
    <w:rsid w:val="00741BD9"/>
    <w:rsid w:val="00743481"/>
    <w:rsid w:val="00743DE4"/>
    <w:rsid w:val="00746249"/>
    <w:rsid w:val="00751592"/>
    <w:rsid w:val="00756A97"/>
    <w:rsid w:val="00757362"/>
    <w:rsid w:val="0076183F"/>
    <w:rsid w:val="00770B3F"/>
    <w:rsid w:val="00771843"/>
    <w:rsid w:val="00771A91"/>
    <w:rsid w:val="00773213"/>
    <w:rsid w:val="0077702F"/>
    <w:rsid w:val="007777FD"/>
    <w:rsid w:val="00780105"/>
    <w:rsid w:val="00784770"/>
    <w:rsid w:val="00785284"/>
    <w:rsid w:val="0078597E"/>
    <w:rsid w:val="00787697"/>
    <w:rsid w:val="0079430A"/>
    <w:rsid w:val="00794C8B"/>
    <w:rsid w:val="00795940"/>
    <w:rsid w:val="00796BDE"/>
    <w:rsid w:val="007A31D3"/>
    <w:rsid w:val="007A414A"/>
    <w:rsid w:val="007A4905"/>
    <w:rsid w:val="007B196F"/>
    <w:rsid w:val="007B7F17"/>
    <w:rsid w:val="007C39F3"/>
    <w:rsid w:val="007C7447"/>
    <w:rsid w:val="007C7D09"/>
    <w:rsid w:val="007D18B8"/>
    <w:rsid w:val="007D2983"/>
    <w:rsid w:val="007D2FF9"/>
    <w:rsid w:val="007D44C7"/>
    <w:rsid w:val="007D6DE3"/>
    <w:rsid w:val="007E0ADA"/>
    <w:rsid w:val="007E135A"/>
    <w:rsid w:val="007E1E48"/>
    <w:rsid w:val="007E1F58"/>
    <w:rsid w:val="007E5B3A"/>
    <w:rsid w:val="007E7FC7"/>
    <w:rsid w:val="007F2176"/>
    <w:rsid w:val="007F4095"/>
    <w:rsid w:val="007F6A17"/>
    <w:rsid w:val="008053CD"/>
    <w:rsid w:val="00806573"/>
    <w:rsid w:val="00814484"/>
    <w:rsid w:val="00815105"/>
    <w:rsid w:val="008160A1"/>
    <w:rsid w:val="00816A5F"/>
    <w:rsid w:val="00816CED"/>
    <w:rsid w:val="008206BE"/>
    <w:rsid w:val="008210D5"/>
    <w:rsid w:val="00821685"/>
    <w:rsid w:val="00822672"/>
    <w:rsid w:val="0082770A"/>
    <w:rsid w:val="00827C6C"/>
    <w:rsid w:val="00830F92"/>
    <w:rsid w:val="008326C1"/>
    <w:rsid w:val="00832AAE"/>
    <w:rsid w:val="00834932"/>
    <w:rsid w:val="00835006"/>
    <w:rsid w:val="00836E8C"/>
    <w:rsid w:val="008453D5"/>
    <w:rsid w:val="008478C8"/>
    <w:rsid w:val="008545D7"/>
    <w:rsid w:val="00857E84"/>
    <w:rsid w:val="0086024E"/>
    <w:rsid w:val="00864031"/>
    <w:rsid w:val="00864B6A"/>
    <w:rsid w:val="00866C94"/>
    <w:rsid w:val="00866CC8"/>
    <w:rsid w:val="00873293"/>
    <w:rsid w:val="00875E95"/>
    <w:rsid w:val="008914C8"/>
    <w:rsid w:val="00894406"/>
    <w:rsid w:val="008965E9"/>
    <w:rsid w:val="008A120E"/>
    <w:rsid w:val="008A50B8"/>
    <w:rsid w:val="008B381C"/>
    <w:rsid w:val="008B4886"/>
    <w:rsid w:val="008C04C9"/>
    <w:rsid w:val="008C3760"/>
    <w:rsid w:val="008C4D32"/>
    <w:rsid w:val="008C6B72"/>
    <w:rsid w:val="008C6CE2"/>
    <w:rsid w:val="008C7588"/>
    <w:rsid w:val="008D1301"/>
    <w:rsid w:val="008D17A9"/>
    <w:rsid w:val="008D22FE"/>
    <w:rsid w:val="008D2B96"/>
    <w:rsid w:val="008D3726"/>
    <w:rsid w:val="008E119D"/>
    <w:rsid w:val="008E133A"/>
    <w:rsid w:val="008E1A28"/>
    <w:rsid w:val="008E245B"/>
    <w:rsid w:val="008E2B88"/>
    <w:rsid w:val="008E4910"/>
    <w:rsid w:val="008E5963"/>
    <w:rsid w:val="008E7C04"/>
    <w:rsid w:val="008F5F3A"/>
    <w:rsid w:val="008F6569"/>
    <w:rsid w:val="00900A1B"/>
    <w:rsid w:val="00900BAF"/>
    <w:rsid w:val="00901C99"/>
    <w:rsid w:val="00902361"/>
    <w:rsid w:val="009041D2"/>
    <w:rsid w:val="009046E2"/>
    <w:rsid w:val="00904731"/>
    <w:rsid w:val="009108F5"/>
    <w:rsid w:val="00911481"/>
    <w:rsid w:val="0091400E"/>
    <w:rsid w:val="009157EF"/>
    <w:rsid w:val="00917773"/>
    <w:rsid w:val="009224F5"/>
    <w:rsid w:val="009238DD"/>
    <w:rsid w:val="00924412"/>
    <w:rsid w:val="00924A53"/>
    <w:rsid w:val="0092574C"/>
    <w:rsid w:val="00927051"/>
    <w:rsid w:val="00931F79"/>
    <w:rsid w:val="0093238D"/>
    <w:rsid w:val="00935CDA"/>
    <w:rsid w:val="0094001E"/>
    <w:rsid w:val="00941808"/>
    <w:rsid w:val="00942951"/>
    <w:rsid w:val="009457DF"/>
    <w:rsid w:val="009501ED"/>
    <w:rsid w:val="0095035C"/>
    <w:rsid w:val="009553B1"/>
    <w:rsid w:val="00955917"/>
    <w:rsid w:val="00957693"/>
    <w:rsid w:val="0096018C"/>
    <w:rsid w:val="00963B84"/>
    <w:rsid w:val="00966B65"/>
    <w:rsid w:val="00966C22"/>
    <w:rsid w:val="009672ED"/>
    <w:rsid w:val="009676A1"/>
    <w:rsid w:val="009678BF"/>
    <w:rsid w:val="00976302"/>
    <w:rsid w:val="009776A7"/>
    <w:rsid w:val="00980694"/>
    <w:rsid w:val="009834DA"/>
    <w:rsid w:val="0098528D"/>
    <w:rsid w:val="009856EE"/>
    <w:rsid w:val="00985F3E"/>
    <w:rsid w:val="00985FF4"/>
    <w:rsid w:val="009863EA"/>
    <w:rsid w:val="009868C0"/>
    <w:rsid w:val="00991961"/>
    <w:rsid w:val="009B0057"/>
    <w:rsid w:val="009B4357"/>
    <w:rsid w:val="009C06A4"/>
    <w:rsid w:val="009C06DA"/>
    <w:rsid w:val="009C59AC"/>
    <w:rsid w:val="009C63B1"/>
    <w:rsid w:val="009D170D"/>
    <w:rsid w:val="009D665C"/>
    <w:rsid w:val="009D6867"/>
    <w:rsid w:val="009E0B46"/>
    <w:rsid w:val="009E3D68"/>
    <w:rsid w:val="009F31AF"/>
    <w:rsid w:val="00A007CE"/>
    <w:rsid w:val="00A01612"/>
    <w:rsid w:val="00A029FE"/>
    <w:rsid w:val="00A03AA1"/>
    <w:rsid w:val="00A04996"/>
    <w:rsid w:val="00A05042"/>
    <w:rsid w:val="00A064B4"/>
    <w:rsid w:val="00A10F5B"/>
    <w:rsid w:val="00A110CF"/>
    <w:rsid w:val="00A16F6F"/>
    <w:rsid w:val="00A23094"/>
    <w:rsid w:val="00A248A0"/>
    <w:rsid w:val="00A31B20"/>
    <w:rsid w:val="00A32B4E"/>
    <w:rsid w:val="00A32B73"/>
    <w:rsid w:val="00A32ED1"/>
    <w:rsid w:val="00A365EA"/>
    <w:rsid w:val="00A37775"/>
    <w:rsid w:val="00A37D70"/>
    <w:rsid w:val="00A40825"/>
    <w:rsid w:val="00A41A06"/>
    <w:rsid w:val="00A430BC"/>
    <w:rsid w:val="00A46A80"/>
    <w:rsid w:val="00A47EED"/>
    <w:rsid w:val="00A55CB1"/>
    <w:rsid w:val="00A56101"/>
    <w:rsid w:val="00A57863"/>
    <w:rsid w:val="00A6487E"/>
    <w:rsid w:val="00A70EC0"/>
    <w:rsid w:val="00A7148D"/>
    <w:rsid w:val="00A71BFD"/>
    <w:rsid w:val="00A76F0C"/>
    <w:rsid w:val="00A77B3C"/>
    <w:rsid w:val="00A84537"/>
    <w:rsid w:val="00A878CB"/>
    <w:rsid w:val="00A92A9C"/>
    <w:rsid w:val="00A93A2A"/>
    <w:rsid w:val="00A97143"/>
    <w:rsid w:val="00A97D76"/>
    <w:rsid w:val="00AA26E4"/>
    <w:rsid w:val="00AA2952"/>
    <w:rsid w:val="00AA3673"/>
    <w:rsid w:val="00AA5E76"/>
    <w:rsid w:val="00AA701C"/>
    <w:rsid w:val="00AA7480"/>
    <w:rsid w:val="00AB03BB"/>
    <w:rsid w:val="00AB2414"/>
    <w:rsid w:val="00AB45D6"/>
    <w:rsid w:val="00AC0B99"/>
    <w:rsid w:val="00AC366B"/>
    <w:rsid w:val="00AC765D"/>
    <w:rsid w:val="00AD08A0"/>
    <w:rsid w:val="00AD237A"/>
    <w:rsid w:val="00AD395A"/>
    <w:rsid w:val="00AD445E"/>
    <w:rsid w:val="00AD4B08"/>
    <w:rsid w:val="00AD73A5"/>
    <w:rsid w:val="00AD7842"/>
    <w:rsid w:val="00AE00B6"/>
    <w:rsid w:val="00AE0140"/>
    <w:rsid w:val="00AE3EE3"/>
    <w:rsid w:val="00AE43CC"/>
    <w:rsid w:val="00AE539B"/>
    <w:rsid w:val="00AE5789"/>
    <w:rsid w:val="00AF610B"/>
    <w:rsid w:val="00AF6EE4"/>
    <w:rsid w:val="00B012CC"/>
    <w:rsid w:val="00B01475"/>
    <w:rsid w:val="00B07508"/>
    <w:rsid w:val="00B1058F"/>
    <w:rsid w:val="00B12278"/>
    <w:rsid w:val="00B14663"/>
    <w:rsid w:val="00B166ED"/>
    <w:rsid w:val="00B21A7F"/>
    <w:rsid w:val="00B23C9F"/>
    <w:rsid w:val="00B25FC8"/>
    <w:rsid w:val="00B27BFA"/>
    <w:rsid w:val="00B27C19"/>
    <w:rsid w:val="00B33EDD"/>
    <w:rsid w:val="00B358A1"/>
    <w:rsid w:val="00B36A53"/>
    <w:rsid w:val="00B4298C"/>
    <w:rsid w:val="00B43B2C"/>
    <w:rsid w:val="00B446BA"/>
    <w:rsid w:val="00B470E6"/>
    <w:rsid w:val="00B47853"/>
    <w:rsid w:val="00B52130"/>
    <w:rsid w:val="00B54886"/>
    <w:rsid w:val="00B57667"/>
    <w:rsid w:val="00B577E9"/>
    <w:rsid w:val="00B61BCB"/>
    <w:rsid w:val="00B62214"/>
    <w:rsid w:val="00B66888"/>
    <w:rsid w:val="00B67838"/>
    <w:rsid w:val="00B67B65"/>
    <w:rsid w:val="00B70645"/>
    <w:rsid w:val="00B71078"/>
    <w:rsid w:val="00B73683"/>
    <w:rsid w:val="00B7382F"/>
    <w:rsid w:val="00B73AED"/>
    <w:rsid w:val="00B758BA"/>
    <w:rsid w:val="00B7635E"/>
    <w:rsid w:val="00B77CE1"/>
    <w:rsid w:val="00B80D88"/>
    <w:rsid w:val="00B82CFC"/>
    <w:rsid w:val="00B855F5"/>
    <w:rsid w:val="00B8596B"/>
    <w:rsid w:val="00B8618F"/>
    <w:rsid w:val="00B86DBF"/>
    <w:rsid w:val="00B87C18"/>
    <w:rsid w:val="00B922C8"/>
    <w:rsid w:val="00B948F2"/>
    <w:rsid w:val="00B94BDE"/>
    <w:rsid w:val="00B952B5"/>
    <w:rsid w:val="00B95F5D"/>
    <w:rsid w:val="00B97618"/>
    <w:rsid w:val="00BA11D5"/>
    <w:rsid w:val="00BA2D78"/>
    <w:rsid w:val="00BA2D89"/>
    <w:rsid w:val="00BA69B8"/>
    <w:rsid w:val="00BB10F3"/>
    <w:rsid w:val="00BB1DCE"/>
    <w:rsid w:val="00BB20B3"/>
    <w:rsid w:val="00BB479D"/>
    <w:rsid w:val="00BB4821"/>
    <w:rsid w:val="00BB62E1"/>
    <w:rsid w:val="00BC0D1C"/>
    <w:rsid w:val="00BC3137"/>
    <w:rsid w:val="00BC507D"/>
    <w:rsid w:val="00BC593A"/>
    <w:rsid w:val="00BE0789"/>
    <w:rsid w:val="00BE20BB"/>
    <w:rsid w:val="00BE277C"/>
    <w:rsid w:val="00BE3116"/>
    <w:rsid w:val="00BE366F"/>
    <w:rsid w:val="00BE4EA3"/>
    <w:rsid w:val="00BE54C4"/>
    <w:rsid w:val="00BE5D9C"/>
    <w:rsid w:val="00BE5FA8"/>
    <w:rsid w:val="00BE65C4"/>
    <w:rsid w:val="00BE73FB"/>
    <w:rsid w:val="00BF0B35"/>
    <w:rsid w:val="00BF1133"/>
    <w:rsid w:val="00BF37CD"/>
    <w:rsid w:val="00BF3BA0"/>
    <w:rsid w:val="00BF47C2"/>
    <w:rsid w:val="00BF5E02"/>
    <w:rsid w:val="00C001F3"/>
    <w:rsid w:val="00C02B5E"/>
    <w:rsid w:val="00C057FA"/>
    <w:rsid w:val="00C05F27"/>
    <w:rsid w:val="00C0613B"/>
    <w:rsid w:val="00C104B8"/>
    <w:rsid w:val="00C11FEE"/>
    <w:rsid w:val="00C13415"/>
    <w:rsid w:val="00C1636B"/>
    <w:rsid w:val="00C207C2"/>
    <w:rsid w:val="00C24A09"/>
    <w:rsid w:val="00C302DD"/>
    <w:rsid w:val="00C32714"/>
    <w:rsid w:val="00C3446D"/>
    <w:rsid w:val="00C3537C"/>
    <w:rsid w:val="00C35512"/>
    <w:rsid w:val="00C37AAB"/>
    <w:rsid w:val="00C40B1A"/>
    <w:rsid w:val="00C42788"/>
    <w:rsid w:val="00C46495"/>
    <w:rsid w:val="00C47614"/>
    <w:rsid w:val="00C50923"/>
    <w:rsid w:val="00C5254A"/>
    <w:rsid w:val="00C52CF5"/>
    <w:rsid w:val="00C52F40"/>
    <w:rsid w:val="00C531CC"/>
    <w:rsid w:val="00C55E93"/>
    <w:rsid w:val="00C56171"/>
    <w:rsid w:val="00C62E33"/>
    <w:rsid w:val="00C70DF2"/>
    <w:rsid w:val="00C7174C"/>
    <w:rsid w:val="00C71889"/>
    <w:rsid w:val="00C753B2"/>
    <w:rsid w:val="00C7576E"/>
    <w:rsid w:val="00C777AA"/>
    <w:rsid w:val="00C84CC9"/>
    <w:rsid w:val="00C860DF"/>
    <w:rsid w:val="00C91519"/>
    <w:rsid w:val="00C9168C"/>
    <w:rsid w:val="00C91FD9"/>
    <w:rsid w:val="00C934A1"/>
    <w:rsid w:val="00C951AA"/>
    <w:rsid w:val="00CA370C"/>
    <w:rsid w:val="00CA4978"/>
    <w:rsid w:val="00CB3FBF"/>
    <w:rsid w:val="00CB65E2"/>
    <w:rsid w:val="00CC092E"/>
    <w:rsid w:val="00CC4FD6"/>
    <w:rsid w:val="00CC6538"/>
    <w:rsid w:val="00CC6E14"/>
    <w:rsid w:val="00CC78CC"/>
    <w:rsid w:val="00CD0470"/>
    <w:rsid w:val="00CD419D"/>
    <w:rsid w:val="00CD5CAD"/>
    <w:rsid w:val="00CD65D6"/>
    <w:rsid w:val="00CD66E0"/>
    <w:rsid w:val="00CE13C9"/>
    <w:rsid w:val="00CE2FBE"/>
    <w:rsid w:val="00CE40BC"/>
    <w:rsid w:val="00CE5ABF"/>
    <w:rsid w:val="00CE6D72"/>
    <w:rsid w:val="00CF1410"/>
    <w:rsid w:val="00CF1697"/>
    <w:rsid w:val="00CF1A30"/>
    <w:rsid w:val="00CF6F6C"/>
    <w:rsid w:val="00D00565"/>
    <w:rsid w:val="00D04EB8"/>
    <w:rsid w:val="00D100A7"/>
    <w:rsid w:val="00D12BD7"/>
    <w:rsid w:val="00D13CFA"/>
    <w:rsid w:val="00D16AED"/>
    <w:rsid w:val="00D170E1"/>
    <w:rsid w:val="00D208A4"/>
    <w:rsid w:val="00D251F3"/>
    <w:rsid w:val="00D274B6"/>
    <w:rsid w:val="00D31DFE"/>
    <w:rsid w:val="00D327C1"/>
    <w:rsid w:val="00D35061"/>
    <w:rsid w:val="00D37CB6"/>
    <w:rsid w:val="00D37FC0"/>
    <w:rsid w:val="00D401FA"/>
    <w:rsid w:val="00D40382"/>
    <w:rsid w:val="00D40C13"/>
    <w:rsid w:val="00D41E36"/>
    <w:rsid w:val="00D43C6D"/>
    <w:rsid w:val="00D43D66"/>
    <w:rsid w:val="00D51BA4"/>
    <w:rsid w:val="00D53BFC"/>
    <w:rsid w:val="00D554DE"/>
    <w:rsid w:val="00D5622E"/>
    <w:rsid w:val="00D5762E"/>
    <w:rsid w:val="00D62CFE"/>
    <w:rsid w:val="00D63DEC"/>
    <w:rsid w:val="00D714BA"/>
    <w:rsid w:val="00D7402B"/>
    <w:rsid w:val="00D7427C"/>
    <w:rsid w:val="00D7687A"/>
    <w:rsid w:val="00D76F2A"/>
    <w:rsid w:val="00D80B2A"/>
    <w:rsid w:val="00D8348F"/>
    <w:rsid w:val="00D841AE"/>
    <w:rsid w:val="00D84613"/>
    <w:rsid w:val="00D84DF8"/>
    <w:rsid w:val="00D85C88"/>
    <w:rsid w:val="00D925CC"/>
    <w:rsid w:val="00D93D53"/>
    <w:rsid w:val="00D96FB9"/>
    <w:rsid w:val="00D9799B"/>
    <w:rsid w:val="00DA0C33"/>
    <w:rsid w:val="00DA4962"/>
    <w:rsid w:val="00DA54D1"/>
    <w:rsid w:val="00DA5894"/>
    <w:rsid w:val="00DA6AAD"/>
    <w:rsid w:val="00DB1B2A"/>
    <w:rsid w:val="00DB1D3C"/>
    <w:rsid w:val="00DB66A4"/>
    <w:rsid w:val="00DC1143"/>
    <w:rsid w:val="00DC1D52"/>
    <w:rsid w:val="00DC3C62"/>
    <w:rsid w:val="00DC44C6"/>
    <w:rsid w:val="00DC62FA"/>
    <w:rsid w:val="00DC79AF"/>
    <w:rsid w:val="00DD2242"/>
    <w:rsid w:val="00DD27C7"/>
    <w:rsid w:val="00DD2C5F"/>
    <w:rsid w:val="00DD399A"/>
    <w:rsid w:val="00DE10DE"/>
    <w:rsid w:val="00DE31A5"/>
    <w:rsid w:val="00DE744F"/>
    <w:rsid w:val="00DE7F6D"/>
    <w:rsid w:val="00DF2964"/>
    <w:rsid w:val="00DF780C"/>
    <w:rsid w:val="00E0172D"/>
    <w:rsid w:val="00E0304A"/>
    <w:rsid w:val="00E06B3E"/>
    <w:rsid w:val="00E07C47"/>
    <w:rsid w:val="00E20C2C"/>
    <w:rsid w:val="00E21A72"/>
    <w:rsid w:val="00E24E41"/>
    <w:rsid w:val="00E32A31"/>
    <w:rsid w:val="00E34472"/>
    <w:rsid w:val="00E420CD"/>
    <w:rsid w:val="00E46561"/>
    <w:rsid w:val="00E51205"/>
    <w:rsid w:val="00E53347"/>
    <w:rsid w:val="00E53783"/>
    <w:rsid w:val="00E54502"/>
    <w:rsid w:val="00E6180D"/>
    <w:rsid w:val="00E61A61"/>
    <w:rsid w:val="00E62EAD"/>
    <w:rsid w:val="00E64488"/>
    <w:rsid w:val="00E668C5"/>
    <w:rsid w:val="00E803AB"/>
    <w:rsid w:val="00E80B56"/>
    <w:rsid w:val="00E9011C"/>
    <w:rsid w:val="00E93DA5"/>
    <w:rsid w:val="00E946CB"/>
    <w:rsid w:val="00E96C1D"/>
    <w:rsid w:val="00EA0F4E"/>
    <w:rsid w:val="00EA24E5"/>
    <w:rsid w:val="00EA3651"/>
    <w:rsid w:val="00EA6288"/>
    <w:rsid w:val="00EA69E4"/>
    <w:rsid w:val="00EB45CE"/>
    <w:rsid w:val="00EC10E4"/>
    <w:rsid w:val="00EC1ED4"/>
    <w:rsid w:val="00EC28FD"/>
    <w:rsid w:val="00ED1EE9"/>
    <w:rsid w:val="00ED3AB2"/>
    <w:rsid w:val="00ED4B34"/>
    <w:rsid w:val="00ED4FF0"/>
    <w:rsid w:val="00ED53EA"/>
    <w:rsid w:val="00ED6D52"/>
    <w:rsid w:val="00EE01DE"/>
    <w:rsid w:val="00EE02A6"/>
    <w:rsid w:val="00EE0D10"/>
    <w:rsid w:val="00EE16DD"/>
    <w:rsid w:val="00EE26CD"/>
    <w:rsid w:val="00EE7AD2"/>
    <w:rsid w:val="00EE7C85"/>
    <w:rsid w:val="00EF0642"/>
    <w:rsid w:val="00F06B8F"/>
    <w:rsid w:val="00F113FB"/>
    <w:rsid w:val="00F1256C"/>
    <w:rsid w:val="00F142F3"/>
    <w:rsid w:val="00F14B22"/>
    <w:rsid w:val="00F25812"/>
    <w:rsid w:val="00F270FA"/>
    <w:rsid w:val="00F32FC6"/>
    <w:rsid w:val="00F3416C"/>
    <w:rsid w:val="00F401CA"/>
    <w:rsid w:val="00F4091F"/>
    <w:rsid w:val="00F42E00"/>
    <w:rsid w:val="00F50188"/>
    <w:rsid w:val="00F50567"/>
    <w:rsid w:val="00F50F83"/>
    <w:rsid w:val="00F51380"/>
    <w:rsid w:val="00F5385A"/>
    <w:rsid w:val="00F55EF7"/>
    <w:rsid w:val="00F57E43"/>
    <w:rsid w:val="00F60682"/>
    <w:rsid w:val="00F6394E"/>
    <w:rsid w:val="00F66E15"/>
    <w:rsid w:val="00F676CA"/>
    <w:rsid w:val="00F67EAF"/>
    <w:rsid w:val="00F73C74"/>
    <w:rsid w:val="00F743F0"/>
    <w:rsid w:val="00F744EC"/>
    <w:rsid w:val="00F74675"/>
    <w:rsid w:val="00F76634"/>
    <w:rsid w:val="00F842A3"/>
    <w:rsid w:val="00F86D5D"/>
    <w:rsid w:val="00F870FA"/>
    <w:rsid w:val="00F87C66"/>
    <w:rsid w:val="00F91550"/>
    <w:rsid w:val="00F91980"/>
    <w:rsid w:val="00F93AD8"/>
    <w:rsid w:val="00F9738B"/>
    <w:rsid w:val="00F976E7"/>
    <w:rsid w:val="00FA054B"/>
    <w:rsid w:val="00FA45D7"/>
    <w:rsid w:val="00FA56AE"/>
    <w:rsid w:val="00FA5B38"/>
    <w:rsid w:val="00FB28D9"/>
    <w:rsid w:val="00FB28F5"/>
    <w:rsid w:val="00FB4A0F"/>
    <w:rsid w:val="00FB4C30"/>
    <w:rsid w:val="00FB51AE"/>
    <w:rsid w:val="00FB605A"/>
    <w:rsid w:val="00FB723A"/>
    <w:rsid w:val="00FC12C0"/>
    <w:rsid w:val="00FC19DF"/>
    <w:rsid w:val="00FC2937"/>
    <w:rsid w:val="00FC358E"/>
    <w:rsid w:val="00FC4AB1"/>
    <w:rsid w:val="00FC55FE"/>
    <w:rsid w:val="00FC575E"/>
    <w:rsid w:val="00FD05FC"/>
    <w:rsid w:val="00FD225E"/>
    <w:rsid w:val="00FD5D3F"/>
    <w:rsid w:val="00FD657A"/>
    <w:rsid w:val="00FD67A9"/>
    <w:rsid w:val="00FD7094"/>
    <w:rsid w:val="00FD75A5"/>
    <w:rsid w:val="00FD7EF8"/>
    <w:rsid w:val="00FE33A1"/>
    <w:rsid w:val="00FE6D51"/>
    <w:rsid w:val="00FE6ED9"/>
    <w:rsid w:val="00FF05C2"/>
    <w:rsid w:val="00FF291F"/>
    <w:rsid w:val="00FF4F78"/>
    <w:rsid w:val="05576CA3"/>
    <w:rsid w:val="059E0C9D"/>
    <w:rsid w:val="05D80AD0"/>
    <w:rsid w:val="084E723D"/>
    <w:rsid w:val="09CC5561"/>
    <w:rsid w:val="0A9F10DF"/>
    <w:rsid w:val="0B790E67"/>
    <w:rsid w:val="0C160DC3"/>
    <w:rsid w:val="15152076"/>
    <w:rsid w:val="15F5339A"/>
    <w:rsid w:val="18146BF5"/>
    <w:rsid w:val="1A0444CC"/>
    <w:rsid w:val="1BBF7815"/>
    <w:rsid w:val="1E2E6A61"/>
    <w:rsid w:val="23907664"/>
    <w:rsid w:val="2631025C"/>
    <w:rsid w:val="2A6B59EA"/>
    <w:rsid w:val="2F064DB0"/>
    <w:rsid w:val="30841C8D"/>
    <w:rsid w:val="32242D99"/>
    <w:rsid w:val="32BF52F6"/>
    <w:rsid w:val="34650269"/>
    <w:rsid w:val="34E05F01"/>
    <w:rsid w:val="4088168E"/>
    <w:rsid w:val="43D2459A"/>
    <w:rsid w:val="467F0394"/>
    <w:rsid w:val="496D32ED"/>
    <w:rsid w:val="4CF7225E"/>
    <w:rsid w:val="4EDB6CAE"/>
    <w:rsid w:val="51CE0E52"/>
    <w:rsid w:val="5E151E13"/>
    <w:rsid w:val="6469506F"/>
    <w:rsid w:val="65726429"/>
    <w:rsid w:val="685428D3"/>
    <w:rsid w:val="6B910CB2"/>
    <w:rsid w:val="71331857"/>
    <w:rsid w:val="71B2624C"/>
    <w:rsid w:val="751923EA"/>
    <w:rsid w:val="76FF7FC5"/>
    <w:rsid w:val="7D9832A7"/>
    <w:rsid w:val="7DD54C3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7"/>
    <w:semiHidden/>
    <w:unhideWhenUsed/>
    <w:qFormat/>
    <w:uiPriority w:val="99"/>
    <w:rPr>
      <w:b/>
      <w:bCs/>
    </w:rPr>
  </w:style>
  <w:style w:type="table" w:styleId="8">
    <w:name w:val="Table Grid"/>
    <w:basedOn w:val="7"/>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0">
    <w:name w:val="FollowedHyperlink"/>
    <w:basedOn w:val="9"/>
    <w:semiHidden/>
    <w:unhideWhenUsed/>
    <w:qFormat/>
    <w:uiPriority w:val="99"/>
    <w:rPr>
      <w:color w:val="800080"/>
      <w:u w:val="single"/>
    </w:rPr>
  </w:style>
  <w:style w:type="character" w:styleId="11">
    <w:name w:val="Hyperlink"/>
    <w:basedOn w:val="9"/>
    <w:semiHidden/>
    <w:unhideWhenUsed/>
    <w:qFormat/>
    <w:uiPriority w:val="99"/>
    <w:rPr>
      <w:color w:val="0000FF"/>
      <w:u w:val="single"/>
    </w:rPr>
  </w:style>
  <w:style w:type="character" w:styleId="12">
    <w:name w:val="annotation reference"/>
    <w:basedOn w:val="9"/>
    <w:semiHidden/>
    <w:unhideWhenUsed/>
    <w:qFormat/>
    <w:uiPriority w:val="99"/>
    <w:rPr>
      <w:sz w:val="21"/>
      <w:szCs w:val="21"/>
    </w:rPr>
  </w:style>
  <w:style w:type="character" w:customStyle="1" w:styleId="13">
    <w:name w:val="批注文字 字符"/>
    <w:basedOn w:val="9"/>
    <w:link w:val="2"/>
    <w:semiHidden/>
    <w:qFormat/>
    <w:uiPriority w:val="99"/>
    <w:rPr>
      <w:kern w:val="2"/>
      <w:sz w:val="21"/>
      <w:szCs w:val="22"/>
    </w:rPr>
  </w:style>
  <w:style w:type="character" w:customStyle="1" w:styleId="14">
    <w:name w:val="批注框文本 字符"/>
    <w:basedOn w:val="9"/>
    <w:link w:val="3"/>
    <w:semiHidden/>
    <w:qFormat/>
    <w:uiPriority w:val="99"/>
    <w:rPr>
      <w:kern w:val="2"/>
      <w:sz w:val="18"/>
      <w:szCs w:val="18"/>
    </w:rPr>
  </w:style>
  <w:style w:type="character" w:customStyle="1" w:styleId="15">
    <w:name w:val="页脚 字符"/>
    <w:basedOn w:val="9"/>
    <w:link w:val="4"/>
    <w:qFormat/>
    <w:uiPriority w:val="99"/>
    <w:rPr>
      <w:kern w:val="2"/>
      <w:sz w:val="18"/>
      <w:szCs w:val="18"/>
    </w:rPr>
  </w:style>
  <w:style w:type="character" w:customStyle="1" w:styleId="16">
    <w:name w:val="页眉 字符"/>
    <w:basedOn w:val="9"/>
    <w:link w:val="5"/>
    <w:qFormat/>
    <w:uiPriority w:val="99"/>
    <w:rPr>
      <w:kern w:val="2"/>
      <w:sz w:val="18"/>
      <w:szCs w:val="18"/>
    </w:rPr>
  </w:style>
  <w:style w:type="character" w:customStyle="1" w:styleId="17">
    <w:name w:val="批注主题 字符"/>
    <w:basedOn w:val="13"/>
    <w:link w:val="6"/>
    <w:semiHidden/>
    <w:qFormat/>
    <w:uiPriority w:val="99"/>
    <w:rPr>
      <w:b/>
      <w:bCs/>
      <w:kern w:val="2"/>
      <w:sz w:val="21"/>
      <w:szCs w:val="22"/>
    </w:rPr>
  </w:style>
  <w:style w:type="paragraph" w:styleId="18">
    <w:name w:val="List Paragraph"/>
    <w:basedOn w:val="1"/>
    <w:qFormat/>
    <w:uiPriority w:val="34"/>
    <w:pPr>
      <w:ind w:firstLine="420" w:firstLineChars="200"/>
    </w:pPr>
  </w:style>
  <w:style w:type="paragraph" w:customStyle="1" w:styleId="19">
    <w:name w:val="列出段落1"/>
    <w:basedOn w:val="1"/>
    <w:qFormat/>
    <w:uiPriority w:val="34"/>
    <w:pPr>
      <w:ind w:firstLine="420" w:firstLineChars="200"/>
    </w:pPr>
    <w:rPr>
      <w:sz w:val="24"/>
      <w:szCs w:val="24"/>
    </w:rPr>
  </w:style>
  <w:style w:type="paragraph" w:customStyle="1" w:styleId="20">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1">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2">
    <w:name w:val="font5"/>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3">
    <w:name w:val="xl65"/>
    <w:basedOn w:val="1"/>
    <w:qFormat/>
    <w:uiPriority w:val="0"/>
    <w:pPr>
      <w:widowControl/>
      <w:pBdr>
        <w:top w:val="single" w:color="auto" w:sz="4" w:space="0"/>
        <w:left w:val="single" w:color="auto" w:sz="4" w:space="0"/>
        <w:bottom w:val="single" w:color="auto" w:sz="4" w:space="0"/>
        <w:right w:val="single" w:color="auto" w:sz="4" w:space="0"/>
      </w:pBdr>
      <w:shd w:val="clear" w:color="000000" w:fill="C0C0C0"/>
      <w:spacing w:before="100" w:beforeAutospacing="1" w:after="100" w:afterAutospacing="1"/>
      <w:jc w:val="center"/>
    </w:pPr>
    <w:rPr>
      <w:rFonts w:ascii="宋体" w:hAnsi="宋体" w:eastAsia="宋体" w:cs="宋体"/>
      <w:b/>
      <w:bCs/>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D80186-49D7-4536-8CD6-A6A2EAF09140}">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10</Pages>
  <Words>4925</Words>
  <Characters>5296</Characters>
  <Lines>24</Lines>
  <Paragraphs>6</Paragraphs>
  <TotalTime>0</TotalTime>
  <ScaleCrop>false</ScaleCrop>
  <LinksUpToDate>false</LinksUpToDate>
  <CharactersWithSpaces>5407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2025-08-14T13:25:00Z</dcterms:created>
  <dc:creator>tianyu.chen</dc:creator>
  <cp:lastModifiedBy>dingyu.dang</cp:lastModifiedBy>
  <cp:lastPrinted>2023-11-13T04:32:00Z</cp:lastPrinted>
  <dcterms:modified xsi:type="dcterms:W3CDTF">2026-06-17T17:23:24Z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eyJoZGlkIjoiMWJiMGZlN2YzZDRhMzA2YzI0NDRkOTM5MGVkNGZmY2YiLCJ1c2VySWQiOiIyODkwMTkwMjcifQ==</vt:lpwstr>
  </property>
  <property fmtid="{D5CDD505-2E9C-101B-9397-08002B2CF9AE}" pid="4" name="ICV">
    <vt:lpwstr>10C5CF4921804A11B6EE1C761A24356D_13</vt:lpwstr>
  </property>
</Properties>
</file>