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919</Words>
  <Characters>987</Characters>
  <Lines>60</Lines>
  <Paragraphs>17</Paragraphs>
  <TotalTime>71</TotalTime>
  <ScaleCrop>false</ScaleCrop>
  <LinksUpToDate>false</LinksUpToDate>
  <CharactersWithSpaces>1117</CharactersWithSpaces>
  <Application>WPS Office_12.1.0.15990_F1E327BC-269C-435d-A152-05C5408002CA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王祥宁</cp:lastModifiedBy>
  <cp:lastPrinted>2014-02-21T05:34:00Z</cp:lastPrinted>
  <dcterms:modified xsi:type="dcterms:W3CDTF">2026-06-25T02:14:37Z</dcterms:modified>
  <cp:revision>262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50C888A776E0444281F93A61F26AD897_13</vt:lpwstr>
  </property>
  <property fmtid="{D5CDD505-2E9C-101B-9397-08002B2CF9AE}" pid="4" name="KSOTemplateDocerSaveRecord">
    <vt:lpwstr>eyJoZGlkIjoiZDE0ZmQ5NTE0YzJhMWIzOWJlNzAwZDI1NTQyNzRmNWEiLCJ1c2VySWQiOiIxNzM2MDA3MjM2In0=</vt:lpwstr>
  </property>
  <property fmtid="{5B77E7CE-EC58-BC6A-FAE8-886BEB80DBEB}" pid="5" name="5B77E7CEEC58BC6AFAE8886BEB80DBEB">
    <vt:lpwstr>otCYQxs9Dbw2bUEn/Soxv9pYAoWsCRIsU8+gIbxzzmNcJN13+qHIPyWmbF9hFzPHyi2m8DLwi54E5OVVM5pJ0yGmgAiYTaR6oYUdYZxdjep6I9xviFUFZ9aTScfBW9OGCu3Wo1kd8Y4K0a83cBAdpdlkmMa/HfKvJBnPb8fo7wGIiixLYszOiderrovdJsf5Oh1OhBmAX6XwphCTMT19PLqsEpJ8eLcllqOjk12Cy1KRXtb0bQLRHwlcXG41DHk3norzNC0mAPhy4yVDydwxkkf83tpwqeAmd/dF9dpyXMQJFIHWZwPspESAqvJ/qnR3UOnPcvyDDzCt3/4iN+XlkQCrRcB14ZORrZbhuMssuuIpdurAUcprya7iXEoTX7HAZ/fjJQ3gVJd2KwYh08/9Q1QJifmOloQPGVmRwjYshiBU54x3v6AETp6bT9f/erxXtt89cMXdUbcv5zCPMi8CodWtyNuNIvhLuIdfU+ZXMXLDcQSGfTSGEm/QDWz9USxVpLyrbxXW0zbuZmbdKIseHH4O0wp0jJ3YFeBjzwQWSAff7Jy6PWVcgIl/HunDOKic/rkaBg09XmyxWa+J5H7XQ6oZS7lY3FP/FJFbUTg6ztVic6cREKvesC6EYgvaVXD4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 w:ascii="宋体" w:hAnsi="宋体" w:eastAsia="宋体" w:cs="宋体"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iCs/>
          <w:color w:val="000000"/>
          <w:sz w:val="24"/>
        </w:rPr>
        <w:t>证券代码：</w:t>
      </w:r>
      <w:r>
        <w:rPr>
          <w:rFonts w:hint="eastAsia" w:ascii="宋体" w:hAnsi="宋体" w:eastAsia="宋体" w:cs="宋体"/>
          <w:color w:val="000000"/>
          <w:sz w:val="24"/>
        </w:rPr>
        <w:t xml:space="preserve">605006            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</w:t>
      </w:r>
      <w:r>
        <w:rPr>
          <w:rFonts w:hint="eastAsia" w:ascii="宋体" w:hAnsi="宋体" w:eastAsia="宋体" w:cs="宋体"/>
          <w:bCs/>
          <w:iCs/>
          <w:color w:val="000000"/>
          <w:sz w:val="24"/>
        </w:rPr>
        <w:t>证券简称：</w:t>
      </w:r>
      <w:r>
        <w:rPr>
          <w:rFonts w:hint="eastAsia" w:ascii="宋体" w:hAnsi="宋体" w:eastAsia="宋体" w:cs="宋体"/>
          <w:color w:val="000000"/>
          <w:sz w:val="24"/>
        </w:rPr>
        <w:t>山东玻纤</w:t>
      </w:r>
    </w:p>
    <w:p>
      <w:pPr>
        <w:spacing w:before="156" w:beforeLines="50" w:after="156" w:afterLines="50" w:line="400" w:lineRule="exact"/>
        <w:rPr>
          <w:rFonts w:hint="eastAsia" w:ascii="宋体" w:hAnsi="宋体" w:eastAsia="宋体" w:cs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山东玻纤集团股份有限公司投资者关系活动记录表</w:t>
      </w:r>
    </w:p>
    <w:p>
      <w:pPr>
        <w:spacing w:line="400" w:lineRule="exact"/>
        <w:rPr>
          <w:rFonts w:hint="eastAsia" w:ascii="宋体" w:hAnsi="宋体" w:eastAsia="宋体" w:cs="宋体"/>
          <w:bCs/>
          <w:iCs/>
          <w:color w:val="000000"/>
          <w:sz w:val="24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现场参观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银河证券、国投证券分析师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2026年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月1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日 (周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) 下午 15:00~16:30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山东玻纤集团股份有限公司第三会议室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副总经理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董事会秘书刘克廷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投资者提出的问题及公司回复情况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公司就投资者在本次说明会中提出的问题进行了回复：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当前公司产能情况及未来规划如何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？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left="0" w:leftChars="0" w:right="0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您好，公司积极推进产品结构调整，截至目前，玻纤纱年产能63.4万吨，其中中高端产品主要为风电纱15万吨、热塑类玻纤（短纤）18万吨、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细纱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万吨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等。公司产品广泛应用于新能源、交通运输、工业建筑、环保风电等领域。公司按照既定的节点计划稳步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推进30万吨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高性能（超高模）玻纤智造项目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二期工程建设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，预计2026年底建成投产。投产后，公司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风电纱年产能达到30万吨，进一步巩固公司在细分领域的市场地位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未来是否会考虑并购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您好，并购重组是公司产业整合、补链强链的可选发展手段，公司长期保持开放态度，但一切以贴合主营业务、具备协同效应、风险可控为核心前提。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公司持续跟踪产业链上下游优质标的，重点关注能补齐技术、渠道、产能短板，可形成业务协同的资产；对于跨界、估值过高、整合难度大的标的会保持谨慎；目前暂无已落地、签署框架协议的并购项目，未设定固定并购时间表；若后续启动重大并购、资产重组事项，公司将严格按照证监会、交易所规则履行尽职调查、董事会/股东会审议、信息披露等全套流程，所有重大事项以公司正式公告为准，请投资者留意公告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2" w:firstLineChars="200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目前库存情况如何？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ind w:left="0" w:leftChars="0" w:firstLine="48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截止26年1季度末，玻纤集团存货期末账面价值60116万元，较年初减少5230万元，减幅8%，其中：库存商品期末账面价值48387万元，较年初减少5512万元，减幅10.23%。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ind w:left="0" w:leftChars="0" w:firstLine="48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持续推行以销定产、精细化库存管控策略，主动根据下游需求动态调节排产节奏，加大成品出库及订单交付力度，库存商品规模明显回落，存货整体规模持续优化，库存结构向好，有效降低资金占用，提升资产周转效率。后续公司将持续结合市场订单情况动态调控生产与备货规模，保持合理健康的库存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2026-0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8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25657AD"/>
    <w:rsid w:val="03542F5E"/>
    <w:rsid w:val="0CE42333"/>
    <w:rsid w:val="13B4718F"/>
    <w:rsid w:val="15451DDD"/>
    <w:rsid w:val="157B57FF"/>
    <w:rsid w:val="15A06AEA"/>
    <w:rsid w:val="18D771F0"/>
    <w:rsid w:val="1B2418A5"/>
    <w:rsid w:val="1BAA6741"/>
    <w:rsid w:val="1E601A36"/>
    <w:rsid w:val="1FBFC074"/>
    <w:rsid w:val="288E0F4E"/>
    <w:rsid w:val="2B3F27B6"/>
    <w:rsid w:val="35551771"/>
    <w:rsid w:val="36FB9E1F"/>
    <w:rsid w:val="3BFA3B96"/>
    <w:rsid w:val="3CEF3472"/>
    <w:rsid w:val="3E32264F"/>
    <w:rsid w:val="3EFF16E9"/>
    <w:rsid w:val="44AE0556"/>
    <w:rsid w:val="44C1472D"/>
    <w:rsid w:val="44DA134B"/>
    <w:rsid w:val="44E93C84"/>
    <w:rsid w:val="465A12E5"/>
    <w:rsid w:val="4F365D17"/>
    <w:rsid w:val="50D457E8"/>
    <w:rsid w:val="5C6F39BB"/>
    <w:rsid w:val="5E29374F"/>
    <w:rsid w:val="64A01A6D"/>
    <w:rsid w:val="6E2B40A1"/>
    <w:rsid w:val="6FFC2607"/>
    <w:rsid w:val="71D84CE0"/>
    <w:rsid w:val="735B23DA"/>
    <w:rsid w:val="77CF73AC"/>
    <w:rsid w:val="78232A2D"/>
    <w:rsid w:val="78FF0116"/>
    <w:rsid w:val="7C097166"/>
    <w:rsid w:val="7CC77961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Char Char Char"/>
    <w:basedOn w:val="1"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qFormat/>
    <w:uiPriority w:val="0"/>
  </w:style>
  <w:style w:type="paragraph" w:customStyle="1" w:styleId="11">
    <w:name w:val=" Char Char Char"/>
    <w:basedOn w:val="1"/>
    <w:qFormat/>
    <w:uiPriority w:val="0"/>
  </w:style>
  <w:style w:type="character" w:customStyle="1" w:styleId="12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\theme\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