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2A5217" w14:paraId="04BB9441" w14:textId="77777777">
        <w:trPr>
          <w:trHeight w:val="132"/>
        </w:trPr>
        <w:tc>
          <w:tcPr>
            <w:tcW w:w="4148" w:type="dxa"/>
          </w:tcPr>
          <w:p w14:paraId="75F58838" w14:textId="77777777" w:rsidR="002A5217" w:rsidRDefault="009C092B">
            <w:r>
              <w:rPr>
                <w:rFonts w:hint="eastAsia"/>
              </w:rPr>
              <w:t>证券代码：</w:t>
            </w:r>
            <w:r>
              <w:t>601607</w:t>
            </w:r>
          </w:p>
          <w:p w14:paraId="6777CCEB" w14:textId="77777777" w:rsidR="002A5217" w:rsidRDefault="002A5217"/>
        </w:tc>
        <w:tc>
          <w:tcPr>
            <w:tcW w:w="4148" w:type="dxa"/>
          </w:tcPr>
          <w:p w14:paraId="79FD47E2" w14:textId="77777777" w:rsidR="002A5217" w:rsidRDefault="009C092B">
            <w:pPr>
              <w:jc w:val="right"/>
            </w:pPr>
            <w:r>
              <w:rPr>
                <w:rFonts w:hint="eastAsia"/>
              </w:rPr>
              <w:t>证券简称：上海医药</w:t>
            </w:r>
          </w:p>
        </w:tc>
      </w:tr>
    </w:tbl>
    <w:p w14:paraId="2B332B80" w14:textId="77777777" w:rsidR="002A5217" w:rsidRDefault="009C092B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上海医药</w:t>
      </w:r>
      <w:r>
        <w:rPr>
          <w:rStyle w:val="NormalCharacter"/>
          <w:rFonts w:ascii="宋体" w:hAnsi="宋体" w:hint="eastAsia"/>
          <w:b/>
          <w:bCs/>
          <w:iCs/>
          <w:sz w:val="24"/>
        </w:rPr>
        <w:t>集团</w:t>
      </w:r>
      <w:r>
        <w:rPr>
          <w:rStyle w:val="NormalCharacter"/>
          <w:rFonts w:ascii="宋体" w:hAnsi="宋体"/>
          <w:b/>
          <w:bCs/>
          <w:iCs/>
          <w:sz w:val="24"/>
        </w:rPr>
        <w:t>股份有限公司</w:t>
      </w:r>
    </w:p>
    <w:p w14:paraId="65189594" w14:textId="77777777" w:rsidR="002A5217" w:rsidRDefault="009C092B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投资者关系活动记录表</w:t>
      </w:r>
    </w:p>
    <w:p w14:paraId="7B2F44ED" w14:textId="77777777" w:rsidR="002A5217" w:rsidRDefault="009C092B">
      <w:pPr>
        <w:spacing w:line="440" w:lineRule="exact"/>
        <w:rPr>
          <w:rStyle w:val="NormalCharacter"/>
          <w:rFonts w:ascii="宋体" w:hAnsi="宋体"/>
          <w:bCs/>
          <w:iCs/>
          <w:sz w:val="24"/>
        </w:rPr>
      </w:pPr>
      <w:r>
        <w:rPr>
          <w:rStyle w:val="NormalCharacter"/>
          <w:rFonts w:ascii="宋体" w:hAnsi="宋体"/>
          <w:bCs/>
          <w:iCs/>
          <w:sz w:val="24"/>
        </w:rPr>
        <w:t xml:space="preserve">                                                       编号：2026-006</w:t>
      </w:r>
    </w:p>
    <w:tbl>
      <w:tblPr>
        <w:tblW w:w="8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7282"/>
      </w:tblGrid>
      <w:tr w:rsidR="002A5217" w14:paraId="77FBAC0D" w14:textId="77777777">
        <w:trPr>
          <w:trHeight w:val="188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2318" w14:textId="77777777" w:rsidR="002A5217" w:rsidRDefault="009C092B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投资者关系活动类别</w:t>
            </w:r>
          </w:p>
          <w:p w14:paraId="0573383F" w14:textId="77777777" w:rsidR="002A5217" w:rsidRDefault="002A5217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8B46" w14:textId="77777777" w:rsidR="002A5217" w:rsidRDefault="009C092B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特定对象调研       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>
              <w:rPr>
                <w:rStyle w:val="NormalCharacter"/>
                <w:rFonts w:ascii="宋体" w:hAnsi="宋体"/>
                <w:sz w:val="24"/>
              </w:rPr>
              <w:t>分析师会议</w:t>
            </w:r>
          </w:p>
          <w:p w14:paraId="5D88D3B8" w14:textId="77777777" w:rsidR="002A5217" w:rsidRDefault="009C092B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bookmarkStart w:id="0" w:name="OLE_LINK1"/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bookmarkEnd w:id="0"/>
            <w:r>
              <w:rPr>
                <w:rStyle w:val="NormalCharacter"/>
                <w:rFonts w:ascii="宋体" w:hAnsi="宋体"/>
                <w:sz w:val="24"/>
              </w:rPr>
              <w:t xml:space="preserve">媒体采访     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业绩说明会</w:t>
            </w:r>
          </w:p>
          <w:p w14:paraId="652F2B22" w14:textId="77777777" w:rsidR="002A5217" w:rsidRDefault="009C092B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新闻发布会         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>
              <w:rPr>
                <w:rStyle w:val="NormalCharacter"/>
                <w:rFonts w:ascii="宋体" w:hAnsi="宋体"/>
                <w:sz w:val="24"/>
              </w:rPr>
              <w:t>路演活动</w:t>
            </w:r>
          </w:p>
          <w:p w14:paraId="5D96A9C4" w14:textId="77777777" w:rsidR="002A5217" w:rsidRDefault="009C092B">
            <w:pPr>
              <w:tabs>
                <w:tab w:val="left" w:pos="3045"/>
                <w:tab w:val="center" w:pos="3199"/>
              </w:tabs>
              <w:spacing w:line="440" w:lineRule="exact"/>
              <w:ind w:left="1320" w:hangingChars="550" w:hanging="13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现场参观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ab/>
              <w:t xml:space="preserve">           </w:t>
            </w:r>
            <w:bookmarkStart w:id="1" w:name="OLE_LINK2"/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bookmarkEnd w:id="1"/>
            <w:r>
              <w:rPr>
                <w:rStyle w:val="NormalCharacter"/>
                <w:rFonts w:ascii="宋体" w:hAnsi="宋体"/>
                <w:sz w:val="24"/>
              </w:rPr>
              <w:t>其他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</w:t>
            </w:r>
          </w:p>
        </w:tc>
      </w:tr>
      <w:tr w:rsidR="002A5217" w14:paraId="71625F9A" w14:textId="77777777">
        <w:trPr>
          <w:trHeight w:val="149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57D" w14:textId="77777777" w:rsidR="002A5217" w:rsidRDefault="009C092B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参与单位名称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1C23" w14:textId="77777777" w:rsidR="002A5217" w:rsidRDefault="009C092B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Cs/>
                <w:sz w:val="24"/>
                <w:szCs w:val="22"/>
              </w:rPr>
              <w:t>参与机构与人数：东吴证券、银河证券、明汯投资、</w:t>
            </w:r>
            <w:r>
              <w:rPr>
                <w:rFonts w:ascii="宋体" w:hAnsi="宋体"/>
                <w:bCs/>
                <w:sz w:val="24"/>
                <w:szCs w:val="22"/>
              </w:rPr>
              <w:t>Ballina Capital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、拾贝投资、嘉实基金、中加基金、</w:t>
            </w:r>
            <w:proofErr w:type="gramStart"/>
            <w:r>
              <w:rPr>
                <w:rFonts w:ascii="宋体" w:hAnsi="宋体" w:hint="eastAsia"/>
                <w:bCs/>
                <w:sz w:val="24"/>
                <w:szCs w:val="22"/>
              </w:rPr>
              <w:t>浙商资管</w:t>
            </w:r>
            <w:proofErr w:type="gramEnd"/>
            <w:r>
              <w:rPr>
                <w:rFonts w:ascii="宋体" w:hAnsi="宋体" w:hint="eastAsia"/>
                <w:bCs/>
                <w:sz w:val="24"/>
                <w:szCs w:val="22"/>
              </w:rPr>
              <w:t>等机构的1</w:t>
            </w:r>
            <w:r>
              <w:rPr>
                <w:rFonts w:ascii="宋体" w:hAnsi="宋体"/>
                <w:bCs/>
                <w:sz w:val="24"/>
                <w:szCs w:val="22"/>
              </w:rPr>
              <w:t>3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位投资者。</w:t>
            </w:r>
          </w:p>
        </w:tc>
      </w:tr>
      <w:tr w:rsidR="002A5217" w14:paraId="22517B72" w14:textId="77777777">
        <w:trPr>
          <w:trHeight w:val="77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7E92" w14:textId="77777777" w:rsidR="002A5217" w:rsidRDefault="009C092B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时间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88F8" w14:textId="77777777" w:rsidR="002A5217" w:rsidRDefault="009C092B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202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6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年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6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月份</w:t>
            </w:r>
          </w:p>
        </w:tc>
      </w:tr>
      <w:tr w:rsidR="002A5217" w14:paraId="72C8E93D" w14:textId="77777777">
        <w:trPr>
          <w:trHeight w:val="670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86BA" w14:textId="77777777" w:rsidR="002A5217" w:rsidRDefault="009C092B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地点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5DE5" w14:textId="77777777" w:rsidR="002A5217" w:rsidRDefault="009C092B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外部策略会、公司会议室、线上会议等</w:t>
            </w:r>
          </w:p>
        </w:tc>
      </w:tr>
      <w:tr w:rsidR="002A5217" w14:paraId="3D033AE1" w14:textId="77777777">
        <w:trPr>
          <w:trHeight w:val="1019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BB34" w14:textId="77777777" w:rsidR="002A5217" w:rsidRDefault="009C092B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上市公司接待人员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5EAF2" w14:textId="77777777" w:rsidR="002A5217" w:rsidRDefault="009C092B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证券事务代表、I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R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等</w:t>
            </w:r>
          </w:p>
        </w:tc>
      </w:tr>
      <w:tr w:rsidR="002A5217" w14:paraId="3C670D49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920B" w14:textId="77777777" w:rsidR="002A5217" w:rsidRDefault="009C092B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94B2" w14:textId="77777777" w:rsidR="002A5217" w:rsidRDefault="009C092B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Q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：公司在市值管理方面有什么计划？</w:t>
            </w:r>
          </w:p>
          <w:p w14:paraId="484E75A9" w14:textId="7231E6E9" w:rsidR="002A5217" w:rsidRDefault="009C092B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A：公司始终将市值管理作为长期战略的重要组成部分，多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措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并举加强市场沟通，注重股东回报。一方面，我们将深耕主业发展，以经营业绩的稳健增长来夯实价值根基，提升内在价值，另一方面，我们也积极探索多元化、可适用的市值管理工具，传递信心、共享成果。截至目前，公司控股股东已发布增持计划（请见临时公告2025-083），并于今年5月8日和6月1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日分别发布了增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持进展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公告（分别见公告临2</w:t>
            </w:r>
            <w:r>
              <w:rPr>
                <w:rFonts w:ascii="宋体" w:hAnsi="宋体" w:cs="宋体"/>
                <w:kern w:val="0"/>
                <w:sz w:val="24"/>
              </w:rPr>
              <w:t>026-036</w:t>
            </w:r>
            <w:r>
              <w:rPr>
                <w:rFonts w:ascii="宋体" w:hAnsi="宋体" w:cs="宋体" w:hint="eastAsia"/>
                <w:kern w:val="0"/>
                <w:sz w:val="24"/>
              </w:rPr>
              <w:t>、临2</w:t>
            </w:r>
            <w:r>
              <w:rPr>
                <w:rFonts w:ascii="宋体" w:hAnsi="宋体" w:cs="宋体"/>
                <w:kern w:val="0"/>
                <w:sz w:val="24"/>
              </w:rPr>
              <w:t>026-043</w:t>
            </w:r>
            <w:r>
              <w:rPr>
                <w:rFonts w:ascii="宋体" w:hAnsi="宋体" w:cs="宋体" w:hint="eastAsia"/>
                <w:kern w:val="0"/>
                <w:sz w:val="24"/>
              </w:rPr>
              <w:t>）。在分红方面，公司在确保三年分红不低于近三年年均可分配利润30%的基础上，于2024年和2025年增加了分红频次。同时，2</w:t>
            </w:r>
            <w:r>
              <w:rPr>
                <w:rFonts w:ascii="宋体" w:hAnsi="宋体" w:cs="宋体"/>
                <w:kern w:val="0"/>
                <w:sz w:val="24"/>
              </w:rPr>
              <w:t>026</w:t>
            </w:r>
            <w:r>
              <w:rPr>
                <w:rFonts w:ascii="宋体" w:hAnsi="宋体" w:cs="宋体" w:hint="eastAsia"/>
                <w:kern w:val="0"/>
                <w:sz w:val="24"/>
              </w:rPr>
              <w:t>年中期分红方案已经6月2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日召开的股东会审议并通过。后续将根据公司实际经营状况以及现金需求来确定未来的分红比例。</w:t>
            </w:r>
          </w:p>
          <w:p w14:paraId="3CC52AAC" w14:textId="77777777" w:rsidR="002A5217" w:rsidRDefault="002A5217">
            <w:pPr>
              <w:spacing w:line="276" w:lineRule="auto"/>
              <w:jc w:val="left"/>
            </w:pPr>
          </w:p>
          <w:p w14:paraId="21FE6A0E" w14:textId="77777777" w:rsidR="002A5217" w:rsidRDefault="009C092B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Q：公司商业板块如何进一步提升盈利能力？</w:t>
            </w:r>
          </w:p>
          <w:p w14:paraId="383756CE" w14:textId="77777777" w:rsidR="002A5217" w:rsidRDefault="009C092B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A：公司商业板块将以“打造世界一流的科技型健康服务企业”为目标，构建国家级现代医药供应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链服务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平台以及一流的健康科技创新平台。公司将继续夯实医药流通业务基本盘，扩大商业网络布局，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推动医院准入，深耕基层市场。同时，公司将进一步深化创新转型，依托现有业务优势，不断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做优做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强公司创新业务板块。此外，公司会以更加稳健的财务政策以及更加灵活的业务策略，不断提升运营与财务质量，实现医药商业板块的提质增效。</w:t>
            </w:r>
          </w:p>
          <w:p w14:paraId="3933ECDA" w14:textId="77777777" w:rsidR="002A5217" w:rsidRDefault="002A5217">
            <w:pPr>
              <w:spacing w:line="276" w:lineRule="auto"/>
              <w:jc w:val="left"/>
            </w:pPr>
          </w:p>
          <w:p w14:paraId="18123007" w14:textId="77777777" w:rsidR="002A5217" w:rsidRDefault="009C092B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Q：公司将如何在行业环境承压的情况下，有序推进“十五五”规划目标？</w:t>
            </w:r>
          </w:p>
          <w:p w14:paraId="751482E5" w14:textId="77777777" w:rsidR="002A5217" w:rsidRDefault="009C092B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A：近年来，医药行业处于政策及市场深度调整的大环境，但2026年政府工作报告首次将生物医药产业列为新兴支柱产业，行业战略维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度再次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跃升，为整个医药行业带来利好。上海医药将继续发挥在医药研发、制造和医药商业领域的全产业链优势，牢牢把握这一机遇，坚持稳中求进的工作总基调，持续筑牢产业根基、做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强核心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板块、加速创新转型升级，推动企业实现高质量发展。展望“十五五”，上海医药将不断深化工商协同，充分发挥行业龙头优势，进一步提升工业制造和商业化能力，打通创新研发至终端落地的完整价值链条，以稳健的业绩增长持续回报广大股东。</w:t>
            </w:r>
          </w:p>
          <w:p w14:paraId="3DFF76B8" w14:textId="77777777" w:rsidR="002A5217" w:rsidRDefault="002A5217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0CFB14B" w14:textId="77777777" w:rsidR="002A5217" w:rsidRDefault="009C092B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信妥安获</w:t>
            </w:r>
            <w:proofErr w:type="gramEnd"/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批后的商业化进展？</w:t>
            </w:r>
          </w:p>
          <w:p w14:paraId="0D83B4C1" w14:textId="77777777" w:rsidR="002A5217" w:rsidRDefault="009C092B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A：公司旗下1类新药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苹果酸司妥吉仑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片（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信妥安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®）已于今年2月1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日开出首张处方，截至第一季度，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信妥安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商业化团队推进全国价格挂网的同时，在多个省份实现落地销售并完成线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上渠道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首发。</w:t>
            </w:r>
          </w:p>
          <w:p w14:paraId="53CFA491" w14:textId="77777777" w:rsidR="002A5217" w:rsidRDefault="002A5217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  <w:p w14:paraId="0EE0E056" w14:textId="77777777" w:rsidR="002A5217" w:rsidRDefault="009C092B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Q：公司的研发管线进展？</w:t>
            </w:r>
          </w:p>
          <w:p w14:paraId="0152FD59" w14:textId="560C4E1F" w:rsidR="002A5217" w:rsidRDefault="009C092B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公司新药研发管线均有序推进中。其中，BCD-085上市申请已经获得受理；B001项目用于治疗视神经脊髓炎（NMOSD）的III期临床试验主研究（RCP）已完成揭盲。研究结果显示，B001较安慰剂可显著降低AQP4-IgG阳性NMOSD的复发风险；并且B001较已获批同类药物具备更好的安全性，输液相关不良反应、感染相关不良反应、免疫球蛋白降低和血液学相关不良反应的发生率均更低。参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芪麝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蓉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丸项目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在III期临床试验全部受试者出组的基础上，已完成数据整理、数据审核和数据锁定。</w:t>
            </w:r>
          </w:p>
          <w:p w14:paraId="64055411" w14:textId="77777777" w:rsidR="002A5217" w:rsidRDefault="002A5217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  <w:highlight w:val="yellow"/>
              </w:rPr>
            </w:pPr>
          </w:p>
          <w:p w14:paraId="452F9167" w14:textId="77777777" w:rsidR="002A5217" w:rsidRDefault="009C092B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Q：中药已占工业板块四成左右的比重，未来如何规划？</w:t>
            </w:r>
          </w:p>
          <w:p w14:paraId="2B176AC0" w14:textId="77777777" w:rsidR="002A5217" w:rsidRDefault="009C092B">
            <w:pPr>
              <w:spacing w:line="276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公司中药业务资源禀赋深厚，加之在去年收购了上海和黄，丰富了中药板块业务布局，有着良好的发展前景。公司将继续推进“大品种、大品牌”战略，打造具有竞争力的中药产品梯队。在大品种培育方面，公司已有年销售额超1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亿的两款中药大品种，同时有多项中药创新药管线处于临床后期阶段。在大品牌培育方面，作为拥</w:t>
            </w: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有众多百年老字号品牌的医药产业集团，公司以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主品牌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上海医药为核心，协同旗下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子品牌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形成矩阵效应，不断激活老字号品牌的新活力，扩大品牌的影响力。此外，在推动中药走向世界方面，公司以香港为桥头堡，于2025年内提交5个中药品种的在港注册申请，同时，公司旗下和黄药业的胆宁片与正气片也已成功出口加拿大。</w:t>
            </w:r>
          </w:p>
        </w:tc>
      </w:tr>
      <w:tr w:rsidR="002A5217" w14:paraId="5C1AF499" w14:textId="77777777">
        <w:trPr>
          <w:trHeight w:val="102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7293" w14:textId="77777777" w:rsidR="002A5217" w:rsidRDefault="009C092B">
            <w:pPr>
              <w:spacing w:line="440" w:lineRule="exact"/>
              <w:ind w:firstLineChars="50" w:firstLine="1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lastRenderedPageBreak/>
              <w:t>附件清单（如有）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4F10" w14:textId="77777777" w:rsidR="002A5217" w:rsidRDefault="009C092B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无</w:t>
            </w:r>
          </w:p>
        </w:tc>
      </w:tr>
      <w:tr w:rsidR="002A5217" w14:paraId="59AB9622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7EFB" w14:textId="77777777" w:rsidR="002A5217" w:rsidRDefault="009C092B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注意事项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1E28" w14:textId="77777777" w:rsidR="002A5217" w:rsidRDefault="009C092B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Fonts w:hint="eastAsia"/>
                <w:sz w:val="24"/>
              </w:rPr>
              <w:t>公司严格</w:t>
            </w:r>
            <w:proofErr w:type="gramStart"/>
            <w:r>
              <w:rPr>
                <w:rFonts w:hint="eastAsia"/>
                <w:sz w:val="24"/>
              </w:rPr>
              <w:t>遵守信披</w:t>
            </w:r>
            <w:proofErr w:type="gramEnd"/>
            <w:r>
              <w:rPr>
                <w:rFonts w:hint="eastAsia"/>
                <w:sz w:val="24"/>
              </w:rPr>
              <w:t>规则进行投资者交流，如涉及公司未来计划、发展战略等前瞻性描述，不构成公司对投资者的实质性承诺。</w:t>
            </w:r>
          </w:p>
        </w:tc>
      </w:tr>
    </w:tbl>
    <w:p w14:paraId="26AB79A2" w14:textId="77777777" w:rsidR="002A5217" w:rsidRDefault="002A5217">
      <w:pPr>
        <w:spacing w:line="440" w:lineRule="exact"/>
        <w:rPr>
          <w:rStyle w:val="NormalCharacter"/>
          <w:rFonts w:ascii="宋体" w:hAnsi="宋体"/>
          <w:sz w:val="24"/>
        </w:rPr>
      </w:pPr>
    </w:p>
    <w:sectPr w:rsidR="002A5217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A3B74" w14:textId="77777777" w:rsidR="0054105C" w:rsidRDefault="0054105C">
      <w:r>
        <w:separator/>
      </w:r>
    </w:p>
  </w:endnote>
  <w:endnote w:type="continuationSeparator" w:id="0">
    <w:p w14:paraId="42300C88" w14:textId="77777777" w:rsidR="0054105C" w:rsidRDefault="0054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E390" w14:textId="77777777" w:rsidR="002A5217" w:rsidRDefault="002A5217">
    <w:pPr>
      <w:pStyle w:val="a9"/>
      <w:framePr w:wrap="around" w:hAnchor="text" w:xAlign="center" w:y="1"/>
      <w:rPr>
        <w:rStyle w:val="PageNumber"/>
      </w:rPr>
    </w:pPr>
  </w:p>
  <w:p w14:paraId="7914E9DE" w14:textId="77777777" w:rsidR="002A5217" w:rsidRDefault="002A5217">
    <w:pPr>
      <w:pStyle w:val="a9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52AF" w14:textId="77777777" w:rsidR="002A5217" w:rsidRDefault="009C092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 w14:paraId="098BCA03" w14:textId="77777777" w:rsidR="002A5217" w:rsidRDefault="002A5217">
    <w:pPr>
      <w:pStyle w:val="a9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FB1D7" w14:textId="77777777" w:rsidR="0054105C" w:rsidRDefault="0054105C">
      <w:r>
        <w:separator/>
      </w:r>
    </w:p>
  </w:footnote>
  <w:footnote w:type="continuationSeparator" w:id="0">
    <w:p w14:paraId="637659B3" w14:textId="77777777" w:rsidR="0054105C" w:rsidRDefault="00541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AFDF" w14:textId="77777777" w:rsidR="002A5217" w:rsidRDefault="002A5217">
    <w:pPr>
      <w:pStyle w:val="ab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trackRevisions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1D"/>
    <w:rsid w:val="00002C55"/>
    <w:rsid w:val="000106BF"/>
    <w:rsid w:val="00016EAE"/>
    <w:rsid w:val="000176D7"/>
    <w:rsid w:val="00031563"/>
    <w:rsid w:val="00043366"/>
    <w:rsid w:val="00052197"/>
    <w:rsid w:val="000767B8"/>
    <w:rsid w:val="000867C7"/>
    <w:rsid w:val="00095809"/>
    <w:rsid w:val="000A0CB1"/>
    <w:rsid w:val="000C227F"/>
    <w:rsid w:val="000C281C"/>
    <w:rsid w:val="000C74D8"/>
    <w:rsid w:val="000E1D70"/>
    <w:rsid w:val="000E5E07"/>
    <w:rsid w:val="001209B2"/>
    <w:rsid w:val="001221D9"/>
    <w:rsid w:val="001273E4"/>
    <w:rsid w:val="0015162D"/>
    <w:rsid w:val="00162E1B"/>
    <w:rsid w:val="00173E79"/>
    <w:rsid w:val="001801D1"/>
    <w:rsid w:val="00191176"/>
    <w:rsid w:val="001B7189"/>
    <w:rsid w:val="001C5440"/>
    <w:rsid w:val="001F77A7"/>
    <w:rsid w:val="00223D7B"/>
    <w:rsid w:val="00233822"/>
    <w:rsid w:val="002343C0"/>
    <w:rsid w:val="00263447"/>
    <w:rsid w:val="00292E82"/>
    <w:rsid w:val="002A5217"/>
    <w:rsid w:val="002A5E05"/>
    <w:rsid w:val="002B2DFE"/>
    <w:rsid w:val="002B58AA"/>
    <w:rsid w:val="002B65B4"/>
    <w:rsid w:val="002C6B79"/>
    <w:rsid w:val="002F7159"/>
    <w:rsid w:val="00307DBE"/>
    <w:rsid w:val="00321F3A"/>
    <w:rsid w:val="00327A2B"/>
    <w:rsid w:val="003452E5"/>
    <w:rsid w:val="00346511"/>
    <w:rsid w:val="003574FC"/>
    <w:rsid w:val="00371FFD"/>
    <w:rsid w:val="0038018B"/>
    <w:rsid w:val="00380974"/>
    <w:rsid w:val="00390461"/>
    <w:rsid w:val="003A2CB1"/>
    <w:rsid w:val="003C3AAB"/>
    <w:rsid w:val="003C767A"/>
    <w:rsid w:val="003D4770"/>
    <w:rsid w:val="003E6A30"/>
    <w:rsid w:val="003F54AA"/>
    <w:rsid w:val="004117E0"/>
    <w:rsid w:val="0042255F"/>
    <w:rsid w:val="004611B6"/>
    <w:rsid w:val="004642AD"/>
    <w:rsid w:val="0048115A"/>
    <w:rsid w:val="00485133"/>
    <w:rsid w:val="00490438"/>
    <w:rsid w:val="0049785A"/>
    <w:rsid w:val="004B3699"/>
    <w:rsid w:val="004C3851"/>
    <w:rsid w:val="004C7F2D"/>
    <w:rsid w:val="004D1335"/>
    <w:rsid w:val="004E2C16"/>
    <w:rsid w:val="004E500B"/>
    <w:rsid w:val="00506348"/>
    <w:rsid w:val="005064E8"/>
    <w:rsid w:val="0051714D"/>
    <w:rsid w:val="00517951"/>
    <w:rsid w:val="0054105C"/>
    <w:rsid w:val="00541826"/>
    <w:rsid w:val="00545187"/>
    <w:rsid w:val="00547FC7"/>
    <w:rsid w:val="005831D8"/>
    <w:rsid w:val="005B0843"/>
    <w:rsid w:val="005B2473"/>
    <w:rsid w:val="005C51BA"/>
    <w:rsid w:val="005D37C3"/>
    <w:rsid w:val="005E5816"/>
    <w:rsid w:val="005E779E"/>
    <w:rsid w:val="005F66A3"/>
    <w:rsid w:val="0060732D"/>
    <w:rsid w:val="00654E82"/>
    <w:rsid w:val="00667C5C"/>
    <w:rsid w:val="00670FF2"/>
    <w:rsid w:val="0068469E"/>
    <w:rsid w:val="006B0979"/>
    <w:rsid w:val="006C7D17"/>
    <w:rsid w:val="00701239"/>
    <w:rsid w:val="007139E4"/>
    <w:rsid w:val="00720FD7"/>
    <w:rsid w:val="007220FC"/>
    <w:rsid w:val="00722D51"/>
    <w:rsid w:val="0072437E"/>
    <w:rsid w:val="0073265E"/>
    <w:rsid w:val="00733A5A"/>
    <w:rsid w:val="00735B26"/>
    <w:rsid w:val="0074282E"/>
    <w:rsid w:val="00745663"/>
    <w:rsid w:val="007554F2"/>
    <w:rsid w:val="00756FF9"/>
    <w:rsid w:val="00881D7A"/>
    <w:rsid w:val="00885FE2"/>
    <w:rsid w:val="008C0901"/>
    <w:rsid w:val="008C5203"/>
    <w:rsid w:val="00962079"/>
    <w:rsid w:val="009652FF"/>
    <w:rsid w:val="0097541E"/>
    <w:rsid w:val="009762B3"/>
    <w:rsid w:val="009B014C"/>
    <w:rsid w:val="009C092B"/>
    <w:rsid w:val="00A20F79"/>
    <w:rsid w:val="00A2283F"/>
    <w:rsid w:val="00A31E51"/>
    <w:rsid w:val="00A40C32"/>
    <w:rsid w:val="00A53B84"/>
    <w:rsid w:val="00A8351D"/>
    <w:rsid w:val="00A86522"/>
    <w:rsid w:val="00A934AA"/>
    <w:rsid w:val="00AA0D98"/>
    <w:rsid w:val="00AB4FB7"/>
    <w:rsid w:val="00AC2889"/>
    <w:rsid w:val="00AC3736"/>
    <w:rsid w:val="00AD36AC"/>
    <w:rsid w:val="00AF09C3"/>
    <w:rsid w:val="00AF0F25"/>
    <w:rsid w:val="00B03EF8"/>
    <w:rsid w:val="00B13F37"/>
    <w:rsid w:val="00B14369"/>
    <w:rsid w:val="00B3209A"/>
    <w:rsid w:val="00B52F84"/>
    <w:rsid w:val="00B60FF5"/>
    <w:rsid w:val="00B83D45"/>
    <w:rsid w:val="00BA0014"/>
    <w:rsid w:val="00BA1E4C"/>
    <w:rsid w:val="00BA48DD"/>
    <w:rsid w:val="00BB2E68"/>
    <w:rsid w:val="00BD4000"/>
    <w:rsid w:val="00BE31D8"/>
    <w:rsid w:val="00C14789"/>
    <w:rsid w:val="00C242EB"/>
    <w:rsid w:val="00C36353"/>
    <w:rsid w:val="00C4177A"/>
    <w:rsid w:val="00C4569F"/>
    <w:rsid w:val="00C6565B"/>
    <w:rsid w:val="00CA1744"/>
    <w:rsid w:val="00CA3A36"/>
    <w:rsid w:val="00CB5C96"/>
    <w:rsid w:val="00CB7D45"/>
    <w:rsid w:val="00CE08CC"/>
    <w:rsid w:val="00D2297A"/>
    <w:rsid w:val="00D33D69"/>
    <w:rsid w:val="00D61FE4"/>
    <w:rsid w:val="00D642F8"/>
    <w:rsid w:val="00D64C28"/>
    <w:rsid w:val="00D73FC5"/>
    <w:rsid w:val="00D819BC"/>
    <w:rsid w:val="00D868F4"/>
    <w:rsid w:val="00D92A51"/>
    <w:rsid w:val="00DA6E11"/>
    <w:rsid w:val="00DB4A2B"/>
    <w:rsid w:val="00E02835"/>
    <w:rsid w:val="00E1629C"/>
    <w:rsid w:val="00E44277"/>
    <w:rsid w:val="00E47BCF"/>
    <w:rsid w:val="00E62AFA"/>
    <w:rsid w:val="00E81462"/>
    <w:rsid w:val="00E905C1"/>
    <w:rsid w:val="00EC3152"/>
    <w:rsid w:val="00EE63EC"/>
    <w:rsid w:val="00F01F02"/>
    <w:rsid w:val="00F02F49"/>
    <w:rsid w:val="00F04AE7"/>
    <w:rsid w:val="00F12697"/>
    <w:rsid w:val="00F23045"/>
    <w:rsid w:val="00F246BA"/>
    <w:rsid w:val="00F24DF8"/>
    <w:rsid w:val="00F61DCD"/>
    <w:rsid w:val="00F80429"/>
    <w:rsid w:val="00F871BE"/>
    <w:rsid w:val="00F93F41"/>
    <w:rsid w:val="00F97CF0"/>
    <w:rsid w:val="00FB1E69"/>
    <w:rsid w:val="00FC1FA4"/>
    <w:rsid w:val="00FC4A73"/>
    <w:rsid w:val="00FE16D0"/>
    <w:rsid w:val="00FF19BD"/>
    <w:rsid w:val="2B746E5B"/>
    <w:rsid w:val="5D8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0B7688"/>
  <w15:docId w15:val="{42B799FB-7024-4E36-95FA-FB1C35367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widowControl w:val="0"/>
      <w:ind w:leftChars="2500" w:left="100"/>
      <w:textAlignment w:val="auto"/>
    </w:pPr>
    <w:rPr>
      <w:rFonts w:ascii="等线" w:eastAsia="等线" w:hAnsi="等线" w:cs="宋体"/>
      <w:szCs w:val="22"/>
    </w:rPr>
  </w:style>
  <w:style w:type="paragraph" w:styleId="a7">
    <w:name w:val="Balloon Text"/>
    <w:basedOn w:val="a"/>
    <w:link w:val="a8"/>
    <w:uiPriority w:val="99"/>
    <w:qFormat/>
    <w:pPr>
      <w:widowControl w:val="0"/>
      <w:textAlignment w:val="auto"/>
    </w:pPr>
    <w:rPr>
      <w:rFonts w:ascii="等线" w:eastAsia="等线" w:hAnsi="等线" w:cs="宋体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uiPriority w:val="20"/>
    <w:qFormat/>
    <w:rPr>
      <w:color w:val="CC0000"/>
    </w:rPr>
  </w:style>
  <w:style w:type="character" w:styleId="af1">
    <w:name w:val="Hyperlink"/>
    <w:basedOn w:val="a0"/>
    <w:uiPriority w:val="99"/>
    <w:qFormat/>
    <w:rPr>
      <w:color w:val="0000FF"/>
      <w:u w:val="single"/>
    </w:rPr>
  </w:style>
  <w:style w:type="character" w:styleId="af2">
    <w:name w:val="annotation reference"/>
    <w:basedOn w:val="a0"/>
    <w:uiPriority w:val="99"/>
    <w:qFormat/>
    <w:rPr>
      <w:sz w:val="21"/>
      <w:szCs w:val="21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character" w:customStyle="1" w:styleId="UserStyle0">
    <w:name w:val="UserStyle_0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0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BodyTextIndent">
    <w:name w:val="BodyTextIndent"/>
    <w:basedOn w:val="a"/>
    <w:qFormat/>
    <w:pPr>
      <w:spacing w:after="120"/>
      <w:ind w:leftChars="200" w:left="200"/>
    </w:pPr>
    <w:rPr>
      <w:szCs w:val="20"/>
    </w:rPr>
  </w:style>
  <w:style w:type="paragraph" w:customStyle="1" w:styleId="179">
    <w:name w:val="179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UserStyle2">
    <w:name w:val="UserStyle_2"/>
    <w:basedOn w:val="a"/>
    <w:qFormat/>
    <w:pPr>
      <w:tabs>
        <w:tab w:val="left" w:pos="720"/>
      </w:tabs>
      <w:ind w:left="720" w:hanging="720"/>
    </w:pPr>
    <w:rPr>
      <w:sz w:val="18"/>
      <w:szCs w:val="18"/>
    </w:rPr>
  </w:style>
  <w:style w:type="paragraph" w:customStyle="1" w:styleId="UserStyle3">
    <w:name w:val="UserStyle_3"/>
    <w:basedOn w:val="a"/>
    <w:qFormat/>
    <w:rPr>
      <w:rFonts w:ascii="仿宋_GB2312" w:eastAsia="仿宋_GB2312"/>
      <w:sz w:val="32"/>
      <w:szCs w:val="32"/>
    </w:rPr>
  </w:style>
  <w:style w:type="table" w:customStyle="1" w:styleId="TableGrid">
    <w:name w:val="TableGrid"/>
    <w:basedOn w:val="TableNormal"/>
    <w:qFormat/>
    <w:tblPr/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link w:val="Char"/>
    <w:uiPriority w:val="34"/>
    <w:qFormat/>
    <w:pPr>
      <w:widowControl w:val="0"/>
      <w:ind w:firstLineChars="200" w:firstLine="420"/>
      <w:textAlignment w:val="auto"/>
    </w:pPr>
    <w:rPr>
      <w:rFonts w:ascii="等线" w:eastAsia="等线" w:hAnsi="等线" w:cs="宋体"/>
      <w:szCs w:val="22"/>
    </w:rPr>
  </w:style>
  <w:style w:type="character" w:customStyle="1" w:styleId="a6">
    <w:name w:val="日期 字符"/>
    <w:basedOn w:val="a0"/>
    <w:link w:val="a5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bjh-p">
    <w:name w:val="bjh-p"/>
    <w:basedOn w:val="a0"/>
    <w:qFormat/>
  </w:style>
  <w:style w:type="paragraph" w:customStyle="1" w:styleId="1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列出段落 Char"/>
    <w:link w:val="1"/>
    <w:uiPriority w:val="34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qFormat/>
    <w:rPr>
      <w:b/>
      <w:bCs/>
      <w:kern w:val="2"/>
      <w:sz w:val="21"/>
      <w:szCs w:val="24"/>
    </w:rPr>
  </w:style>
  <w:style w:type="paragraph" w:customStyle="1" w:styleId="3">
    <w:name w:val="修订3"/>
    <w:uiPriority w:val="99"/>
    <w:qFormat/>
    <w:rPr>
      <w:kern w:val="2"/>
      <w:sz w:val="21"/>
      <w:szCs w:val="24"/>
    </w:rPr>
  </w:style>
  <w:style w:type="paragraph" w:customStyle="1" w:styleId="40">
    <w:name w:val="修订4"/>
    <w:uiPriority w:val="99"/>
    <w:qFormat/>
    <w:rPr>
      <w:kern w:val="2"/>
      <w:sz w:val="21"/>
      <w:szCs w:val="24"/>
    </w:rPr>
  </w:style>
  <w:style w:type="paragraph" w:customStyle="1" w:styleId="paragraph">
    <w:name w:val="paragraph"/>
    <w:basedOn w:val="a"/>
    <w:pPr>
      <w:spacing w:before="100" w:beforeAutospacing="1" w:after="100" w:afterAutospacing="1"/>
      <w:jc w:val="left"/>
      <w:textAlignment w:val="auto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DC471-B316-432E-AE28-B268D7AC6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298</Words>
  <Characters>1700</Characters>
  <Application>Microsoft Office Word</Application>
  <DocSecurity>0</DocSecurity>
  <Lines>14</Lines>
  <Paragraphs>3</Paragraphs>
  <ScaleCrop>false</ScaleCrop>
  <Company>SPH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王梓安</cp:lastModifiedBy>
  <cp:revision>12</cp:revision>
  <cp:lastPrinted>2026-02-27T02:58:00Z</cp:lastPrinted>
  <dcterms:created xsi:type="dcterms:W3CDTF">2026-06-24T05:25:00Z</dcterms:created>
  <dcterms:modified xsi:type="dcterms:W3CDTF">2026-06-29T06:49:00Z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B4058139E80146D28D3F792A598555CF_13</vt:lpwstr>
  </property>
  <property fmtid="{D5CDD505-2E9C-101B-9397-08002B2CF9AE}" pid="4" name="KSOTemplateDocerSaveRecord">
    <vt:lpwstr>eyJoZGlkIjoiZjkyMTkyOTY2M2JkNTY4ZThkNTA2NmRjZWI3OWUxMzIiLCJ1c2VySWQiOiIxNzMyNzYwMjE0In0=</vt:lpwstr>
  </property>
</Properties>
</file>