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6</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08</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52"/>
            </w:r>
            <w:r>
              <w:rPr>
                <w:rFonts w:hint="eastAsia"/>
                <w:spacing w:val="-2"/>
                <w:sz w:val="24"/>
                <w:szCs w:val="24"/>
                <w:lang w:val="en-US" w:eastAsia="zh-CN"/>
              </w:rPr>
              <w:t xml:space="preserve"> </w:t>
            </w:r>
            <w:r>
              <w:rPr>
                <w:sz w:val="24"/>
                <w:szCs w:val="24"/>
              </w:rPr>
              <w:t>现场</w:t>
            </w:r>
            <w:r>
              <w:rPr>
                <w:rFonts w:hint="eastAsia"/>
                <w:sz w:val="24"/>
                <w:szCs w:val="24"/>
                <w:lang w:val="en-US" w:eastAsia="zh-CN"/>
              </w:rPr>
              <w:t xml:space="preserve">调研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spacing w:before="156" w:line="242" w:lineRule="auto"/>
              <w:ind w:left="0" w:leftChars="0" w:right="-29" w:firstLine="480" w:firstLineChars="200"/>
              <w:jc w:val="both"/>
              <w:rPr>
                <w:rFonts w:hint="default"/>
                <w:sz w:val="24"/>
                <w:lang w:val="en-US" w:eastAsia="zh-CN"/>
              </w:rPr>
            </w:pPr>
            <w:r>
              <w:rPr>
                <w:rFonts w:hint="default"/>
                <w:sz w:val="24"/>
                <w:lang w:val="en-US" w:eastAsia="zh-CN"/>
              </w:rPr>
              <w:t>创金合信</w:t>
            </w:r>
            <w:r>
              <w:rPr>
                <w:rFonts w:hint="eastAsia"/>
                <w:sz w:val="24"/>
                <w:lang w:val="en-US" w:eastAsia="zh-CN"/>
              </w:rPr>
              <w:t>、</w:t>
            </w:r>
            <w:r>
              <w:rPr>
                <w:rFonts w:hint="default"/>
                <w:sz w:val="24"/>
                <w:lang w:val="en-US" w:eastAsia="zh-CN"/>
              </w:rPr>
              <w:t>东方阿尔法</w:t>
            </w:r>
            <w:r>
              <w:rPr>
                <w:rFonts w:hint="eastAsia"/>
                <w:sz w:val="24"/>
                <w:lang w:val="en-US" w:eastAsia="zh-CN"/>
              </w:rPr>
              <w:t>、</w:t>
            </w:r>
            <w:r>
              <w:rPr>
                <w:rFonts w:hint="default"/>
                <w:sz w:val="24"/>
                <w:lang w:val="en-US" w:eastAsia="zh-CN"/>
              </w:rPr>
              <w:t>创金合信</w:t>
            </w:r>
            <w:r>
              <w:rPr>
                <w:rFonts w:hint="eastAsia"/>
                <w:sz w:val="24"/>
                <w:lang w:val="en-US" w:eastAsia="zh-CN"/>
              </w:rPr>
              <w:t>、</w:t>
            </w:r>
            <w:r>
              <w:rPr>
                <w:rFonts w:hint="default"/>
                <w:sz w:val="24"/>
                <w:lang w:val="en-US" w:eastAsia="zh-CN"/>
              </w:rPr>
              <w:t>东吴基金</w:t>
            </w:r>
            <w:r>
              <w:rPr>
                <w:rFonts w:hint="eastAsia"/>
                <w:sz w:val="24"/>
                <w:lang w:val="en-US" w:eastAsia="zh-CN"/>
              </w:rPr>
              <w:t>、</w:t>
            </w:r>
            <w:r>
              <w:rPr>
                <w:rFonts w:hint="default"/>
                <w:sz w:val="24"/>
                <w:lang w:val="en-US" w:eastAsia="zh-CN"/>
              </w:rPr>
              <w:t>硕丰投资</w:t>
            </w:r>
            <w:r>
              <w:rPr>
                <w:rFonts w:hint="eastAsia"/>
                <w:sz w:val="24"/>
                <w:lang w:val="en-US" w:eastAsia="zh-CN"/>
              </w:rPr>
              <w:t>、</w:t>
            </w:r>
            <w:r>
              <w:rPr>
                <w:rFonts w:hint="default"/>
                <w:sz w:val="24"/>
                <w:lang w:val="en-US" w:eastAsia="zh-CN"/>
              </w:rPr>
              <w:t>乾图投资</w:t>
            </w:r>
            <w:r>
              <w:rPr>
                <w:rFonts w:hint="eastAsia"/>
                <w:sz w:val="24"/>
                <w:lang w:val="en-US" w:eastAsia="zh-CN"/>
              </w:rPr>
              <w:t>、</w:t>
            </w:r>
            <w:r>
              <w:rPr>
                <w:rFonts w:hint="default"/>
                <w:sz w:val="24"/>
                <w:lang w:val="en-US" w:eastAsia="zh-CN"/>
              </w:rPr>
              <w:t xml:space="preserve"> 博普资产</w:t>
            </w:r>
            <w:r>
              <w:rPr>
                <w:rFonts w:hint="eastAsia"/>
                <w:sz w:val="24"/>
                <w:lang w:val="en-US" w:eastAsia="zh-CN"/>
              </w:rPr>
              <w:t>、</w:t>
            </w:r>
            <w:r>
              <w:rPr>
                <w:rFonts w:hint="default"/>
                <w:sz w:val="24"/>
                <w:lang w:val="en-US" w:eastAsia="zh-CN"/>
              </w:rPr>
              <w:t>善思投资</w:t>
            </w:r>
            <w:r>
              <w:rPr>
                <w:rFonts w:hint="eastAsia"/>
                <w:sz w:val="24"/>
                <w:lang w:val="en-US" w:eastAsia="zh-CN"/>
              </w:rPr>
              <w:t>、</w:t>
            </w:r>
            <w:r>
              <w:rPr>
                <w:rFonts w:hint="default"/>
                <w:sz w:val="24"/>
                <w:lang w:val="en-US" w:eastAsia="zh-CN"/>
              </w:rPr>
              <w:t>信达澳亚</w:t>
            </w:r>
            <w:r>
              <w:rPr>
                <w:rFonts w:hint="eastAsia"/>
                <w:sz w:val="24"/>
                <w:lang w:val="en-US" w:eastAsia="zh-CN"/>
              </w:rPr>
              <w:t>、</w:t>
            </w:r>
            <w:r>
              <w:rPr>
                <w:rFonts w:hint="default"/>
                <w:sz w:val="24"/>
                <w:lang w:val="en-US" w:eastAsia="zh-CN"/>
              </w:rPr>
              <w:t>望正</w:t>
            </w:r>
            <w:r>
              <w:rPr>
                <w:rFonts w:hint="eastAsia"/>
                <w:sz w:val="24"/>
                <w:lang w:val="en-US" w:eastAsia="zh-CN"/>
              </w:rPr>
              <w:t>、</w:t>
            </w:r>
            <w:r>
              <w:rPr>
                <w:rFonts w:hint="default"/>
                <w:sz w:val="24"/>
                <w:lang w:val="en-US" w:eastAsia="zh-CN"/>
              </w:rPr>
              <w:t>海港人寿</w:t>
            </w:r>
            <w:r>
              <w:rPr>
                <w:rFonts w:hint="eastAsia"/>
                <w:sz w:val="24"/>
                <w:lang w:val="en-US" w:eastAsia="zh-CN"/>
              </w:rPr>
              <w:t>、</w:t>
            </w:r>
            <w:r>
              <w:rPr>
                <w:rFonts w:hint="default"/>
                <w:sz w:val="24"/>
                <w:lang w:val="en-US" w:eastAsia="zh-CN"/>
              </w:rPr>
              <w:t>红石投资</w:t>
            </w:r>
            <w:r>
              <w:rPr>
                <w:rFonts w:hint="eastAsia"/>
                <w:sz w:val="24"/>
                <w:lang w:val="en-US" w:eastAsia="zh-CN"/>
              </w:rPr>
              <w:t>、</w:t>
            </w:r>
            <w:r>
              <w:rPr>
                <w:rFonts w:hint="default"/>
                <w:sz w:val="24"/>
                <w:lang w:val="en-US" w:eastAsia="zh-CN"/>
              </w:rPr>
              <w:t>国泰海通资管</w:t>
            </w:r>
            <w:r>
              <w:rPr>
                <w:rFonts w:hint="eastAsia"/>
                <w:sz w:val="24"/>
                <w:lang w:val="en-US" w:eastAsia="zh-CN"/>
              </w:rPr>
              <w:t>、</w:t>
            </w:r>
            <w:r>
              <w:rPr>
                <w:rFonts w:hint="default"/>
                <w:sz w:val="24"/>
                <w:lang w:val="en-US" w:eastAsia="zh-CN"/>
              </w:rPr>
              <w:t>宝盈基金</w:t>
            </w:r>
            <w:r>
              <w:rPr>
                <w:rFonts w:hint="eastAsia"/>
                <w:sz w:val="24"/>
                <w:lang w:val="en-US" w:eastAsia="zh-CN"/>
              </w:rPr>
              <w:t>、</w:t>
            </w:r>
            <w:r>
              <w:rPr>
                <w:rFonts w:hint="default"/>
                <w:sz w:val="24"/>
                <w:lang w:val="en-US" w:eastAsia="zh-CN"/>
              </w:rPr>
              <w:t>宏利基金</w:t>
            </w:r>
            <w:r>
              <w:rPr>
                <w:rFonts w:hint="eastAsia"/>
                <w:sz w:val="24"/>
                <w:lang w:val="en-US" w:eastAsia="zh-CN"/>
              </w:rPr>
              <w:t>、</w:t>
            </w:r>
            <w:r>
              <w:rPr>
                <w:rFonts w:hint="default"/>
                <w:sz w:val="24"/>
                <w:lang w:val="en-US" w:eastAsia="zh-CN"/>
              </w:rPr>
              <w:t>兴全基金</w:t>
            </w:r>
            <w:r>
              <w:rPr>
                <w:rFonts w:hint="eastAsia"/>
                <w:sz w:val="24"/>
                <w:lang w:val="en-US" w:eastAsia="zh-CN"/>
              </w:rPr>
              <w:t>、</w:t>
            </w:r>
            <w:r>
              <w:rPr>
                <w:rFonts w:hint="default"/>
                <w:sz w:val="24"/>
                <w:lang w:val="en-US" w:eastAsia="zh-CN"/>
              </w:rPr>
              <w:t>大成基金</w:t>
            </w:r>
            <w:r>
              <w:rPr>
                <w:rFonts w:hint="eastAsia"/>
                <w:sz w:val="24"/>
                <w:lang w:val="en-US" w:eastAsia="zh-CN"/>
              </w:rPr>
              <w:t>、</w:t>
            </w:r>
            <w:r>
              <w:rPr>
                <w:rFonts w:hint="default"/>
                <w:sz w:val="24"/>
                <w:lang w:val="en-US" w:eastAsia="zh-CN"/>
              </w:rPr>
              <w:t>景顺长城</w:t>
            </w:r>
            <w:r>
              <w:rPr>
                <w:rFonts w:hint="eastAsia"/>
                <w:sz w:val="24"/>
                <w:lang w:val="en-US" w:eastAsia="zh-CN"/>
              </w:rPr>
              <w:t>、</w:t>
            </w:r>
            <w:r>
              <w:rPr>
                <w:rFonts w:hint="default"/>
                <w:sz w:val="24"/>
                <w:lang w:val="en-US" w:eastAsia="zh-CN"/>
              </w:rPr>
              <w:t>长城基金</w:t>
            </w:r>
            <w:r>
              <w:rPr>
                <w:rFonts w:hint="eastAsia"/>
                <w:sz w:val="24"/>
                <w:lang w:val="en-US" w:eastAsia="zh-CN"/>
              </w:rPr>
              <w:t>、</w:t>
            </w:r>
            <w:r>
              <w:rPr>
                <w:rFonts w:hint="default"/>
                <w:sz w:val="24"/>
                <w:lang w:val="en-US" w:eastAsia="zh-CN"/>
              </w:rPr>
              <w:t>信达澳亚基金</w:t>
            </w:r>
            <w:r>
              <w:rPr>
                <w:rFonts w:hint="eastAsia"/>
                <w:sz w:val="24"/>
                <w:lang w:val="en-US" w:eastAsia="zh-CN"/>
              </w:rPr>
              <w:t>、</w:t>
            </w:r>
            <w:r>
              <w:rPr>
                <w:rFonts w:hint="default"/>
                <w:sz w:val="24"/>
                <w:lang w:val="en-US" w:eastAsia="zh-CN"/>
              </w:rPr>
              <w:t>先锋基金</w:t>
            </w:r>
            <w:r>
              <w:rPr>
                <w:rFonts w:hint="eastAsia"/>
                <w:sz w:val="24"/>
                <w:lang w:val="en-US" w:eastAsia="zh-CN"/>
              </w:rPr>
              <w:t>、博时基金、中泰电子</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2026</w:t>
            </w:r>
            <w:r>
              <w:rPr>
                <w:sz w:val="24"/>
              </w:rPr>
              <w:t>年</w:t>
            </w:r>
            <w:r>
              <w:rPr>
                <w:rFonts w:hint="eastAsia"/>
                <w:sz w:val="24"/>
                <w:lang w:val="en-US" w:eastAsia="zh-CN"/>
              </w:rPr>
              <w:t>6月</w:t>
            </w:r>
            <w:r>
              <w:rPr>
                <w:rFonts w:hint="default"/>
                <w:sz w:val="24"/>
                <w:lang w:val="en-US" w:eastAsia="zh-CN"/>
              </w:rPr>
              <w:t>30</w:t>
            </w:r>
            <w:r>
              <w:rPr>
                <w:rFonts w:hint="eastAsia"/>
                <w:sz w:val="24"/>
                <w:lang w:val="en-US" w:eastAsia="zh-CN"/>
              </w:rPr>
              <w:t>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公司（深圳南山）</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6DA658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公司介绍</w:t>
            </w:r>
          </w:p>
          <w:p w14:paraId="46383786">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公司发展历程及技术布局，同学创业的公司，从应用走向设计，MCU中国之源，域名www.mcu.com.cn,坚持以MCU为核心，布局MCU周边技术，实施MCU+战略，相继发布NOR Flash的存储产品、AC-DC及DC-DC电源产品、蓝牙产品，力求为客户提供智能控制一站式整体解决方案，打造第二、第三增长曲线。在自己发布存储产品的同时，公司还收购了珠海博雅21%的股份，从内生式发展迈出外延式发展的第一步。珠海博雅是一家存储产品设计公司，创始团队来自北大物理系，其存储产品设计与市场都有很深的积累。</w:t>
            </w:r>
          </w:p>
          <w:p w14:paraId="28C656B0">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p>
          <w:p w14:paraId="00CF228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交流问答</w:t>
            </w:r>
          </w:p>
          <w:p w14:paraId="662E9A87">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1.今年业务情况？</w:t>
            </w:r>
          </w:p>
          <w:p w14:paraId="34A492DE">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当前营业收入主要还是MCU，下游消费电子、家用电器、工业控制和汽车电子，其中消费电子和家用电器占比40%，工业控制和汽车电子占30%。目前公司产品处于供应紧张状态，未交订单持续累积增大。产品毛利在提升，一季度综合毛利38%。</w:t>
            </w:r>
          </w:p>
          <w:p w14:paraId="1E46B473">
            <w:pPr>
              <w:keepNext w:val="0"/>
              <w:keepLines w:val="0"/>
              <w:pageBreakBefore w:val="0"/>
              <w:widowControl w:val="0"/>
              <w:numPr>
                <w:ilvl w:val="0"/>
                <w:numId w:val="2"/>
              </w:numPr>
              <w:kinsoku/>
              <w:wordWrap/>
              <w:overflowPunct/>
              <w:topLinePunct w:val="0"/>
              <w:bidi w:val="0"/>
              <w:adjustRightInd/>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公司出现供应紧张的原因，这种状态将会持续多久？</w:t>
            </w:r>
          </w:p>
          <w:p w14:paraId="113F2C88">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主要原因是公司产能增长的速度没有赶上下游客户对公司产品需求增长速度。与历史同期项目，当前公司产能是增长的，出货量是增长的，未交货订单也是增长的。当前产能紧张的状态，我们判断将是一个相对长久的过程。</w:t>
            </w:r>
          </w:p>
          <w:p w14:paraId="27301359">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哪些领域导致对公司产品需求增长？</w:t>
            </w:r>
          </w:p>
          <w:p w14:paraId="00EB60DF">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首先是新兴领域对MCU的需求，无论是机器人、AI、算力、低空经济等等，没有哪个领域不需要MCU。机器人的关节控制需要MCU，AI的端侧处理需要MCU，算力建设的通风降温需要MCU，低空经济飞行器需要MCU。其次，传统应用领域需求在增长，比如今年电器产品需求的增长，用油的改成用电，电磁炉、电动工具如此；大家电通过几年的深耕，今年需求开始放量增加。</w:t>
            </w:r>
          </w:p>
          <w:p w14:paraId="7CF26C44">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请问MCU涨价的逻辑？</w:t>
            </w:r>
          </w:p>
          <w:p w14:paraId="6FE4F133">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答：价格是供求关系决定的，MCU需求增长速度超过了MCU产能增长速度，出现供不应求，所以出现涨价。当前，MCU的产能不但没有增长，可能还有负增长，其产能被存储等产品挤压。</w:t>
            </w:r>
          </w:p>
          <w:p w14:paraId="110230C2">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公司存储产品有销售了吗？</w:t>
            </w:r>
          </w:p>
          <w:p w14:paraId="4AE96F88">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答：我们自身研发的存储产品二季度开始出货，目前收入才到百万级范围，还很小。主要是产能有限，产品料号有限。</w:t>
            </w:r>
          </w:p>
          <w:p w14:paraId="7316DE8C">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上游交期变化？</w:t>
            </w:r>
          </w:p>
          <w:p w14:paraId="1381E951">
            <w:pPr>
              <w:keepNext w:val="0"/>
              <w:keepLines w:val="0"/>
              <w:pageBreakBefore w:val="0"/>
              <w:widowControl w:val="0"/>
              <w:numPr>
                <w:ilvl w:val="0"/>
                <w:numId w:val="0"/>
              </w:numPr>
              <w:kinsoku/>
              <w:wordWrap/>
              <w:overflowPunct/>
              <w:topLinePunct w:val="0"/>
              <w:bidi w:val="0"/>
              <w:adjustRightInd/>
              <w:snapToGrid/>
              <w:spacing w:line="360" w:lineRule="exact"/>
              <w:ind w:leftChars="200" w:right="0" w:righ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答：晶圆和封测交期都在拉长，平均拉长了1/2的交期。</w:t>
            </w:r>
          </w:p>
          <w:p w14:paraId="184AB52A">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公司如何解决产能不足的问题？</w:t>
            </w:r>
          </w:p>
          <w:p w14:paraId="04703D06">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答：公司将产能转移到更高制程扩大产能，同时寻求更多合作伙伴扩大产能。</w:t>
            </w:r>
          </w:p>
          <w:p w14:paraId="74BA8376">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公司收购珠海博雅，今年他的营收情况如何？</w:t>
            </w:r>
          </w:p>
          <w:p w14:paraId="06669A08">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答：目前公司仅仅占有珠海博雅21%的股份，是第二大股东。珠海博雅的产品为NOR Flash，今年他们营收增长很快，前五个月已经超过去年全年收入，同时毛利率大幅提高，实现了盈利。</w:t>
            </w:r>
          </w:p>
          <w:p w14:paraId="2B96D9ED">
            <w:pPr>
              <w:keepNext w:val="0"/>
              <w:keepLines w:val="0"/>
              <w:pageBreakBefore w:val="0"/>
              <w:widowControl w:val="0"/>
              <w:numPr>
                <w:ilvl w:val="0"/>
                <w:numId w:val="2"/>
              </w:numPr>
              <w:kinsoku/>
              <w:wordWrap/>
              <w:overflowPunct/>
              <w:topLinePunct w:val="0"/>
              <w:bidi w:val="0"/>
              <w:adjustRightInd/>
              <w:snapToGrid/>
              <w:spacing w:line="360" w:lineRule="exact"/>
              <w:ind w:left="0" w:leftChars="0"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8位和32位MCU的出货比例变化？</w:t>
            </w:r>
          </w:p>
          <w:p w14:paraId="2E5A71A9">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答：公司在2018年前全是8位产品，2019年32位产品实现营收，32位产品营收在持续扩大，去年32位产品营收占比超过1/3，目前32位机收入过4成。今年，随着M4的产品出货，单品价值提高，32位占比还会大幅提高。</w:t>
            </w:r>
          </w:p>
          <w:p w14:paraId="6F5F2706">
            <w:pPr>
              <w:keepNext w:val="0"/>
              <w:keepLines w:val="0"/>
              <w:pageBreakBefore w:val="0"/>
              <w:widowControl w:val="0"/>
              <w:numPr>
                <w:numId w:val="0"/>
              </w:numPr>
              <w:kinsoku/>
              <w:wordWrap/>
              <w:overflowPunct/>
              <w:topLinePunct w:val="0"/>
              <w:bidi w:val="0"/>
              <w:adjustRightInd/>
              <w:snapToGrid/>
              <w:spacing w:line="360" w:lineRule="exact"/>
              <w:ind w:leftChars="200" w:right="0" w:right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10.公司产品涨价幅度是否能覆盖上游涨价幅度？</w:t>
            </w:r>
          </w:p>
          <w:p w14:paraId="676C2B4D">
            <w:pPr>
              <w:keepNext w:val="0"/>
              <w:keepLines w:val="0"/>
              <w:pageBreakBefore w:val="0"/>
              <w:widowControl w:val="0"/>
              <w:numPr>
                <w:ilvl w:val="0"/>
                <w:numId w:val="0"/>
              </w:numPr>
              <w:kinsoku/>
              <w:wordWrap/>
              <w:overflowPunct/>
              <w:topLinePunct w:val="0"/>
              <w:bidi w:val="0"/>
              <w:adjustRightInd/>
              <w:snapToGrid/>
              <w:spacing w:line="360" w:lineRule="exact"/>
              <w:ind w:right="0" w:righ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答：涨价基本能覆盖上游涨价的。</w:t>
            </w:r>
          </w:p>
          <w:p w14:paraId="7500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bookmarkStart w:id="0" w:name="_GoBack"/>
            <w:bookmarkEnd w:id="0"/>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F66C6"/>
    <w:multiLevelType w:val="singleLevel"/>
    <w:tmpl w:val="E3BF66C6"/>
    <w:lvl w:ilvl="0" w:tentative="0">
      <w:start w:val="2"/>
      <w:numFmt w:val="decimal"/>
      <w:lvlText w:val="%1."/>
      <w:lvlJc w:val="left"/>
      <w:pPr>
        <w:tabs>
          <w:tab w:val="left" w:pos="312"/>
        </w:tabs>
      </w:pPr>
    </w:lvl>
  </w:abstractNum>
  <w:abstractNum w:abstractNumId="1">
    <w:nsid w:val="7580FB9B"/>
    <w:multiLevelType w:val="singleLevel"/>
    <w:tmpl w:val="7580FB9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4B97099"/>
    <w:rsid w:val="062260D2"/>
    <w:rsid w:val="06B7310D"/>
    <w:rsid w:val="0BCE5827"/>
    <w:rsid w:val="0C656B42"/>
    <w:rsid w:val="0DDA5BAA"/>
    <w:rsid w:val="0E561013"/>
    <w:rsid w:val="0E842633"/>
    <w:rsid w:val="103109BE"/>
    <w:rsid w:val="1047628F"/>
    <w:rsid w:val="10CC52F7"/>
    <w:rsid w:val="140D0007"/>
    <w:rsid w:val="144018FC"/>
    <w:rsid w:val="1BA42A8E"/>
    <w:rsid w:val="1D1A1BCA"/>
    <w:rsid w:val="1E491273"/>
    <w:rsid w:val="1E6B5B60"/>
    <w:rsid w:val="1F0D324E"/>
    <w:rsid w:val="1F1840BF"/>
    <w:rsid w:val="204505AD"/>
    <w:rsid w:val="20E85DAE"/>
    <w:rsid w:val="23EE6D8C"/>
    <w:rsid w:val="24E24D18"/>
    <w:rsid w:val="24EC5A02"/>
    <w:rsid w:val="26CB631A"/>
    <w:rsid w:val="275135B6"/>
    <w:rsid w:val="28064645"/>
    <w:rsid w:val="287034F4"/>
    <w:rsid w:val="29015BC3"/>
    <w:rsid w:val="296C29CE"/>
    <w:rsid w:val="2A9F5694"/>
    <w:rsid w:val="2B231C5D"/>
    <w:rsid w:val="2BD33847"/>
    <w:rsid w:val="2D600F4C"/>
    <w:rsid w:val="2DA05DE6"/>
    <w:rsid w:val="2E567099"/>
    <w:rsid w:val="2ED94800"/>
    <w:rsid w:val="2F9257C7"/>
    <w:rsid w:val="302C44F1"/>
    <w:rsid w:val="32954240"/>
    <w:rsid w:val="337066A2"/>
    <w:rsid w:val="33CF2630"/>
    <w:rsid w:val="36CF10AF"/>
    <w:rsid w:val="37B625EF"/>
    <w:rsid w:val="380A05F1"/>
    <w:rsid w:val="39F5707E"/>
    <w:rsid w:val="3A0A3E69"/>
    <w:rsid w:val="3B073DC4"/>
    <w:rsid w:val="3CC11A84"/>
    <w:rsid w:val="402D334F"/>
    <w:rsid w:val="417A669A"/>
    <w:rsid w:val="42417305"/>
    <w:rsid w:val="437368FD"/>
    <w:rsid w:val="44E37ACA"/>
    <w:rsid w:val="46DB063D"/>
    <w:rsid w:val="47D15AB6"/>
    <w:rsid w:val="4AB901BB"/>
    <w:rsid w:val="4F3A3B86"/>
    <w:rsid w:val="50374B15"/>
    <w:rsid w:val="51CD61A5"/>
    <w:rsid w:val="584529E7"/>
    <w:rsid w:val="58B36C53"/>
    <w:rsid w:val="58B91A1A"/>
    <w:rsid w:val="5C054669"/>
    <w:rsid w:val="5E056C86"/>
    <w:rsid w:val="61AB2679"/>
    <w:rsid w:val="61F66F1B"/>
    <w:rsid w:val="64360FA4"/>
    <w:rsid w:val="645218B2"/>
    <w:rsid w:val="64E10284"/>
    <w:rsid w:val="65864EAB"/>
    <w:rsid w:val="65AC0BA1"/>
    <w:rsid w:val="684E7F52"/>
    <w:rsid w:val="6860573C"/>
    <w:rsid w:val="69007D35"/>
    <w:rsid w:val="69814922"/>
    <w:rsid w:val="6A8F2D01"/>
    <w:rsid w:val="6AA221E0"/>
    <w:rsid w:val="6AFE35FB"/>
    <w:rsid w:val="6BF33738"/>
    <w:rsid w:val="6C060AF4"/>
    <w:rsid w:val="6E5114E1"/>
    <w:rsid w:val="6F441EB0"/>
    <w:rsid w:val="6F8659FF"/>
    <w:rsid w:val="6FC54D4C"/>
    <w:rsid w:val="70852816"/>
    <w:rsid w:val="73187DD2"/>
    <w:rsid w:val="78471C35"/>
    <w:rsid w:val="79213DD0"/>
    <w:rsid w:val="7A117945"/>
    <w:rsid w:val="7BC17493"/>
    <w:rsid w:val="7D2045FF"/>
    <w:rsid w:val="7DE07F06"/>
    <w:rsid w:val="7E652935"/>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1378</Words>
  <Characters>1490</Characters>
  <TotalTime>33</TotalTime>
  <ScaleCrop>false</ScaleCrop>
  <LinksUpToDate>false</LinksUpToDate>
  <CharactersWithSpaces>1706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ZYJ</cp:lastModifiedBy>
  <cp:lastPrinted>2022-09-29T09:35:00Z</cp:lastPrinted>
  <dcterms:modified xsi:type="dcterms:W3CDTF">2026-06-30T10:02:21Z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2052-12.1.0.26895</vt:lpwstr>
  </property>
  <property fmtid="{D5CDD505-2E9C-101B-9397-08002B2CF9AE}" pid="6" name="ICV">
    <vt:lpwstr>BCE091CECC0944B1BEC91BA6ED58B74A_13</vt:lpwstr>
  </property>
  <property fmtid="{D5CDD505-2E9C-101B-9397-08002B2CF9AE}" pid="7" name="KSOTemplateDocerSaveRecord">
    <vt:lpwstr>eyJoZGlkIjoiZTQ4ODQwNThiYTg4YTBlNDhkZDRmNGNiNWM5NWE1YzAiLCJ1c2VySWQiOiIyNDk3MTA2NDYifQ==</vt:lpwstr>
  </property>
</Properties>
</file>