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10501FCB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8C4715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95751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5998BF3F" w:rsidR="001C5186" w:rsidRDefault="00957511" w:rsidP="003E54D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20CAE810" w:rsidR="001C5186" w:rsidRDefault="00F42701" w:rsidP="003E54D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EC4ED2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3E54D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3E54DA">
            <w:pPr>
              <w:tabs>
                <w:tab w:val="left" w:pos="3045"/>
                <w:tab w:val="center" w:pos="3199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07C63A70" w:rsidR="00BF084E" w:rsidRPr="00410AAE" w:rsidRDefault="008C4715" w:rsidP="003E54DA">
            <w:pPr>
              <w:widowControl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东吴证券、中银基金、富国基金、</w:t>
            </w:r>
            <w:proofErr w:type="gramStart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国投瑞银</w:t>
            </w:r>
            <w:proofErr w:type="gramEnd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永赢基</w:t>
            </w:r>
            <w:proofErr w:type="gramEnd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金、博时基金、</w:t>
            </w:r>
            <w:proofErr w:type="gramStart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兴证全</w:t>
            </w:r>
            <w:proofErr w:type="gramEnd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球、招商基金、国金证券、野村证券资管、金元顺安、乐盈投资、伯兄资产、古木投资、中信资管、东方证券、</w:t>
            </w:r>
            <w:proofErr w:type="gramStart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工银瑞</w:t>
            </w:r>
            <w:proofErr w:type="gramEnd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信、明汯投资、天风证券、新华资产、宏利基金、泰康资产、人保养老、东方基金、新华基金、华福证券、</w:t>
            </w:r>
            <w:proofErr w:type="gramStart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中庚基</w:t>
            </w:r>
            <w:proofErr w:type="gramEnd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金、国联基金、杉树资产、国信自营、价值源基金、民沣基金、宝弘景基金、大成基金、弘毅远方、华宝基金、璟恒投资、上银基金、华西证券、</w:t>
            </w:r>
            <w:proofErr w:type="gramStart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浙商证</w:t>
            </w:r>
            <w:proofErr w:type="gramEnd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券、银河证券、中</w:t>
            </w:r>
            <w:proofErr w:type="gramStart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信建</w:t>
            </w:r>
            <w:proofErr w:type="gramEnd"/>
            <w:r w:rsidRPr="008C4715">
              <w:rPr>
                <w:rFonts w:ascii="宋体" w:eastAsia="宋体" w:hAnsi="宋体" w:cs="Times New Roman" w:hint="eastAsia"/>
                <w:sz w:val="24"/>
                <w:szCs w:val="24"/>
              </w:rPr>
              <w:t>投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076DAB0B" w:rsidR="004E372F" w:rsidRPr="00B014A9" w:rsidRDefault="008C4715" w:rsidP="003E54DA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 w:rsidR="0095751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22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23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25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29</w:t>
            </w:r>
            <w:r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  <w:r w:rsidR="00EC4ED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、6</w:t>
            </w:r>
            <w:r w:rsidR="00EC4ED2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EC4ED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30</w:t>
            </w:r>
            <w:r w:rsidR="00EC4ED2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35B98618" w:rsidR="001C5186" w:rsidRPr="00DF4FA8" w:rsidRDefault="00685B76" w:rsidP="003E54D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</w:t>
            </w:r>
            <w:r w:rsidR="00EC4ED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452B60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4166F4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7E1BCEFF" w:rsidR="004166F4" w:rsidRDefault="00EC4ED2" w:rsidP="003E54D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C4ED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董事长、总经理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2E362B0B" w:rsidR="004166F4" w:rsidRDefault="00EC4ED2" w:rsidP="003E54DA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C4ED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刘大涛</w:t>
            </w:r>
          </w:p>
        </w:tc>
      </w:tr>
      <w:tr w:rsidR="00633A9A" w14:paraId="6999DEEC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930B" w14:textId="77777777" w:rsidR="00633A9A" w:rsidRDefault="00633A9A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CFF7D" w14:textId="280E0A32" w:rsidR="00633A9A" w:rsidRPr="00EC4ED2" w:rsidRDefault="00633A9A" w:rsidP="003E54D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C4ED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董事、副总经理、财务负责人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226DE" w14:textId="3DA9EFD0" w:rsidR="00633A9A" w:rsidRPr="00EC4ED2" w:rsidRDefault="00633A9A" w:rsidP="003E54DA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C4ED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华俊</w:t>
            </w:r>
          </w:p>
        </w:tc>
      </w:tr>
      <w:tr w:rsidR="00EC4ED2" w14:paraId="57943092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A35C" w14:textId="77777777" w:rsidR="00EC4ED2" w:rsidRDefault="00EC4ED2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EB3D4" w14:textId="61251433" w:rsidR="00EC4ED2" w:rsidRDefault="00452B60" w:rsidP="003E54D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 w:rsidR="00EC4ED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5705C" w14:textId="75C06BE2" w:rsidR="00EC4ED2" w:rsidRDefault="00EC4ED2" w:rsidP="003E54DA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EC4ED2" w14:paraId="3B3440B9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8AA13" w14:textId="77777777" w:rsidR="00EC4ED2" w:rsidRDefault="00EC4ED2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1702C" w14:textId="67E5E520" w:rsidR="00EC4ED2" w:rsidRDefault="00EC4ED2" w:rsidP="003E54D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C4ED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1696" w14:textId="00F86C61" w:rsidR="00EC4ED2" w:rsidRDefault="00EC4ED2" w:rsidP="003E54DA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EC4ED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王鹤飞</w:t>
            </w:r>
            <w:proofErr w:type="gramEnd"/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3E54DA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3E54D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3E54DA">
            <w:pPr>
              <w:spacing w:line="36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4E5C3" w14:textId="1B977E13" w:rsidR="00EC4ED2" w:rsidRP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EC4ED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问：请问公司</w:t>
            </w:r>
            <w:r w:rsidRPr="00EC4E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2025</w:t>
            </w:r>
            <w:r w:rsidRPr="00EC4E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年度及</w:t>
            </w:r>
            <w:r w:rsidRPr="00EC4E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Pr="00EC4E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年一季度业绩情况如何？</w:t>
            </w:r>
          </w:p>
          <w:p w14:paraId="690F652B" w14:textId="6B3E506A" w:rsidR="00EC4ED2" w:rsidRP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C4ED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2025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年公司营业收入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6.63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亿元，同比增长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232%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，其中技术服务收入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4.09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亿元，同比增长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642%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，药品销售收入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2.5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亿元，同比增长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73%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年第一季度公司营业收入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1.28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亿元，同比增长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185%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，其中技术服务收入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4,292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万元，药品销售收入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8,435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万元，同比增长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89%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，维持较快增速。</w:t>
            </w:r>
          </w:p>
          <w:p w14:paraId="0EA9223A" w14:textId="77777777" w:rsidR="00EC4ED2" w:rsidRP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992CB5D" w14:textId="77777777" w:rsidR="00EC4ED2" w:rsidRP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EC4ED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</w:t>
            </w:r>
            <w:r w:rsidRPr="00EC4E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Pr="00EC4ED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年药品销售收入有何预期？</w:t>
            </w:r>
          </w:p>
          <w:p w14:paraId="7C45E701" w14:textId="5C060CC7" w:rsidR="00EC4ED2" w:rsidRP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C4ED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年公司国内商业化有四大看点：</w:t>
            </w:r>
            <w:r w:rsidRPr="00EC4ED2">
              <w:rPr>
                <w:rFonts w:ascii="宋体" w:eastAsia="宋体" w:hAnsi="宋体" w:cs="宋体" w:hint="eastAsia"/>
                <w:bCs/>
                <w:sz w:val="24"/>
                <w:szCs w:val="24"/>
              </w:rPr>
              <w:t>①</w:t>
            </w:r>
            <w:r w:rsidR="00150598" w:rsidRPr="00150598">
              <w:rPr>
                <w:rFonts w:ascii="宋体" w:eastAsia="宋体" w:hAnsi="宋体" w:cs="宋体" w:hint="eastAsia"/>
                <w:bCs/>
                <w:sz w:val="24"/>
                <w:szCs w:val="24"/>
              </w:rPr>
              <w:t>迈利舒</w:t>
            </w:r>
            <w:bookmarkStart w:id="1" w:name="OLE_LINK4"/>
            <w:bookmarkStart w:id="2" w:name="OLE_LINK5"/>
            <w:bookmarkStart w:id="3" w:name="OLE_LINK8"/>
            <w:r w:rsidR="00150598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bookmarkEnd w:id="1"/>
            <w:bookmarkEnd w:id="2"/>
            <w:bookmarkEnd w:id="3"/>
            <w:r w:rsidR="00150598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地</w:t>
            </w:r>
            <w:proofErr w:type="gramStart"/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舒单抗</w:t>
            </w:r>
            <w:bookmarkStart w:id="4" w:name="OLE_LINK6"/>
            <w:bookmarkStart w:id="5" w:name="OLE_LINK7"/>
            <w:bookmarkStart w:id="6" w:name="OLE_LINK1"/>
            <w:bookmarkStart w:id="7" w:name="OLE_LINK3"/>
            <w:r w:rsidR="0015059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生物类似药</w:t>
            </w:r>
            <w:bookmarkEnd w:id="4"/>
            <w:bookmarkEnd w:id="5"/>
            <w:proofErr w:type="gramEnd"/>
            <w:r w:rsidR="0015059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15059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</w:t>
            </w:r>
            <w:r w:rsidR="0015059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0mg</w:t>
            </w:r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bookmarkEnd w:id="6"/>
            <w:bookmarkEnd w:id="7"/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骨质疏松适应症持续放量；</w:t>
            </w:r>
            <w:r w:rsidRPr="00EC4ED2">
              <w:rPr>
                <w:rFonts w:ascii="宋体" w:eastAsia="宋体" w:hAnsi="宋体" w:cs="宋体" w:hint="eastAsia"/>
                <w:bCs/>
                <w:sz w:val="24"/>
                <w:szCs w:val="24"/>
              </w:rPr>
              <w:t>②</w:t>
            </w:r>
            <w:proofErr w:type="gramStart"/>
            <w:r w:rsidR="00540E63" w:rsidRPr="00540E63">
              <w:rPr>
                <w:rFonts w:ascii="宋体" w:eastAsia="宋体" w:hAnsi="宋体" w:cs="宋体" w:hint="eastAsia"/>
                <w:bCs/>
                <w:sz w:val="24"/>
                <w:szCs w:val="24"/>
              </w:rPr>
              <w:t>迈卫健</w:t>
            </w:r>
            <w:proofErr w:type="gramEnd"/>
            <w:r w:rsidR="00540E63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="00540E63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地</w:t>
            </w:r>
            <w:proofErr w:type="gramStart"/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舒单抗</w:t>
            </w:r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生物类似</w:t>
            </w:r>
            <w:proofErr w:type="gramEnd"/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药，</w:t>
            </w:r>
            <w:r w:rsidR="00540E6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120mg</w:t>
            </w:r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骨转移适应症补充申请已获批，作为国内第一梯队上市的</w:t>
            </w:r>
            <w:r w:rsidR="00540E63" w:rsidRP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安</w:t>
            </w:r>
            <w:r w:rsidR="006C307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</w:t>
            </w:r>
            <w:r w:rsidR="00540E63" w:rsidRP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维</w:t>
            </w:r>
            <w:r w:rsidR="00540E63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生物类似药，具备明显的先发优势；</w:t>
            </w:r>
            <w:r w:rsidRPr="00EC4ED2">
              <w:rPr>
                <w:rFonts w:ascii="宋体" w:eastAsia="宋体" w:hAnsi="宋体" w:cs="宋体" w:hint="eastAsia"/>
                <w:bCs/>
                <w:sz w:val="24"/>
                <w:szCs w:val="24"/>
              </w:rPr>
              <w:t>③</w:t>
            </w:r>
            <w:proofErr w:type="gramStart"/>
            <w:r w:rsidR="00540E63" w:rsidRPr="00540E63">
              <w:rPr>
                <w:rFonts w:ascii="宋体" w:eastAsia="宋体" w:hAnsi="宋体" w:cs="宋体" w:hint="eastAsia"/>
                <w:bCs/>
                <w:sz w:val="24"/>
                <w:szCs w:val="24"/>
              </w:rPr>
              <w:t>君迈康</w:t>
            </w:r>
            <w:proofErr w:type="gramEnd"/>
            <w:r w:rsidR="00540E63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="00540E63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阿达</w:t>
            </w:r>
            <w:proofErr w:type="gramStart"/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木单抗</w:t>
            </w:r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生物类似</w:t>
            </w:r>
            <w:proofErr w:type="gramEnd"/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药）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MAH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完成变更后首个完整年度，收入完全计入公司报表；</w:t>
            </w:r>
            <w:r w:rsidRPr="00EC4ED2">
              <w:rPr>
                <w:rFonts w:ascii="宋体" w:eastAsia="宋体" w:hAnsi="宋体" w:cs="宋体" w:hint="eastAsia"/>
                <w:bCs/>
                <w:sz w:val="24"/>
                <w:szCs w:val="24"/>
              </w:rPr>
              <w:t>④</w:t>
            </w:r>
            <w:proofErr w:type="gramStart"/>
            <w:r w:rsidR="00150598" w:rsidRPr="00150598">
              <w:rPr>
                <w:rFonts w:ascii="宋体" w:eastAsia="宋体" w:hAnsi="宋体" w:cs="宋体" w:hint="eastAsia"/>
                <w:bCs/>
                <w:sz w:val="24"/>
                <w:szCs w:val="24"/>
              </w:rPr>
              <w:t>迈粒生</w:t>
            </w:r>
            <w:proofErr w:type="gramEnd"/>
            <w:r w:rsidR="00150598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="00150598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新一代长效升白药</w:t>
            </w:r>
            <w:r w:rsidR="00150598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）于</w:t>
            </w:r>
            <w:r w:rsidR="00150598" w:rsidRPr="00AC4021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2025</w:t>
            </w:r>
            <w:r w:rsidR="00150598"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获批上市并纳入国家医保目录，将获得齐鲁制药销售分成。其中，后三项均是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年新增的看点，预计</w:t>
            </w:r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维持较快增速。</w:t>
            </w:r>
          </w:p>
          <w:p w14:paraId="699BDDC3" w14:textId="77777777" w:rsid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0360355" w14:textId="20BC0F18" w:rsidR="00962322" w:rsidRPr="000451CF" w:rsidRDefault="009C1A28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B8617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公司在</w:t>
            </w:r>
            <w:r w:rsidR="00B86170" w:rsidRPr="00B8617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 ESMO</w:t>
            </w:r>
            <w:r w:rsidR="00B86170" w:rsidRPr="00B8617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妇科肿瘤学年会</w:t>
            </w:r>
            <w:r w:rsidR="00B8097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临床数据披露情况</w:t>
            </w:r>
            <w:r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6DEB509" w14:textId="274DB42F" w:rsidR="009C1A28" w:rsidRPr="008852F7" w:rsidRDefault="0096232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8852F7" w:rsidRPr="008852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</w:t>
            </w:r>
            <w:r w:rsidR="004001D7" w:rsidRPr="004001D7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540E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4001D7" w:rsidRPr="004001D7">
              <w:rPr>
                <w:rFonts w:ascii="Times New Roman" w:eastAsia="宋体" w:hAnsi="Times New Roman" w:cs="Times New Roman"/>
                <w:sz w:val="24"/>
                <w:szCs w:val="24"/>
              </w:rPr>
              <w:t>欧洲肿瘤内科学会妇科肿瘤学年会</w:t>
            </w:r>
            <w:r w:rsidR="00403C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公布了</w:t>
            </w:r>
            <w:r w:rsidR="00403C37" w:rsidRPr="00403C37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403C37" w:rsidRPr="00403C3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403C37" w:rsidRPr="00403C37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="00403C37" w:rsidRPr="00403C37">
              <w:rPr>
                <w:rFonts w:ascii="Times New Roman" w:eastAsia="宋体" w:hAnsi="Times New Roman" w:cs="Times New Roman"/>
                <w:sz w:val="24"/>
                <w:szCs w:val="24"/>
              </w:rPr>
              <w:t>）治疗宫颈癌的两项最新临床成果</w:t>
            </w:r>
            <w:r w:rsidR="00403C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8852F7" w:rsidRPr="008852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其中：</w:t>
            </w:r>
          </w:p>
          <w:p w14:paraId="21317752" w14:textId="7DA5C251" w:rsidR="005F57AD" w:rsidRDefault="008852F7" w:rsidP="003E54D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以口头报告形式公布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用于治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疗复发性或转移性宫颈癌患者的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期临床研究的最新结果：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截至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日，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53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例可评估疗效的患者经确认的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ORR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cORR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）和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疾病控制率（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DCR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）分别为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32.08%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81.13%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。中位无疾病进展生存期（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mPFS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和中位缓解持续时间（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mDOR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）为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3.9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个月和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5.98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个月。</w:t>
            </w:r>
            <w:proofErr w:type="gram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中位总生存期</w:t>
            </w:r>
            <w:proofErr w:type="gram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mOS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19.4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个月。经过</w:t>
            </w:r>
            <w:proofErr w:type="gram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含铂双药</w:t>
            </w:r>
            <w:proofErr w:type="gram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化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疗和免疫检验点抑制剂治疗的患者中，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31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例可评估疗效的患者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cORR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DCR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29.00%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77.40%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mPFS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mDOR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分别为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4.0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个月和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9.1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个月，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mOS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尚未达到。本次随访期间未观察到新的安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全性信号。</w:t>
            </w:r>
          </w:p>
          <w:p w14:paraId="50B9C62D" w14:textId="3A8C50C5" w:rsidR="008852F7" w:rsidRPr="009C1A28" w:rsidRDefault="008852F7" w:rsidP="003E54D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以壁报形式公布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联合特瑞普利单抗</w:t>
            </w:r>
            <w:r w:rsidR="005F57AD" w:rsidRPr="005F57A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治疗复发性或转移性宫颈癌患者的</w:t>
            </w:r>
            <w:proofErr w:type="spellStart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proofErr w:type="spellEnd"/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/II</w:t>
            </w:r>
            <w:r w:rsidR="005F57AD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期临床研究中一个队列的初步结果：</w:t>
            </w:r>
            <w:r w:rsidR="00B07678" w:rsidRPr="00B076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截至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日，该研究队列共入组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例患者接受</w:t>
            </w:r>
            <w:r w:rsidR="00B07678" w:rsidRPr="005F57AD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联合特瑞普</w:t>
            </w:r>
            <w:r w:rsidR="00B07678" w:rsidRPr="00B076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利单抗治疗，其中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例为既往经治，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例为初治患者。在初治患</w:t>
            </w:r>
            <w:r w:rsidR="00B07678" w:rsidRPr="00B076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者中，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ORR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达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80.0%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8/10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），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DCR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100%</w:t>
            </w:r>
            <w:r w:rsidR="00B076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显示出更优的疗效趋势。治疗相关不良事件（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TRAE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B07678" w:rsidRPr="00B076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1-2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级为主，整体未发现新的安全性信号。研究结果初步展现了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Nectin-4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靶向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联合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PD-1</w:t>
            </w:r>
            <w:r w:rsidR="00B07678" w:rsidRPr="00B07678">
              <w:rPr>
                <w:rFonts w:ascii="Times New Roman" w:eastAsia="宋体" w:hAnsi="Times New Roman" w:cs="Times New Roman"/>
                <w:sz w:val="24"/>
                <w:szCs w:val="24"/>
              </w:rPr>
              <w:t>抑制剂在宫颈癌治疗中的协同作用，也有望为复发或转移性宫颈</w:t>
            </w:r>
            <w:r w:rsidR="00B07678" w:rsidRPr="00B0767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癌患者开辟全新的一线治疗路径。</w:t>
            </w:r>
          </w:p>
          <w:p w14:paraId="31241863" w14:textId="6F2518FD" w:rsidR="00295DF4" w:rsidRDefault="00295DF4" w:rsidP="003E54D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="008A41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A41F4" w:rsidRPr="008852F7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正在尿路上皮癌、宫颈癌、食管癌、乳腺癌等多个适应症开展多项临床研究，入组逾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2,000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例受试者，其中：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）四项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proofErr w:type="gramStart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期关键</w:t>
            </w:r>
            <w:proofErr w:type="gramEnd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注册临床正在开展，包括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单药疗法和联合疗法（先后被纳入突破</w:t>
            </w: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性治疗品种名单）、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单药疗法（全球首</w:t>
            </w:r>
            <w:proofErr w:type="gramStart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款进</w:t>
            </w:r>
            <w:proofErr w:type="gramEnd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入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期临床研究的同靶点药物）、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单药疗法（拓扑异构酶抑制剂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经治）（全球同</w:t>
            </w:r>
            <w:r w:rsidR="004642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适应症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首款）；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）多项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期临床正在快速开展，包括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单药疗法（拓扑异构酶抑制剂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经治）</w:t>
            </w: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美国处于临床</w:t>
            </w:r>
            <w:proofErr w:type="spellStart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proofErr w:type="spellEnd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期，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联合疗法处于临床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期；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proofErr w:type="gramStart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围手术期联合</w:t>
            </w:r>
            <w:proofErr w:type="gramEnd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疗法处于</w:t>
            </w: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期；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联合疗法处于临床</w:t>
            </w:r>
            <w:proofErr w:type="spellStart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proofErr w:type="spellEnd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/II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期；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联合疗</w:t>
            </w: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法处于</w:t>
            </w:r>
            <w:r w:rsidR="00633A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</w:t>
            </w:r>
            <w:proofErr w:type="spellStart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proofErr w:type="spellEnd"/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/II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期。该项目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单药疗法、联合疗法和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单药疗法的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期临床试</w:t>
            </w: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验计划于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年进行期中分析，并有望根据期中分析数据向国家药品监督管理</w:t>
            </w:r>
            <w:r w:rsidRPr="00295D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局药品审评中心提交新药上市申请前会议</w:t>
            </w:r>
            <w:r w:rsidRPr="00295DF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798AF22" w14:textId="47837B60" w:rsidR="001F203D" w:rsidRDefault="001F203D" w:rsidP="003E54DA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据弗若斯特沙利文等研究分析，至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2032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年全球及中国的新发</w:t>
            </w:r>
            <w:r w:rsidRPr="00A12C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患者人群分别为：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70.1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10.9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万）、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80.1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16.1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万）、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40.6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6.0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万）、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66.3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万，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26.9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万），</w:t>
            </w:r>
            <w:r w:rsidRPr="003825B5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Pr="003825B5">
              <w:rPr>
                <w:rFonts w:ascii="Times New Roman" w:eastAsia="宋体" w:hAnsi="Times New Roman" w:cs="Times New Roman"/>
                <w:sz w:val="24"/>
                <w:szCs w:val="24"/>
              </w:rPr>
              <w:t>进度全球领先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3825B5">
              <w:rPr>
                <w:rFonts w:ascii="Times New Roman" w:eastAsia="宋体" w:hAnsi="Times New Roman" w:cs="Times New Roman"/>
                <w:sz w:val="24"/>
                <w:szCs w:val="24"/>
              </w:rPr>
              <w:t>具备泛适应症应用潜力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A12C88">
              <w:rPr>
                <w:rFonts w:ascii="Times New Roman" w:eastAsia="宋体" w:hAnsi="Times New Roman" w:cs="Times New Roman"/>
                <w:sz w:val="24"/>
                <w:szCs w:val="24"/>
              </w:rPr>
              <w:t>未来应用前景广阔。</w:t>
            </w:r>
          </w:p>
          <w:p w14:paraId="2FB3F2E4" w14:textId="426F4E9C" w:rsidR="00295DF4" w:rsidRDefault="00295DF4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3B5F83E" w14:textId="77777777" w:rsidR="00EC4ED2" w:rsidRP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EC4ED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问：公司在免疫炎症方向有哪些产品布局？目前研发的进展怎样？</w:t>
            </w:r>
          </w:p>
          <w:p w14:paraId="4327966F" w14:textId="182A1B0C" w:rsidR="00EC4ED2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C4ED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Pr="00EC4E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公司坚持源头创新，在肿瘤及年龄相关疾病领域深耕，聚焦肿瘤、免疫炎症等方向，建立相应技术平台，推进创新品种临床。在免</w:t>
            </w:r>
            <w:r w:rsidRPr="00EC4E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疫炎症方向，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9MW1911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ST2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单抗）全球同靶点进度第二，能覆盖更广泛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COPD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患者人群，已启动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IIb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期临床患者入组，计划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年下半年开展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IIb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期期中分析，年底前后启动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III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期临床试验。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是慢性炎症和纤维化相关的细胞因子，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单抗）已与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Calico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合作，开发抗衰老相关的临床，国内针对病理性瘢痕适应症推进至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期临床，已经于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2025</w:t>
            </w:r>
            <w:r w:rsidRPr="00EC4E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年底完成首例患者入组。此外，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9MW5211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注射液用于炎症性肠病（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IBD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）适应症的临床试验申请已获得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FDA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许可，用于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IBD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和多发性硬化（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MS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）等适应症的临床试验申请已获</w:t>
            </w:r>
            <w:r w:rsidR="004642D7" w:rsidRPr="004642D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国家药品监督管理局</w:t>
            </w:r>
            <w:r w:rsidRPr="00EC4ED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批准，是全球同靶点首个进入临床阶段的候选药物。</w:t>
            </w:r>
          </w:p>
          <w:p w14:paraId="21BB4DEC" w14:textId="77777777" w:rsidR="00EC4ED2" w:rsidRPr="004642D7" w:rsidRDefault="00EC4ED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0440EF0F" w14:textId="116043AA" w:rsidR="00E22C85" w:rsidRPr="000451CF" w:rsidRDefault="00E22C85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080534" w:rsidRPr="0008053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能否详细介绍一下</w:t>
            </w:r>
            <w:proofErr w:type="gramStart"/>
            <w:r w:rsidR="00080534" w:rsidRPr="0008053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自免</w:t>
            </w:r>
            <w:proofErr w:type="gramEnd"/>
            <w:r w:rsidR="00080534" w:rsidRPr="0008053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新品种</w:t>
            </w:r>
            <w:r w:rsidR="00080534" w:rsidRPr="0008053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9MW5211</w:t>
            </w:r>
            <w:r w:rsidR="00080534" w:rsidRPr="0008053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的情况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438AB84A" w14:textId="312CFC86" w:rsidR="00F65913" w:rsidRDefault="00E22C85" w:rsidP="003E54DA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320F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320F1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026</w:t>
            </w:r>
            <w:r w:rsidR="00320F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</w:t>
            </w:r>
            <w:r w:rsid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月，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9MW5211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注射液用于炎症性肠病（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IBD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）适应症的临床试</w:t>
            </w:r>
            <w:r w:rsidR="00F65913"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验申请正式获得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FDA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许可</w:t>
            </w:r>
            <w:r w:rsid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132B5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026</w:t>
            </w:r>
            <w:r w:rsid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</w:t>
            </w:r>
            <w:r w:rsid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月，</w:t>
            </w:r>
            <w:r w:rsidR="00132B54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9MW5211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用于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IBD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和多发性硬化（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MS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  <w:r w:rsid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等</w:t>
            </w:r>
            <w:r w:rsidR="00F65913"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适</w:t>
            </w:r>
            <w:r w:rsidR="00F65913"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应症的临床试验</w:t>
            </w:r>
            <w:r w:rsid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相继</w:t>
            </w:r>
            <w:r w:rsidR="00132B54" w:rsidRP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获得国家药品监督管理局</w:t>
            </w:r>
            <w:r w:rsidR="00132B54" w:rsidRPr="00132B5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批准</w:t>
            </w:r>
            <w:r w:rsidR="00F65913"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，公司亦在积极推进其他适应症临床试验申请工作。</w:t>
            </w:r>
          </w:p>
          <w:p w14:paraId="4F6609C7" w14:textId="0C50001F" w:rsidR="00F65913" w:rsidRDefault="00F65913" w:rsidP="003E54D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9MW5211</w:t>
            </w:r>
            <w:r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是公司自主研发的一种高度特异性的清除型创新抗体，</w:t>
            </w:r>
            <w:proofErr w:type="gramStart"/>
            <w:r w:rsidR="00B067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其</w:t>
            </w:r>
            <w:r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靶向</w:t>
            </w:r>
            <w:proofErr w:type="gramEnd"/>
            <w:r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的分子在致病性免疫细胞表面特异性表达，</w:t>
            </w:r>
            <w:r w:rsidR="00132B54" w:rsidRPr="00132B5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是这些细胞异常活化的重要生物学标志。</w:t>
            </w:r>
            <w:r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通过选择性识别并清除这群致病性细胞，</w:t>
            </w:r>
            <w:r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9MW5211</w:t>
            </w:r>
            <w:r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可有效阻断免疫级</w:t>
            </w:r>
            <w:r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联反应，进而缓解疾病进展并改善临床症状。临床前研究结果显示，</w:t>
            </w:r>
            <w:r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9MW5211</w:t>
            </w:r>
            <w:r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在多种小鼠自身免疫疾病模型中均表现出</w:t>
            </w:r>
            <w:r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显著的治疗潜力，未来临床应用有望涵盖多个大适应症</w:t>
            </w:r>
            <w:r w:rsidR="00B067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同时，在食蟹猴模型中开展的安全性评估显示其具备良好的安全性特征。作为全球首个靶向该分子的临床阶段候选药物，</w:t>
            </w:r>
            <w:r w:rsidRPr="00F6591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9MW5211</w:t>
            </w:r>
            <w:r w:rsidRPr="00F6591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有望开启自身免疫疾病精准治疗的新篇章。</w:t>
            </w:r>
          </w:p>
          <w:p w14:paraId="357A0D62" w14:textId="18FD75B2" w:rsidR="00F65913" w:rsidRDefault="00F65913" w:rsidP="003E54DA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8BDA502" w14:textId="5DB2AA83" w:rsidR="00BD2052" w:rsidRPr="000451CF" w:rsidRDefault="00BD2052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1F2D8E" w:rsidRPr="001F2D8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LILRB4/CD3</w:t>
            </w:r>
            <w:r w:rsidR="001F2D8E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TCE</w:t>
            </w:r>
            <w:proofErr w:type="gramStart"/>
            <w:r w:rsidR="001F2D8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双抗临床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进展情况</w:t>
            </w:r>
            <w:r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7E702041" w14:textId="1349B3E3" w:rsidR="00BD2052" w:rsidRPr="00637334" w:rsidRDefault="00BD2052" w:rsidP="003E54D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1F2D8E" w:rsidRPr="001F2D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026</w:t>
            </w:r>
            <w:r w:rsidR="001F2D8E" w:rsidRPr="001F2D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1F2D8E" w:rsidRPr="001F2D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</w:t>
            </w:r>
            <w:r w:rsidR="001F2D8E" w:rsidRPr="001F2D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月，公司自主研发的靶向</w:t>
            </w:r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LILRB4/CD3 TCE</w:t>
            </w:r>
            <w:proofErr w:type="gramStart"/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双抗创新药</w:t>
            </w:r>
            <w:proofErr w:type="gramEnd"/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（研发代号：</w:t>
            </w:r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  <w:r w:rsidR="001F2D8E" w:rsidRPr="001F2D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相继</w:t>
            </w:r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获得</w:t>
            </w:r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FDA</w:t>
            </w:r>
            <w:r w:rsidR="00347F1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许可</w:t>
            </w:r>
            <w:r w:rsidR="001F2D8E" w:rsidRPr="001F2D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以及国家药品监督管</w:t>
            </w:r>
            <w:r w:rsidR="001F2D8E" w:rsidRPr="001F2D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理局</w:t>
            </w:r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批准，针对血液瘤（</w:t>
            </w:r>
            <w:proofErr w:type="gramStart"/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急性髓系白血</w:t>
            </w:r>
            <w:proofErr w:type="gramEnd"/>
            <w:r w:rsidR="001F2D8E" w:rsidRPr="001F2D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病、慢性粒单核细胞白血病以及多发性骨髓瘤）开展临床试验</w:t>
            </w:r>
            <w:r w:rsidR="0054514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，是</w:t>
            </w:r>
            <w:r w:rsidR="0054514B" w:rsidRPr="0054514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全球首</w:t>
            </w:r>
            <w:proofErr w:type="gramStart"/>
            <w:r w:rsidR="0054514B" w:rsidRPr="0054514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款获批开</w:t>
            </w:r>
            <w:proofErr w:type="gramEnd"/>
            <w:r w:rsidR="0054514B" w:rsidRPr="0054514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展临床试验的靶向</w:t>
            </w:r>
            <w:r w:rsidR="0054514B" w:rsidRPr="0054514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LILRB4/CD3</w:t>
            </w:r>
            <w:r w:rsidR="0054514B" w:rsidRPr="0054514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</w:t>
            </w:r>
            <w:r w:rsidR="0054514B" w:rsidRPr="0054514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r w:rsidR="0054514B" w:rsidRPr="0054514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创新药</w:t>
            </w:r>
            <w:r w:rsidR="0054514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E98F43F" w14:textId="3C404F3B" w:rsidR="00BD2052" w:rsidRPr="00BD2052" w:rsidRDefault="00BD2052" w:rsidP="003E54D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6MW5311</w:t>
            </w: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是公司自主研发的一款靶向</w:t>
            </w: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CD3</w:t>
            </w: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LILRB4</w:t>
            </w: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TCE</w:t>
            </w:r>
            <w:r w:rsidRPr="00637334">
              <w:rPr>
                <w:rFonts w:ascii="Times New Roman" w:eastAsia="宋体" w:hAnsi="Times New Roman" w:cs="Times New Roman"/>
                <w:sz w:val="24"/>
                <w:szCs w:val="24"/>
              </w:rPr>
              <w:t>双抗，</w:t>
            </w:r>
            <w:r w:rsidRPr="00575A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通过桥接肿瘤细胞与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细胞形成免疫突触，激活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细胞并高效杀伤肿瘤。该分子通过引入独特的空间位阻结构设计，显著降低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CD3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抗体在无肿瘤细胞环境下对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细胞的结合活性，仅在肿瘤细胞存在时特异性激活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细胞，从而在增强抗肿瘤疗效的同时大幅提升安全性。体外研究结果显示，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6MW5311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对多个肿瘤细胞系及患者来源的样本均表现出强效的杀伤活性。体内药效学研究表明</w:t>
            </w:r>
            <w:r w:rsidR="006727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在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LILRB4</w:t>
            </w:r>
            <w:proofErr w:type="gramStart"/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高表达</w:t>
            </w:r>
            <w:proofErr w:type="gramEnd"/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及低表达的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AML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肿瘤模型中，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6MW5311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均显示出明确的肿瘤抑制作用，尤其在</w:t>
            </w:r>
            <w:proofErr w:type="gramStart"/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高表</w:t>
            </w:r>
            <w:proofErr w:type="gramEnd"/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达模型中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几乎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实现肿瘤完全清除。此外，在食蟹猴安全性评价模型中，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6MW5311</w:t>
            </w:r>
            <w:r w:rsidRPr="00575AD3">
              <w:rPr>
                <w:rFonts w:ascii="Times New Roman" w:eastAsia="宋体" w:hAnsi="Times New Roman" w:cs="Times New Roman"/>
                <w:sz w:val="24"/>
                <w:szCs w:val="24"/>
              </w:rPr>
              <w:t>表现出良好的安全性特征。</w:t>
            </w:r>
          </w:p>
          <w:p w14:paraId="70146042" w14:textId="77777777" w:rsidR="00BD2052" w:rsidRDefault="00BD2052" w:rsidP="003E54DA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7159C0B" w14:textId="12A1F90D" w:rsidR="00B0673B" w:rsidRPr="000451CF" w:rsidRDefault="00B0673B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CD2C2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CD2C26" w:rsidRPr="00CD2C2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TMPRSS6</w:t>
            </w:r>
            <w:r w:rsidR="00CD2C26" w:rsidRPr="00CD2C2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单抗</w:t>
            </w:r>
            <w:r w:rsidR="00CD2C2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临床数据更新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13519FEC" w14:textId="1EC2BDE4" w:rsidR="00CD2C26" w:rsidRDefault="00B0673B" w:rsidP="003E54D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</w:t>
            </w:r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月，公司在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欧洲血液学协会（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EHA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）年会公布了自主研发的抗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TMPRSS6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</w:t>
            </w:r>
            <w:proofErr w:type="gramStart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抗创新药</w:t>
            </w:r>
            <w:proofErr w:type="gramEnd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（研发代号：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9MW3011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）用于真性红细胞增多症（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PV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）患者的</w:t>
            </w:r>
            <w:proofErr w:type="spellStart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Ib</w:t>
            </w:r>
            <w:proofErr w:type="spellEnd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期临床数据。</w:t>
            </w:r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研究共入组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25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例试验参与者</w:t>
            </w:r>
            <w:r w:rsid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通过试验参与者达到无降细胞治疗状态（即无需进行降细胞干预治疗，如使用羟基</w:t>
            </w:r>
            <w:proofErr w:type="gramStart"/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脲</w:t>
            </w:r>
            <w:proofErr w:type="gramEnd"/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和干扰素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-α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）的时长和比例来评估其初步有效性。结果显示，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150mg Q4W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150mg Q2W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和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300mg Q4W</w:t>
            </w:r>
            <w:proofErr w:type="gramStart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组试验</w:t>
            </w:r>
            <w:proofErr w:type="gramEnd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参与者的中位无降细胞治疗时长分别达到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120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天、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139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天和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197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天，随剂量增加而延长；达到无降细胞治疗时长的参与者比例分别为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43%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、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57%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和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83%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proofErr w:type="gramStart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随药物</w:t>
            </w:r>
            <w:proofErr w:type="gramEnd"/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暴露水平升高而增加</w:t>
            </w:r>
            <w:r w:rsid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表明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9MW3011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有潜力延长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PV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患者的无降细胞治疗时长，从而减少降细胞治疗相关不良反应，改善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PV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患者</w:t>
            </w:r>
            <w:r w:rsidR="00CD2C26" w:rsidRPr="00CD2C2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的生存获益。</w:t>
            </w:r>
            <w:r w:rsidR="00405E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此外，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结果显示安全性耐受性良好，最常见不良反应为实验室检查异常（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1-2</w:t>
            </w:r>
            <w:r w:rsidR="00CD2C26" w:rsidRPr="00CD2C2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级），未报告死亡或严重不良反应。</w:t>
            </w:r>
          </w:p>
          <w:p w14:paraId="15A7B1AA" w14:textId="1BC8A2DA" w:rsidR="00540E63" w:rsidRDefault="00CD2C26" w:rsidP="003E54D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9MW3011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全球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首个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用于真性红细胞增多症（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PV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）治疗的靶向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TMPRSS6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单抗，大中华区和东南亚以外所有区域的临床开发，由公司的合作伙伴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DISC MEDICINE,INC.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全面推进并已先后获得美国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FDA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授予</w:t>
            </w:r>
            <w:r w:rsidRPr="006C307D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6C307D">
              <w:rPr>
                <w:rFonts w:ascii="宋体" w:eastAsia="宋体" w:hAnsi="宋体" w:cs="Times New Roman" w:hint="eastAsia"/>
                <w:sz w:val="24"/>
                <w:szCs w:val="24"/>
              </w:rPr>
              <w:t>快速通道认定</w:t>
            </w:r>
            <w:r w:rsidRPr="006C307D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FTD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）和</w:t>
            </w:r>
            <w:r w:rsidRPr="006C307D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6C307D">
              <w:rPr>
                <w:rFonts w:ascii="宋体" w:eastAsia="宋体" w:hAnsi="宋体" w:cs="Times New Roman" w:hint="eastAsia"/>
                <w:sz w:val="24"/>
                <w:szCs w:val="24"/>
              </w:rPr>
              <w:t>孤儿药资格认定</w:t>
            </w:r>
            <w:r w:rsidRPr="006C307D">
              <w:rPr>
                <w:rFonts w:ascii="宋体" w:eastAsia="宋体" w:hAnsi="宋体" w:cs="Times New Roman"/>
                <w:sz w:val="24"/>
                <w:szCs w:val="24"/>
              </w:rPr>
              <w:t>”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ODD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），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美国针对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PV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适应症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的临床处于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期阶段，</w:t>
            </w:r>
            <w:r w:rsidR="00405E8E"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DISC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405E8E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年第四季度获得美国初步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期数据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FE7267A" w14:textId="4FC1E55E" w:rsidR="005476B9" w:rsidRDefault="00CD2C26" w:rsidP="003E54D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9MW3011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通过调控该通路上游信号从而上调内源性铁调素的表达</w:t>
            </w:r>
            <w:r w:rsid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可能带来更符合生理机制的铁调节效果。此外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9MW3011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现有数据可支持每四周一次给药，具有更好的便利性，特别适用长期给药，能提高患者的依从性。</w:t>
            </w:r>
            <w:r w:rsidRPr="00CD2C26">
              <w:rPr>
                <w:rFonts w:ascii="Times New Roman" w:eastAsia="宋体" w:hAnsi="Times New Roman" w:cs="Times New Roman"/>
                <w:sz w:val="24"/>
                <w:szCs w:val="24"/>
              </w:rPr>
              <w:t>9MW3011</w:t>
            </w:r>
            <w:r w:rsidRPr="00CD2C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有望成为全球范围内领先的调节体内铁稳态的大分子药物。</w:t>
            </w:r>
          </w:p>
          <w:p w14:paraId="72469E47" w14:textId="77777777" w:rsidR="00080534" w:rsidRDefault="00080534" w:rsidP="003E54D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E1FBE4D" w14:textId="5E4079DF" w:rsidR="004E327C" w:rsidRPr="000451CF" w:rsidRDefault="004E327C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82409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405E8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眼科产品有哪些布局，近期有哪些进展</w:t>
            </w:r>
            <w:r w:rsidRPr="009C1A2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6D0684C0" w14:textId="0CEF3204" w:rsidR="004E327C" w:rsidRDefault="004E327C" w:rsidP="003E54D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405E8E" w:rsidRPr="00405E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05E8E" w:rsidRPr="00405E8E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026</w:t>
            </w:r>
            <w:r w:rsidR="00405E8E" w:rsidRPr="00405E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05E8E" w:rsidRPr="00405E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6</w:t>
            </w:r>
            <w:r w:rsidR="00405E8E" w:rsidRPr="00405E8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月，公司</w:t>
            </w:r>
            <w:r w:rsidR="00405E8E" w:rsidRP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控股子公司迈威视（上海）生物科技有限公司（以下简称“迈威视”）亮相</w:t>
            </w:r>
            <w:r w:rsidR="00405E8E"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Retina China 2026</w:t>
            </w:r>
            <w:r w:rsidR="00405E8E"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，在大会上报告了两项临床结果，并宣布建立眼科创新生态合作。</w:t>
            </w:r>
          </w:p>
          <w:p w14:paraId="089FB16A" w14:textId="3055F1CD" w:rsidR="00405E8E" w:rsidRPr="00405E8E" w:rsidRDefault="00405E8E" w:rsidP="003E54D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其中，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9MW0813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540E63" w:rsidRPr="00540E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艾力雅</w:t>
            </w:r>
            <w:r w:rsidR="00540E63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="00540E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阿柏西普生物类似药）针对糖尿病性黄斑水肿（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DME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）的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期临床研究结果由首都医科大学附属北京同仁医院魏文斌教授报告。研究结果表明，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DME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患者中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9MW0813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2mg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）和艾力雅</w:t>
            </w:r>
            <w:r w:rsidR="00540E63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2mg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）的临床有效性、安全性、免疫原性、生物标志物和药代动力学特征具有相似性。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9MW0211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（重组抗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VEGF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人</w:t>
            </w:r>
            <w:proofErr w:type="gramStart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源化单抗</w:t>
            </w:r>
            <w:proofErr w:type="gramEnd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注射液）针对新生血管</w:t>
            </w:r>
            <w:proofErr w:type="gramStart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性年</w:t>
            </w:r>
            <w:proofErr w:type="gramEnd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龄相关性黄斑变性（</w:t>
            </w:r>
            <w:proofErr w:type="spellStart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nAMD</w:t>
            </w:r>
            <w:proofErr w:type="spellEnd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）的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II/III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期临床研究结果由四川大学华西医院张明教授报告。研究结果表明，在</w:t>
            </w:r>
            <w:proofErr w:type="spellStart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nAMD</w:t>
            </w:r>
            <w:proofErr w:type="spellEnd"/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受试者中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9MW0211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在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BCVA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改善方面非劣于诺适得</w:t>
            </w:r>
            <w:r w:rsidR="00540E63" w:rsidRPr="00150598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>®</w:t>
            </w:r>
            <w:r w:rsidR="00540E63" w:rsidRPr="006C307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（</w:t>
            </w:r>
            <w:proofErr w:type="gramStart"/>
            <w:r w:rsidR="00540E63" w:rsidRPr="006C307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雷珠单</w:t>
            </w:r>
            <w:proofErr w:type="gramEnd"/>
            <w:r w:rsidR="00540E63" w:rsidRPr="006C307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抗注射液</w:t>
            </w:r>
            <w:r w:rsidR="00540E63" w:rsidRPr="00A7609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）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540E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9MW0211</w:t>
            </w:r>
            <w:r w:rsidRPr="00405E8E">
              <w:rPr>
                <w:rFonts w:ascii="Times New Roman" w:eastAsia="宋体" w:hAnsi="Times New Roman" w:cs="Times New Roman"/>
                <w:sz w:val="24"/>
                <w:szCs w:val="24"/>
              </w:rPr>
              <w:t>存在积液消除优势。</w:t>
            </w:r>
            <w:r w:rsid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C90B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第四十届世界眼科大会（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World Ophthalmology Congress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上，</w:t>
            </w:r>
            <w:r w:rsidR="006227D7"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张明教授代表研究团队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以口头报告形式</w:t>
            </w:r>
            <w:r w:rsid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进一步解读了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9MW0211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用于</w:t>
            </w:r>
            <w:proofErr w:type="spellStart"/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nAMD</w:t>
            </w:r>
            <w:proofErr w:type="spellEnd"/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II/III</w:t>
            </w:r>
            <w:r w:rsidR="006227D7" w:rsidRPr="006227D7">
              <w:rPr>
                <w:rFonts w:ascii="Times New Roman" w:eastAsia="宋体" w:hAnsi="Times New Roman" w:cs="Times New Roman"/>
                <w:sz w:val="24"/>
                <w:szCs w:val="24"/>
              </w:rPr>
              <w:t>期临床研究结果。</w:t>
            </w:r>
          </w:p>
          <w:p w14:paraId="32555E69" w14:textId="42353245" w:rsidR="004E327C" w:rsidRPr="00405E8E" w:rsidRDefault="006227D7" w:rsidP="003E54D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P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迈威</w:t>
            </w:r>
            <w:proofErr w:type="gramStart"/>
            <w:r w:rsidRPr="00405E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成立</w:t>
            </w:r>
            <w:proofErr w:type="gramEnd"/>
            <w:r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眼科创新生态平台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</w:t>
            </w:r>
            <w:r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聚焦两大方向：一</w:t>
            </w:r>
            <w:r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是</w:t>
            </w:r>
            <w:proofErr w:type="gramStart"/>
            <w:r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工转化，携手临床专家推动创新技术向眼科产品的高效转化；二是与外部生物制药和医疗设备企业开展商业化合作，为优质眼科产品提供从上市准入到学术推广的全链条赋能。通过</w:t>
            </w:r>
            <w:proofErr w:type="gramStart"/>
            <w:r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Pr="006227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工转化、外部合作双轮驱动，持续聚合行业资源，与合作伙伴共同推动中国眼科诊疗生态的高质量发展，让创新疗法惠及更多患者。</w:t>
            </w:r>
          </w:p>
          <w:p w14:paraId="1607BDA0" w14:textId="77777777" w:rsidR="007826A6" w:rsidRDefault="007826A6" w:rsidP="003E54D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013C0B5" w14:textId="4AED448B" w:rsidR="004E327C" w:rsidRPr="000451CF" w:rsidRDefault="004E327C" w:rsidP="003E54DA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C1A2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1941C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6227D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近期是否存在股票解禁情况</w:t>
            </w:r>
            <w:r w:rsidR="000D125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60D49C12" w14:textId="26C6B68C" w:rsidR="004E327C" w:rsidRPr="006E51C7" w:rsidRDefault="004E327C" w:rsidP="003E54DA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proofErr w:type="gramStart"/>
            <w:r w:rsidR="00540E6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科创板</w:t>
            </w:r>
            <w:r w:rsidR="006227D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首次</w:t>
            </w:r>
            <w:proofErr w:type="gramEnd"/>
            <w:r w:rsidR="006227D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公开发行部分限售股</w:t>
            </w:r>
            <w:r w:rsid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于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7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日起上市流通</w:t>
            </w:r>
            <w:r w:rsid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涉及限售股股东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名，</w:t>
            </w:r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对应限售股数量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,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607</w:t>
            </w:r>
            <w:r w:rsid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股，占公司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股</w:t>
            </w:r>
            <w:r w:rsidR="00C90B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股本比例为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6.52%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，占公司</w:t>
            </w:r>
            <w:r w:rsidR="00C90B1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总股本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比</w:t>
            </w:r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例为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5.84%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。限售期为股票上市之日起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个完整会计年度，且公司股票上市后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个月</w:t>
            </w:r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内，连续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个交易日的收盘价均低于发行价，锁定期限自动延长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</w:t>
            </w:r>
            <w:r w:rsidR="006E51C7" w:rsidRPr="006E51C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个月。</w:t>
            </w:r>
            <w:r w:rsid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同时，</w:t>
            </w:r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根据公司《首次公开发行股票并在科创板上市招股说明书》《首次公开发行股票科创板上市公告书》等文件，本次申请限售股上市流通的股东对其所持股份的承诺：若</w:t>
            </w:r>
            <w:proofErr w:type="gramStart"/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本承诺</w:t>
            </w:r>
            <w:proofErr w:type="gramEnd"/>
            <w:r w:rsidR="006E51C7" w:rsidRPr="006E51C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人所持有的公司股份在锁定期届满后两年内减持的，股份减持的价格不低于公司首次公开发行股票的发行价。</w:t>
            </w:r>
          </w:p>
          <w:p w14:paraId="37DCC983" w14:textId="77777777" w:rsidR="00BD2052" w:rsidRDefault="00BD2052" w:rsidP="003E54D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8AF99C8" w14:textId="77777777" w:rsidR="00080534" w:rsidRPr="00080534" w:rsidRDefault="00080534" w:rsidP="003E54D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08053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问：公司在手现金情况？</w:t>
            </w:r>
            <w:r w:rsidRPr="000805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2026</w:t>
            </w:r>
            <w:r w:rsidRPr="0008053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年研发投入规划？</w:t>
            </w:r>
          </w:p>
          <w:p w14:paraId="22D9408A" w14:textId="6184BE8D" w:rsidR="00080534" w:rsidRPr="004E327C" w:rsidRDefault="00080534" w:rsidP="003E54D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053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答：</w:t>
            </w:r>
            <w:r w:rsidRPr="000805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截至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年一季度末，公司在手现金及现金等价物余额为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14.83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亿元。此外，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日，公司在香港联合交易所主板正式挂牌上市，募资净额约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11.89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亿港元。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年及未来，创新研发</w:t>
            </w:r>
            <w:r w:rsidR="00C90B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仍然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是公司长远发展的价值保障与核心战略，</w:t>
            </w:r>
            <w:r w:rsidR="00C90B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C90B15">
              <w:rPr>
                <w:rFonts w:ascii="Times New Roman" w:eastAsia="宋体" w:hAnsi="Times New Roman" w:cs="Times New Roman"/>
                <w:sz w:val="24"/>
                <w:szCs w:val="24"/>
              </w:rPr>
              <w:t>将</w:t>
            </w:r>
            <w:r w:rsidR="00C90B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据核心管线的推进情况</w:t>
            </w:r>
            <w:r w:rsidR="00C90B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合理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规划</w:t>
            </w:r>
            <w:r w:rsidR="00C90B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研发费用的投入</w:t>
            </w:r>
            <w:r w:rsidRPr="0008053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bookmarkStart w:id="8" w:name="_GoBack"/>
            <w:bookmarkEnd w:id="8"/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98C40" w14:textId="77777777" w:rsidR="002A5A73" w:rsidRDefault="002A5A73">
      <w:r>
        <w:separator/>
      </w:r>
    </w:p>
  </w:endnote>
  <w:endnote w:type="continuationSeparator" w:id="0">
    <w:p w14:paraId="4E9CD259" w14:textId="77777777" w:rsidR="002A5A73" w:rsidRDefault="002A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fldSimple w:instr=" NUMPAGES  ">
      <w:r w:rsidR="0071606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2ADB1" w14:textId="77777777" w:rsidR="002A5A73" w:rsidRDefault="002A5A73">
      <w:r>
        <w:separator/>
      </w:r>
    </w:p>
  </w:footnote>
  <w:footnote w:type="continuationSeparator" w:id="0">
    <w:p w14:paraId="61E43560" w14:textId="77777777" w:rsidR="002A5A73" w:rsidRDefault="002A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05B79"/>
    <w:rsid w:val="00015407"/>
    <w:rsid w:val="00015BB9"/>
    <w:rsid w:val="00017F6E"/>
    <w:rsid w:val="00020932"/>
    <w:rsid w:val="00021F79"/>
    <w:rsid w:val="00023824"/>
    <w:rsid w:val="00025BBC"/>
    <w:rsid w:val="00036090"/>
    <w:rsid w:val="00037194"/>
    <w:rsid w:val="00037DDF"/>
    <w:rsid w:val="000451CF"/>
    <w:rsid w:val="00051C3D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0534"/>
    <w:rsid w:val="00080E11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2290"/>
    <w:rsid w:val="000B7874"/>
    <w:rsid w:val="000B7BDC"/>
    <w:rsid w:val="000C7C96"/>
    <w:rsid w:val="000D125A"/>
    <w:rsid w:val="000D4C3E"/>
    <w:rsid w:val="000D5829"/>
    <w:rsid w:val="000D5B67"/>
    <w:rsid w:val="000D753F"/>
    <w:rsid w:val="000E4584"/>
    <w:rsid w:val="000F0F7E"/>
    <w:rsid w:val="000F3049"/>
    <w:rsid w:val="000F39A6"/>
    <w:rsid w:val="000F50F6"/>
    <w:rsid w:val="000F6B47"/>
    <w:rsid w:val="000F70A8"/>
    <w:rsid w:val="00100996"/>
    <w:rsid w:val="00100BC3"/>
    <w:rsid w:val="00101157"/>
    <w:rsid w:val="001019DA"/>
    <w:rsid w:val="00101A8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2B54"/>
    <w:rsid w:val="00134CA6"/>
    <w:rsid w:val="00134CBB"/>
    <w:rsid w:val="00134CCA"/>
    <w:rsid w:val="0013672E"/>
    <w:rsid w:val="00137B79"/>
    <w:rsid w:val="001401BB"/>
    <w:rsid w:val="00142315"/>
    <w:rsid w:val="00146095"/>
    <w:rsid w:val="00150598"/>
    <w:rsid w:val="00153560"/>
    <w:rsid w:val="0015790D"/>
    <w:rsid w:val="001606B6"/>
    <w:rsid w:val="00160F95"/>
    <w:rsid w:val="00164671"/>
    <w:rsid w:val="0016478A"/>
    <w:rsid w:val="00166FFC"/>
    <w:rsid w:val="0017329E"/>
    <w:rsid w:val="00174434"/>
    <w:rsid w:val="00174CF4"/>
    <w:rsid w:val="00180A9C"/>
    <w:rsid w:val="00180C59"/>
    <w:rsid w:val="00181038"/>
    <w:rsid w:val="00182D6A"/>
    <w:rsid w:val="001837A4"/>
    <w:rsid w:val="00190CFD"/>
    <w:rsid w:val="0019125C"/>
    <w:rsid w:val="0019188C"/>
    <w:rsid w:val="001941C9"/>
    <w:rsid w:val="001A0C33"/>
    <w:rsid w:val="001A0F46"/>
    <w:rsid w:val="001A335B"/>
    <w:rsid w:val="001A3A12"/>
    <w:rsid w:val="001A464D"/>
    <w:rsid w:val="001A679D"/>
    <w:rsid w:val="001B085E"/>
    <w:rsid w:val="001B3EA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03D"/>
    <w:rsid w:val="001F2763"/>
    <w:rsid w:val="001F2D8E"/>
    <w:rsid w:val="001F5BE8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181D"/>
    <w:rsid w:val="00213D07"/>
    <w:rsid w:val="00214802"/>
    <w:rsid w:val="002164D5"/>
    <w:rsid w:val="002168B4"/>
    <w:rsid w:val="0022468C"/>
    <w:rsid w:val="00224E9B"/>
    <w:rsid w:val="00226421"/>
    <w:rsid w:val="00227692"/>
    <w:rsid w:val="0023170A"/>
    <w:rsid w:val="00231C09"/>
    <w:rsid w:val="00235DAD"/>
    <w:rsid w:val="00237F45"/>
    <w:rsid w:val="00240914"/>
    <w:rsid w:val="00244AAB"/>
    <w:rsid w:val="00244F1B"/>
    <w:rsid w:val="00251065"/>
    <w:rsid w:val="00256110"/>
    <w:rsid w:val="00260B10"/>
    <w:rsid w:val="00260BEE"/>
    <w:rsid w:val="00260F34"/>
    <w:rsid w:val="00263EAF"/>
    <w:rsid w:val="002665B9"/>
    <w:rsid w:val="00267AD1"/>
    <w:rsid w:val="00271E8F"/>
    <w:rsid w:val="00274A19"/>
    <w:rsid w:val="00277E2D"/>
    <w:rsid w:val="00277F39"/>
    <w:rsid w:val="00283D13"/>
    <w:rsid w:val="00284599"/>
    <w:rsid w:val="00285B72"/>
    <w:rsid w:val="00287B57"/>
    <w:rsid w:val="002910D0"/>
    <w:rsid w:val="00294C20"/>
    <w:rsid w:val="00295DF4"/>
    <w:rsid w:val="00296315"/>
    <w:rsid w:val="00297D44"/>
    <w:rsid w:val="00297D5F"/>
    <w:rsid w:val="002A3289"/>
    <w:rsid w:val="002A5A73"/>
    <w:rsid w:val="002B6B66"/>
    <w:rsid w:val="002C35FB"/>
    <w:rsid w:val="002C44F5"/>
    <w:rsid w:val="002C4AB5"/>
    <w:rsid w:val="002C5839"/>
    <w:rsid w:val="002C5A9A"/>
    <w:rsid w:val="002D07A3"/>
    <w:rsid w:val="002D2DF5"/>
    <w:rsid w:val="002D3F5B"/>
    <w:rsid w:val="002D4BF2"/>
    <w:rsid w:val="002D63A0"/>
    <w:rsid w:val="002D7142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16A2"/>
    <w:rsid w:val="003160FC"/>
    <w:rsid w:val="003168ED"/>
    <w:rsid w:val="00320F1E"/>
    <w:rsid w:val="003222E0"/>
    <w:rsid w:val="00322BD4"/>
    <w:rsid w:val="00326F2A"/>
    <w:rsid w:val="003271AD"/>
    <w:rsid w:val="0032770A"/>
    <w:rsid w:val="003328E1"/>
    <w:rsid w:val="003330EE"/>
    <w:rsid w:val="00333438"/>
    <w:rsid w:val="00335621"/>
    <w:rsid w:val="003367FB"/>
    <w:rsid w:val="003416BF"/>
    <w:rsid w:val="00342894"/>
    <w:rsid w:val="003429D3"/>
    <w:rsid w:val="0034354C"/>
    <w:rsid w:val="003468AE"/>
    <w:rsid w:val="00347506"/>
    <w:rsid w:val="00347F1A"/>
    <w:rsid w:val="00350699"/>
    <w:rsid w:val="0035095B"/>
    <w:rsid w:val="00351D24"/>
    <w:rsid w:val="003528B2"/>
    <w:rsid w:val="003534FC"/>
    <w:rsid w:val="00354696"/>
    <w:rsid w:val="0035682E"/>
    <w:rsid w:val="003569EC"/>
    <w:rsid w:val="00357BD6"/>
    <w:rsid w:val="00361143"/>
    <w:rsid w:val="00374528"/>
    <w:rsid w:val="00381800"/>
    <w:rsid w:val="003825B5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0EDC"/>
    <w:rsid w:val="003B27D2"/>
    <w:rsid w:val="003B3463"/>
    <w:rsid w:val="003B6B03"/>
    <w:rsid w:val="003C1801"/>
    <w:rsid w:val="003C459F"/>
    <w:rsid w:val="003C6873"/>
    <w:rsid w:val="003C6E38"/>
    <w:rsid w:val="003C7536"/>
    <w:rsid w:val="003C7AB3"/>
    <w:rsid w:val="003C7C0B"/>
    <w:rsid w:val="003E236E"/>
    <w:rsid w:val="003E54DA"/>
    <w:rsid w:val="003E5CFD"/>
    <w:rsid w:val="003E7B2B"/>
    <w:rsid w:val="003E7B3B"/>
    <w:rsid w:val="003F1303"/>
    <w:rsid w:val="003F1A5C"/>
    <w:rsid w:val="003F4F81"/>
    <w:rsid w:val="003F6D0A"/>
    <w:rsid w:val="004001D7"/>
    <w:rsid w:val="00401AE1"/>
    <w:rsid w:val="00403C37"/>
    <w:rsid w:val="00405E8E"/>
    <w:rsid w:val="00406F13"/>
    <w:rsid w:val="00410AAE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2B60"/>
    <w:rsid w:val="0045349E"/>
    <w:rsid w:val="004603BF"/>
    <w:rsid w:val="00462A57"/>
    <w:rsid w:val="004642D7"/>
    <w:rsid w:val="00464E74"/>
    <w:rsid w:val="004670AD"/>
    <w:rsid w:val="00467F5F"/>
    <w:rsid w:val="00472333"/>
    <w:rsid w:val="0047378F"/>
    <w:rsid w:val="00474896"/>
    <w:rsid w:val="00475E65"/>
    <w:rsid w:val="004779FC"/>
    <w:rsid w:val="00480D58"/>
    <w:rsid w:val="00485BCF"/>
    <w:rsid w:val="0049187E"/>
    <w:rsid w:val="00494022"/>
    <w:rsid w:val="0049457C"/>
    <w:rsid w:val="00495906"/>
    <w:rsid w:val="00495AA5"/>
    <w:rsid w:val="004971AF"/>
    <w:rsid w:val="004A17AF"/>
    <w:rsid w:val="004A1DA0"/>
    <w:rsid w:val="004A2F6A"/>
    <w:rsid w:val="004A636E"/>
    <w:rsid w:val="004A6D27"/>
    <w:rsid w:val="004B1D9A"/>
    <w:rsid w:val="004B2DB0"/>
    <w:rsid w:val="004B47A7"/>
    <w:rsid w:val="004B4DDF"/>
    <w:rsid w:val="004B704B"/>
    <w:rsid w:val="004B72CF"/>
    <w:rsid w:val="004C006E"/>
    <w:rsid w:val="004C07D5"/>
    <w:rsid w:val="004C0D1C"/>
    <w:rsid w:val="004C133A"/>
    <w:rsid w:val="004C1E6C"/>
    <w:rsid w:val="004C1F95"/>
    <w:rsid w:val="004C3A99"/>
    <w:rsid w:val="004C5755"/>
    <w:rsid w:val="004C7B4C"/>
    <w:rsid w:val="004D1EC5"/>
    <w:rsid w:val="004D1FA9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27C"/>
    <w:rsid w:val="004E372F"/>
    <w:rsid w:val="004E3777"/>
    <w:rsid w:val="004E40D0"/>
    <w:rsid w:val="004E5683"/>
    <w:rsid w:val="004E5DAB"/>
    <w:rsid w:val="004F0A76"/>
    <w:rsid w:val="004F0C4A"/>
    <w:rsid w:val="004F16DD"/>
    <w:rsid w:val="004F472D"/>
    <w:rsid w:val="004F4C47"/>
    <w:rsid w:val="004F562F"/>
    <w:rsid w:val="004F7559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0E63"/>
    <w:rsid w:val="005420A2"/>
    <w:rsid w:val="00543BC2"/>
    <w:rsid w:val="0054514B"/>
    <w:rsid w:val="00546326"/>
    <w:rsid w:val="005467B1"/>
    <w:rsid w:val="005476B9"/>
    <w:rsid w:val="00547B35"/>
    <w:rsid w:val="00550740"/>
    <w:rsid w:val="00551A0E"/>
    <w:rsid w:val="00553D3B"/>
    <w:rsid w:val="00555133"/>
    <w:rsid w:val="00557732"/>
    <w:rsid w:val="005650CD"/>
    <w:rsid w:val="00566F85"/>
    <w:rsid w:val="00567907"/>
    <w:rsid w:val="005707E2"/>
    <w:rsid w:val="005738C3"/>
    <w:rsid w:val="00574D50"/>
    <w:rsid w:val="00575AD3"/>
    <w:rsid w:val="0057624D"/>
    <w:rsid w:val="0058079A"/>
    <w:rsid w:val="00581E6D"/>
    <w:rsid w:val="00583E99"/>
    <w:rsid w:val="005844A0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B7A97"/>
    <w:rsid w:val="005C1967"/>
    <w:rsid w:val="005C2817"/>
    <w:rsid w:val="005C2A2F"/>
    <w:rsid w:val="005C6A94"/>
    <w:rsid w:val="005D2D21"/>
    <w:rsid w:val="005D35B2"/>
    <w:rsid w:val="005D38CC"/>
    <w:rsid w:val="005D5107"/>
    <w:rsid w:val="005D6805"/>
    <w:rsid w:val="005D69F7"/>
    <w:rsid w:val="005D7B64"/>
    <w:rsid w:val="005E2125"/>
    <w:rsid w:val="005E231C"/>
    <w:rsid w:val="005E5157"/>
    <w:rsid w:val="005E7193"/>
    <w:rsid w:val="005E7D5E"/>
    <w:rsid w:val="005F2AB1"/>
    <w:rsid w:val="005F57AD"/>
    <w:rsid w:val="005F7E1C"/>
    <w:rsid w:val="00604728"/>
    <w:rsid w:val="00604ED6"/>
    <w:rsid w:val="00606CBD"/>
    <w:rsid w:val="00607861"/>
    <w:rsid w:val="00614C5A"/>
    <w:rsid w:val="00614C64"/>
    <w:rsid w:val="00620EA0"/>
    <w:rsid w:val="0062233D"/>
    <w:rsid w:val="006227D7"/>
    <w:rsid w:val="00622BE0"/>
    <w:rsid w:val="00631A1A"/>
    <w:rsid w:val="00633A9A"/>
    <w:rsid w:val="006343BB"/>
    <w:rsid w:val="00635EA2"/>
    <w:rsid w:val="0063608F"/>
    <w:rsid w:val="00636FAF"/>
    <w:rsid w:val="00637334"/>
    <w:rsid w:val="006376F2"/>
    <w:rsid w:val="00637C48"/>
    <w:rsid w:val="006410C7"/>
    <w:rsid w:val="00643B02"/>
    <w:rsid w:val="0064415A"/>
    <w:rsid w:val="006464E1"/>
    <w:rsid w:val="00651538"/>
    <w:rsid w:val="00654ADA"/>
    <w:rsid w:val="00656534"/>
    <w:rsid w:val="00656724"/>
    <w:rsid w:val="006621B7"/>
    <w:rsid w:val="00666159"/>
    <w:rsid w:val="0066703B"/>
    <w:rsid w:val="00670A47"/>
    <w:rsid w:val="00672762"/>
    <w:rsid w:val="00672A62"/>
    <w:rsid w:val="006731A1"/>
    <w:rsid w:val="006733BF"/>
    <w:rsid w:val="00673BA0"/>
    <w:rsid w:val="00674CB6"/>
    <w:rsid w:val="00675771"/>
    <w:rsid w:val="00676462"/>
    <w:rsid w:val="00677501"/>
    <w:rsid w:val="00681372"/>
    <w:rsid w:val="006815D6"/>
    <w:rsid w:val="006826FB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97C89"/>
    <w:rsid w:val="006A15F7"/>
    <w:rsid w:val="006A4067"/>
    <w:rsid w:val="006B17D2"/>
    <w:rsid w:val="006B194B"/>
    <w:rsid w:val="006B4424"/>
    <w:rsid w:val="006B5ABA"/>
    <w:rsid w:val="006B5FE5"/>
    <w:rsid w:val="006B7047"/>
    <w:rsid w:val="006C03AE"/>
    <w:rsid w:val="006C17C9"/>
    <w:rsid w:val="006C2C88"/>
    <w:rsid w:val="006C307D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1C7"/>
    <w:rsid w:val="006E553A"/>
    <w:rsid w:val="006E782E"/>
    <w:rsid w:val="006F166C"/>
    <w:rsid w:val="006F7D5B"/>
    <w:rsid w:val="00703466"/>
    <w:rsid w:val="00705AD5"/>
    <w:rsid w:val="007144D3"/>
    <w:rsid w:val="00714C1B"/>
    <w:rsid w:val="00715E24"/>
    <w:rsid w:val="00716068"/>
    <w:rsid w:val="007170E7"/>
    <w:rsid w:val="00717952"/>
    <w:rsid w:val="00720A08"/>
    <w:rsid w:val="00721CA3"/>
    <w:rsid w:val="00722E93"/>
    <w:rsid w:val="0072368D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26A6"/>
    <w:rsid w:val="0078369B"/>
    <w:rsid w:val="00786CBD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61A"/>
    <w:rsid w:val="007C4BB5"/>
    <w:rsid w:val="007C4E01"/>
    <w:rsid w:val="007C520C"/>
    <w:rsid w:val="007C6606"/>
    <w:rsid w:val="007C77B4"/>
    <w:rsid w:val="007D0C7C"/>
    <w:rsid w:val="007D1612"/>
    <w:rsid w:val="007D1BF0"/>
    <w:rsid w:val="007D23BD"/>
    <w:rsid w:val="007D5DAA"/>
    <w:rsid w:val="007E0BF8"/>
    <w:rsid w:val="007E1C0F"/>
    <w:rsid w:val="007E250E"/>
    <w:rsid w:val="007E332F"/>
    <w:rsid w:val="007E37EB"/>
    <w:rsid w:val="007E54D2"/>
    <w:rsid w:val="007E592F"/>
    <w:rsid w:val="007E6113"/>
    <w:rsid w:val="007E6D68"/>
    <w:rsid w:val="007E76DD"/>
    <w:rsid w:val="007F071A"/>
    <w:rsid w:val="007F0DF8"/>
    <w:rsid w:val="0080062C"/>
    <w:rsid w:val="008015BC"/>
    <w:rsid w:val="00801B53"/>
    <w:rsid w:val="00802982"/>
    <w:rsid w:val="00807C09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098"/>
    <w:rsid w:val="008244D5"/>
    <w:rsid w:val="0082669B"/>
    <w:rsid w:val="0082731E"/>
    <w:rsid w:val="0083339A"/>
    <w:rsid w:val="00837338"/>
    <w:rsid w:val="00841D78"/>
    <w:rsid w:val="00842E25"/>
    <w:rsid w:val="00843E73"/>
    <w:rsid w:val="00847D6D"/>
    <w:rsid w:val="008540FB"/>
    <w:rsid w:val="008549AC"/>
    <w:rsid w:val="00854B7A"/>
    <w:rsid w:val="00856304"/>
    <w:rsid w:val="008571FA"/>
    <w:rsid w:val="00857FC6"/>
    <w:rsid w:val="00860892"/>
    <w:rsid w:val="008626F3"/>
    <w:rsid w:val="00864873"/>
    <w:rsid w:val="008701CE"/>
    <w:rsid w:val="00871B85"/>
    <w:rsid w:val="00874474"/>
    <w:rsid w:val="008745FB"/>
    <w:rsid w:val="008754FE"/>
    <w:rsid w:val="008758AE"/>
    <w:rsid w:val="0087689D"/>
    <w:rsid w:val="00876FFF"/>
    <w:rsid w:val="008803D6"/>
    <w:rsid w:val="008852F7"/>
    <w:rsid w:val="00885AE3"/>
    <w:rsid w:val="00886F20"/>
    <w:rsid w:val="00890042"/>
    <w:rsid w:val="00890C01"/>
    <w:rsid w:val="00893267"/>
    <w:rsid w:val="008A059F"/>
    <w:rsid w:val="008A41F4"/>
    <w:rsid w:val="008A6A3B"/>
    <w:rsid w:val="008B271E"/>
    <w:rsid w:val="008B425A"/>
    <w:rsid w:val="008B49E4"/>
    <w:rsid w:val="008B6ACA"/>
    <w:rsid w:val="008B75A3"/>
    <w:rsid w:val="008C1A11"/>
    <w:rsid w:val="008C1D59"/>
    <w:rsid w:val="008C4715"/>
    <w:rsid w:val="008C617C"/>
    <w:rsid w:val="008C6CEA"/>
    <w:rsid w:val="008D1F3B"/>
    <w:rsid w:val="008D2317"/>
    <w:rsid w:val="008D33F4"/>
    <w:rsid w:val="008D6D53"/>
    <w:rsid w:val="008D7BE6"/>
    <w:rsid w:val="008E069C"/>
    <w:rsid w:val="008E1B85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57511"/>
    <w:rsid w:val="00962322"/>
    <w:rsid w:val="00963B33"/>
    <w:rsid w:val="00964127"/>
    <w:rsid w:val="00965E4E"/>
    <w:rsid w:val="00966CE8"/>
    <w:rsid w:val="00967AC0"/>
    <w:rsid w:val="00967FD7"/>
    <w:rsid w:val="00970511"/>
    <w:rsid w:val="00970794"/>
    <w:rsid w:val="00971C06"/>
    <w:rsid w:val="00971ED0"/>
    <w:rsid w:val="009726FC"/>
    <w:rsid w:val="00975242"/>
    <w:rsid w:val="00977B0E"/>
    <w:rsid w:val="00985381"/>
    <w:rsid w:val="00987756"/>
    <w:rsid w:val="00990DF7"/>
    <w:rsid w:val="0099429C"/>
    <w:rsid w:val="0099582D"/>
    <w:rsid w:val="00995EA9"/>
    <w:rsid w:val="00997B53"/>
    <w:rsid w:val="009A078F"/>
    <w:rsid w:val="009A34FB"/>
    <w:rsid w:val="009A38D8"/>
    <w:rsid w:val="009A51D6"/>
    <w:rsid w:val="009A76CD"/>
    <w:rsid w:val="009B09FA"/>
    <w:rsid w:val="009B12C6"/>
    <w:rsid w:val="009B678E"/>
    <w:rsid w:val="009C1A28"/>
    <w:rsid w:val="009C6078"/>
    <w:rsid w:val="009D2191"/>
    <w:rsid w:val="009D4B62"/>
    <w:rsid w:val="009D550E"/>
    <w:rsid w:val="009D5825"/>
    <w:rsid w:val="009D783A"/>
    <w:rsid w:val="009E2FD5"/>
    <w:rsid w:val="009E31A5"/>
    <w:rsid w:val="009E5A60"/>
    <w:rsid w:val="009F1398"/>
    <w:rsid w:val="009F152B"/>
    <w:rsid w:val="009F1688"/>
    <w:rsid w:val="009F2617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1451"/>
    <w:rsid w:val="00A02798"/>
    <w:rsid w:val="00A02F6D"/>
    <w:rsid w:val="00A04F4E"/>
    <w:rsid w:val="00A069D4"/>
    <w:rsid w:val="00A12895"/>
    <w:rsid w:val="00A12C88"/>
    <w:rsid w:val="00A143C3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6DEF"/>
    <w:rsid w:val="00A57E80"/>
    <w:rsid w:val="00A602E6"/>
    <w:rsid w:val="00A61CFB"/>
    <w:rsid w:val="00A62952"/>
    <w:rsid w:val="00A62962"/>
    <w:rsid w:val="00A641F4"/>
    <w:rsid w:val="00A66FBB"/>
    <w:rsid w:val="00A67926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4021"/>
    <w:rsid w:val="00AC5196"/>
    <w:rsid w:val="00AD06B2"/>
    <w:rsid w:val="00AD51A3"/>
    <w:rsid w:val="00AD686A"/>
    <w:rsid w:val="00AD6F3C"/>
    <w:rsid w:val="00AE076A"/>
    <w:rsid w:val="00AE2EE4"/>
    <w:rsid w:val="00AE3047"/>
    <w:rsid w:val="00AE7A1F"/>
    <w:rsid w:val="00AF251E"/>
    <w:rsid w:val="00AF4DC9"/>
    <w:rsid w:val="00AF69FE"/>
    <w:rsid w:val="00AF7008"/>
    <w:rsid w:val="00AF737A"/>
    <w:rsid w:val="00B014A9"/>
    <w:rsid w:val="00B0673B"/>
    <w:rsid w:val="00B06927"/>
    <w:rsid w:val="00B06A9C"/>
    <w:rsid w:val="00B06C8D"/>
    <w:rsid w:val="00B07678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A7F"/>
    <w:rsid w:val="00B23D65"/>
    <w:rsid w:val="00B3132C"/>
    <w:rsid w:val="00B349FC"/>
    <w:rsid w:val="00B3797D"/>
    <w:rsid w:val="00B406DA"/>
    <w:rsid w:val="00B41722"/>
    <w:rsid w:val="00B43EC2"/>
    <w:rsid w:val="00B52064"/>
    <w:rsid w:val="00B54D20"/>
    <w:rsid w:val="00B55465"/>
    <w:rsid w:val="00B57A03"/>
    <w:rsid w:val="00B60587"/>
    <w:rsid w:val="00B630C2"/>
    <w:rsid w:val="00B638DB"/>
    <w:rsid w:val="00B6525C"/>
    <w:rsid w:val="00B67A59"/>
    <w:rsid w:val="00B67F5C"/>
    <w:rsid w:val="00B77E1E"/>
    <w:rsid w:val="00B80978"/>
    <w:rsid w:val="00B80996"/>
    <w:rsid w:val="00B8144E"/>
    <w:rsid w:val="00B832A6"/>
    <w:rsid w:val="00B849C0"/>
    <w:rsid w:val="00B8576E"/>
    <w:rsid w:val="00B86170"/>
    <w:rsid w:val="00B87AE1"/>
    <w:rsid w:val="00B9590B"/>
    <w:rsid w:val="00B96670"/>
    <w:rsid w:val="00BA0AC5"/>
    <w:rsid w:val="00BA6DD3"/>
    <w:rsid w:val="00BA7EDF"/>
    <w:rsid w:val="00BB0070"/>
    <w:rsid w:val="00BB058C"/>
    <w:rsid w:val="00BB13A9"/>
    <w:rsid w:val="00BB1B2B"/>
    <w:rsid w:val="00BB297F"/>
    <w:rsid w:val="00BB3009"/>
    <w:rsid w:val="00BB62E5"/>
    <w:rsid w:val="00BB6710"/>
    <w:rsid w:val="00BC59DC"/>
    <w:rsid w:val="00BC6836"/>
    <w:rsid w:val="00BC7B06"/>
    <w:rsid w:val="00BC7F72"/>
    <w:rsid w:val="00BD0162"/>
    <w:rsid w:val="00BD0997"/>
    <w:rsid w:val="00BD0B68"/>
    <w:rsid w:val="00BD0DC7"/>
    <w:rsid w:val="00BD2052"/>
    <w:rsid w:val="00BD2AD6"/>
    <w:rsid w:val="00BD3BF1"/>
    <w:rsid w:val="00BD5D4D"/>
    <w:rsid w:val="00BD6167"/>
    <w:rsid w:val="00BD6FF9"/>
    <w:rsid w:val="00BE25D8"/>
    <w:rsid w:val="00BE4D7A"/>
    <w:rsid w:val="00BE5C4D"/>
    <w:rsid w:val="00BE6A24"/>
    <w:rsid w:val="00BF084E"/>
    <w:rsid w:val="00BF2C94"/>
    <w:rsid w:val="00BF3205"/>
    <w:rsid w:val="00BF422B"/>
    <w:rsid w:val="00BF4580"/>
    <w:rsid w:val="00BF6A25"/>
    <w:rsid w:val="00BF6FAD"/>
    <w:rsid w:val="00C014DE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0174"/>
    <w:rsid w:val="00C41E44"/>
    <w:rsid w:val="00C43C5A"/>
    <w:rsid w:val="00C45991"/>
    <w:rsid w:val="00C4617B"/>
    <w:rsid w:val="00C55FB3"/>
    <w:rsid w:val="00C57214"/>
    <w:rsid w:val="00C60C66"/>
    <w:rsid w:val="00C66998"/>
    <w:rsid w:val="00C676F1"/>
    <w:rsid w:val="00C67BAE"/>
    <w:rsid w:val="00C707C5"/>
    <w:rsid w:val="00C73D0C"/>
    <w:rsid w:val="00C75A9A"/>
    <w:rsid w:val="00C75E02"/>
    <w:rsid w:val="00C80A94"/>
    <w:rsid w:val="00C80F43"/>
    <w:rsid w:val="00C841E8"/>
    <w:rsid w:val="00C85A1B"/>
    <w:rsid w:val="00C85ABF"/>
    <w:rsid w:val="00C86581"/>
    <w:rsid w:val="00C9063F"/>
    <w:rsid w:val="00C90656"/>
    <w:rsid w:val="00C90B15"/>
    <w:rsid w:val="00C91101"/>
    <w:rsid w:val="00C91D12"/>
    <w:rsid w:val="00C93E9B"/>
    <w:rsid w:val="00C94520"/>
    <w:rsid w:val="00C94C4F"/>
    <w:rsid w:val="00C962C9"/>
    <w:rsid w:val="00C9731E"/>
    <w:rsid w:val="00CA3A81"/>
    <w:rsid w:val="00CA428D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1A10"/>
    <w:rsid w:val="00CC247C"/>
    <w:rsid w:val="00CC7F84"/>
    <w:rsid w:val="00CD2C26"/>
    <w:rsid w:val="00CD5784"/>
    <w:rsid w:val="00CD64DB"/>
    <w:rsid w:val="00CD7100"/>
    <w:rsid w:val="00CE032B"/>
    <w:rsid w:val="00CE110B"/>
    <w:rsid w:val="00CE40D8"/>
    <w:rsid w:val="00CE43E3"/>
    <w:rsid w:val="00CE44D7"/>
    <w:rsid w:val="00CF28A7"/>
    <w:rsid w:val="00CF480F"/>
    <w:rsid w:val="00D042EF"/>
    <w:rsid w:val="00D10177"/>
    <w:rsid w:val="00D1072C"/>
    <w:rsid w:val="00D13D07"/>
    <w:rsid w:val="00D156F0"/>
    <w:rsid w:val="00D17143"/>
    <w:rsid w:val="00D206CF"/>
    <w:rsid w:val="00D21E75"/>
    <w:rsid w:val="00D24D72"/>
    <w:rsid w:val="00D262F6"/>
    <w:rsid w:val="00D2659D"/>
    <w:rsid w:val="00D27E90"/>
    <w:rsid w:val="00D31370"/>
    <w:rsid w:val="00D3281A"/>
    <w:rsid w:val="00D375E0"/>
    <w:rsid w:val="00D37C6D"/>
    <w:rsid w:val="00D407F1"/>
    <w:rsid w:val="00D4185A"/>
    <w:rsid w:val="00D41EC6"/>
    <w:rsid w:val="00D44461"/>
    <w:rsid w:val="00D45D73"/>
    <w:rsid w:val="00D5246E"/>
    <w:rsid w:val="00D52A2A"/>
    <w:rsid w:val="00D54315"/>
    <w:rsid w:val="00D55319"/>
    <w:rsid w:val="00D57DAB"/>
    <w:rsid w:val="00D60369"/>
    <w:rsid w:val="00D60A7A"/>
    <w:rsid w:val="00D631B5"/>
    <w:rsid w:val="00D6450A"/>
    <w:rsid w:val="00D65272"/>
    <w:rsid w:val="00D66322"/>
    <w:rsid w:val="00D70470"/>
    <w:rsid w:val="00D7211B"/>
    <w:rsid w:val="00D75CBC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C68D6"/>
    <w:rsid w:val="00DD1882"/>
    <w:rsid w:val="00DD1BFF"/>
    <w:rsid w:val="00DD585C"/>
    <w:rsid w:val="00DD7412"/>
    <w:rsid w:val="00DE3F19"/>
    <w:rsid w:val="00DE5491"/>
    <w:rsid w:val="00DF445B"/>
    <w:rsid w:val="00DF44CC"/>
    <w:rsid w:val="00DF4D7B"/>
    <w:rsid w:val="00DF4FA8"/>
    <w:rsid w:val="00DF7528"/>
    <w:rsid w:val="00E00395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2C85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47CD4"/>
    <w:rsid w:val="00E50023"/>
    <w:rsid w:val="00E52835"/>
    <w:rsid w:val="00E54E25"/>
    <w:rsid w:val="00E56162"/>
    <w:rsid w:val="00E569A2"/>
    <w:rsid w:val="00E61BAB"/>
    <w:rsid w:val="00E62AAE"/>
    <w:rsid w:val="00E6380F"/>
    <w:rsid w:val="00E644A1"/>
    <w:rsid w:val="00E64DCF"/>
    <w:rsid w:val="00E70572"/>
    <w:rsid w:val="00E71F93"/>
    <w:rsid w:val="00E754F5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042A"/>
    <w:rsid w:val="00EA1EC4"/>
    <w:rsid w:val="00EB0D44"/>
    <w:rsid w:val="00EB1DC7"/>
    <w:rsid w:val="00EB2035"/>
    <w:rsid w:val="00EB58D0"/>
    <w:rsid w:val="00EB5CBB"/>
    <w:rsid w:val="00EB6CCA"/>
    <w:rsid w:val="00EC460C"/>
    <w:rsid w:val="00EC4E66"/>
    <w:rsid w:val="00EC4ED2"/>
    <w:rsid w:val="00EC7305"/>
    <w:rsid w:val="00EC7498"/>
    <w:rsid w:val="00EC7D93"/>
    <w:rsid w:val="00ED164C"/>
    <w:rsid w:val="00ED3813"/>
    <w:rsid w:val="00ED5F53"/>
    <w:rsid w:val="00ED6092"/>
    <w:rsid w:val="00EE5F2C"/>
    <w:rsid w:val="00EE6009"/>
    <w:rsid w:val="00EF0883"/>
    <w:rsid w:val="00EF3E19"/>
    <w:rsid w:val="00EF6F7C"/>
    <w:rsid w:val="00EF7FB5"/>
    <w:rsid w:val="00F008A7"/>
    <w:rsid w:val="00F01524"/>
    <w:rsid w:val="00F02DF8"/>
    <w:rsid w:val="00F03F76"/>
    <w:rsid w:val="00F04730"/>
    <w:rsid w:val="00F04D81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5397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65913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1BF8"/>
    <w:rsid w:val="00FE2377"/>
    <w:rsid w:val="00FE24F9"/>
    <w:rsid w:val="00FE3A05"/>
    <w:rsid w:val="00FF1B0F"/>
    <w:rsid w:val="00FF360B"/>
    <w:rsid w:val="00FF4956"/>
    <w:rsid w:val="00FF6B4B"/>
    <w:rsid w:val="00FF7C6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C5CA-A7BD-45CE-9751-9B5573ED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13</cp:revision>
  <cp:lastPrinted>2024-03-29T07:44:00Z</cp:lastPrinted>
  <dcterms:created xsi:type="dcterms:W3CDTF">2026-07-01T09:14:00Z</dcterms:created>
  <dcterms:modified xsi:type="dcterms:W3CDTF">2026-07-01T10:02:00Z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