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C12647C">
      <w:pPr>
        <w:pStyle w:val="style1"/>
        <w:spacing w:after="240" w:afterLines="100"/>
        <w:rPr>
          <w:rFonts w:ascii="宋体" w:cs="宋体" w:eastAsia="宋体" w:hAnsi="宋体" w:hint="eastAsia"/>
          <w:sz w:val="20"/>
          <w:szCs w:val="20"/>
          <w:lang w:val="en-US"/>
        </w:rPr>
      </w:pPr>
      <w:r>
        <w:rPr>
          <w:rFonts w:ascii="宋体" w:cs="宋体" w:eastAsia="宋体" w:hAnsi="宋体" w:hint="eastAsia"/>
          <w:sz w:val="20"/>
          <w:szCs w:val="20"/>
          <w:lang w:val="en-US"/>
        </w:rPr>
        <w:t xml:space="preserve">证券代码：603038   </w:t>
      </w:r>
      <w:r>
        <w:rPr>
          <w:rFonts w:ascii="宋体" w:cs="宋体" w:eastAsia="宋体" w:hAnsi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cs="宋体" w:eastAsia="宋体" w:hAnsi="宋体" w:hint="eastAsia"/>
          <w:sz w:val="20"/>
          <w:szCs w:val="20"/>
          <w:lang w:val="en-US"/>
        </w:rPr>
        <w:t>证券简称：华立股份</w:t>
      </w:r>
    </w:p>
    <w:p w14:paraId="07F6AFC7">
      <w:pPr>
        <w:pStyle w:val="style0"/>
        <w:spacing w:lineRule="auto" w:line="360"/>
        <w:jc w:val="center"/>
        <w:rPr>
          <w:rFonts w:ascii="宋体" w:cs="宋体" w:eastAsia="宋体" w:hAnsi="宋体" w:hint="eastAsia"/>
          <w:b/>
          <w:bCs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sz w:val="44"/>
          <w:szCs w:val="44"/>
        </w:rPr>
        <w:t>东莞市华立实业股份有限公司</w:t>
      </w:r>
    </w:p>
    <w:p w14:paraId="7677E5CD">
      <w:pPr>
        <w:pStyle w:val="style0"/>
        <w:spacing w:lineRule="auto" w:line="360"/>
        <w:jc w:val="center"/>
        <w:rPr>
          <w:rFonts w:ascii="宋体" w:cs="宋体" w:eastAsia="宋体" w:hAnsi="宋体" w:hint="eastAsia"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sz w:val="44"/>
          <w:szCs w:val="44"/>
        </w:rPr>
        <w:t>投资者关系活动记录表</w:t>
      </w:r>
    </w:p>
    <w:p w14:paraId="4F556D09">
      <w:pPr>
        <w:pStyle w:val="style0"/>
        <w:spacing w:before="51" w:after="32"/>
        <w:ind w:right="619"/>
        <w:jc w:val="right"/>
        <w:rPr>
          <w:rFonts w:ascii="宋体" w:cs="宋体" w:eastAsia="宋体" w:hAnsi="宋体" w:hint="eastAsia"/>
          <w:sz w:val="20"/>
          <w:szCs w:val="20"/>
          <w:lang w:val="en-US"/>
        </w:rPr>
      </w:pPr>
      <w:r>
        <w:rPr>
          <w:rFonts w:ascii="宋体" w:cs="宋体" w:eastAsia="宋体" w:hAnsi="宋体" w:hint="eastAsia"/>
          <w:sz w:val="20"/>
          <w:szCs w:val="20"/>
        </w:rPr>
        <w:t>编号：</w:t>
      </w:r>
      <w:r>
        <w:rPr>
          <w:rFonts w:ascii="宋体" w:cs="宋体" w:eastAsia="宋体" w:hAnsi="宋体" w:hint="eastAsia"/>
          <w:sz w:val="20"/>
          <w:szCs w:val="20"/>
          <w:lang w:val="en-US"/>
        </w:rPr>
        <w:t>2026</w:t>
      </w:r>
      <w:r>
        <w:rPr>
          <w:rFonts w:ascii="宋体" w:cs="宋体" w:eastAsia="宋体" w:hAnsi="宋体" w:hint="eastAsia"/>
          <w:sz w:val="20"/>
          <w:szCs w:val="20"/>
        </w:rPr>
        <w:t>-00</w:t>
      </w:r>
      <w:r>
        <w:rPr>
          <w:rFonts w:ascii="宋体" w:cs="宋体" w:eastAsia="宋体" w:hAnsi="宋体"/>
          <w:sz w:val="20"/>
          <w:szCs w:val="20"/>
          <w:lang w:val="en-US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14:paraId="252877D8">
        <w:trPr>
          <w:trHeight w:val="2801" w:hRule="atLeast"/>
          <w:jc w:val="center"/>
        </w:trPr>
        <w:tc>
          <w:tcPr>
            <w:tcW w:w="2580" w:type="dxa"/>
            <w:tcBorders/>
            <w:vAlign w:val="center"/>
          </w:tcPr>
          <w:p w14:paraId="218DEF9C">
            <w:pPr>
              <w:pStyle w:val="style4097"/>
              <w:spacing w:before="1"/>
              <w:ind w:left="107"/>
              <w:jc w:val="both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tcBorders/>
          </w:tcPr>
          <w:p w14:paraId="6DF50A09">
            <w:pPr>
              <w:pStyle w:val="style4097"/>
              <w:spacing w:before="7"/>
              <w:rPr>
                <w:rFonts w:ascii="宋体" w:cs="宋体" w:eastAsia="宋体" w:hAnsi="宋体" w:hint="eastAsia"/>
                <w:sz w:val="20"/>
                <w:szCs w:val="20"/>
              </w:rPr>
            </w:pPr>
          </w:p>
          <w:p w14:paraId="2E47DD61">
            <w:pPr>
              <w:pStyle w:val="style4097"/>
              <w:tabs>
                <w:tab w:val="left" w:leader="none" w:pos="2418"/>
              </w:tabs>
              <w:spacing w:before="1"/>
              <w:ind w:left="107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特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对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调研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ab/>
            </w: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分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师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议</w:t>
            </w:r>
          </w:p>
          <w:p w14:paraId="3051830F">
            <w:pPr>
              <w:pStyle w:val="style4097"/>
              <w:spacing w:before="11"/>
              <w:rPr>
                <w:rFonts w:ascii="宋体" w:cs="宋体" w:eastAsia="宋体" w:hAnsi="宋体" w:hint="eastAsia"/>
                <w:sz w:val="20"/>
                <w:szCs w:val="20"/>
              </w:rPr>
            </w:pPr>
          </w:p>
          <w:p w14:paraId="53E30CDE">
            <w:pPr>
              <w:pStyle w:val="style4097"/>
              <w:tabs>
                <w:tab w:val="left" w:leader="none" w:pos="2418"/>
              </w:tabs>
              <w:ind w:left="107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媒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采访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ab/>
            </w: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业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说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会</w:t>
            </w:r>
          </w:p>
          <w:p w14:paraId="71CE1793">
            <w:pPr>
              <w:pStyle w:val="style4097"/>
              <w:spacing w:before="8"/>
              <w:rPr>
                <w:rFonts w:ascii="宋体" w:cs="宋体" w:eastAsia="宋体" w:hAnsi="宋体" w:hint="eastAsia"/>
                <w:sz w:val="20"/>
                <w:szCs w:val="20"/>
              </w:rPr>
            </w:pPr>
          </w:p>
          <w:p w14:paraId="0A2A9BFC">
            <w:pPr>
              <w:pStyle w:val="style4097"/>
              <w:tabs>
                <w:tab w:val="left" w:leader="none" w:pos="2418"/>
              </w:tabs>
              <w:ind w:left="107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新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发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会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ab/>
            </w:r>
            <w:r>
              <w:rPr>
                <w:rFonts w:ascii="Wingdings 2" w:cs="宋体" w:eastAsia="MS Gothic" w:hAnsi="Wingdings 2" w:hint="eastAsia"/>
                <w:sz w:val="20"/>
                <w:szCs w:val="20"/>
              </w:rPr>
              <w:t>R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路</w:t>
            </w:r>
            <w:r>
              <w:rPr>
                <w:rFonts w:ascii="宋体" w:cs="宋体" w:eastAsia="宋体" w:hAnsi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活动</w:t>
            </w:r>
          </w:p>
          <w:p w14:paraId="1AB4B023">
            <w:pPr>
              <w:pStyle w:val="style4097"/>
              <w:spacing w:before="8"/>
              <w:rPr>
                <w:rFonts w:ascii="宋体" w:cs="宋体" w:eastAsia="宋体" w:hAnsi="宋体" w:hint="eastAsia"/>
                <w:sz w:val="20"/>
                <w:szCs w:val="20"/>
              </w:rPr>
            </w:pPr>
          </w:p>
          <w:p w14:paraId="6C942AF8">
            <w:pPr>
              <w:pStyle w:val="style4097"/>
              <w:ind w:left="107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现场参观</w:t>
            </w:r>
          </w:p>
          <w:p w14:paraId="17BEC60C">
            <w:pPr>
              <w:pStyle w:val="style4097"/>
              <w:spacing w:before="11"/>
              <w:rPr>
                <w:rFonts w:ascii="宋体" w:cs="宋体" w:eastAsia="宋体" w:hAnsi="宋体" w:hint="eastAsia"/>
                <w:sz w:val="20"/>
                <w:szCs w:val="20"/>
              </w:rPr>
            </w:pPr>
          </w:p>
          <w:p w14:paraId="6439346D">
            <w:pPr>
              <w:pStyle w:val="style4097"/>
              <w:ind w:left="107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MS Gothic" w:cs="宋体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其他（</w:t>
            </w:r>
            <w:r>
              <w:rPr>
                <w:rFonts w:ascii="宋体" w:cs="宋体" w:eastAsia="宋体" w:hAnsi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A51F74C">
        <w:tblPrEx/>
        <w:trPr>
          <w:trHeight w:val="671" w:hRule="atLeast"/>
          <w:jc w:val="center"/>
        </w:trPr>
        <w:tc>
          <w:tcPr>
            <w:tcW w:w="2580" w:type="dxa"/>
            <w:tcBorders/>
            <w:vAlign w:val="center"/>
          </w:tcPr>
          <w:p w14:paraId="76701D1D">
            <w:pPr>
              <w:pStyle w:val="style4097"/>
              <w:spacing w:lineRule="exact" w:line="560"/>
              <w:ind w:left="107" w:right="96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tcBorders/>
            <w:vAlign w:val="center"/>
          </w:tcPr>
          <w:p w14:paraId="2E507533">
            <w:pPr>
              <w:pStyle w:val="style4097"/>
              <w:spacing w:before="100" w:beforeAutospacing="true" w:lineRule="auto" w:line="360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sz w:val="20"/>
                <w:szCs w:val="20"/>
              </w:rPr>
              <w:t>东北证券、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华泰证券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国金证券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、东亚前海证券、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上海承风私募、上海天倚道资管、渤源资产、上海道合咨询、九方智投、川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商基金、好买基金、势投金融、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臻垚基金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企业观察报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、天琛私募、林孚私募、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上海青拓资管、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宁波彩霞湾投资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、上海沃胜私募、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上海迈朵实业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嘉谌创投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中财招商投资集团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承风金萍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上海爱涨文化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理石投资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（</w:t>
            </w:r>
            <w:r>
              <w:rPr>
                <w:rFonts w:ascii="宋体" w:cs="宋体" w:eastAsia="宋体" w:hAnsi="宋体"/>
                <w:sz w:val="20"/>
                <w:szCs w:val="20"/>
              </w:rPr>
              <w:t>排名不分先后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）</w:t>
            </w:r>
          </w:p>
        </w:tc>
      </w:tr>
      <w:tr w14:paraId="5E0F7504">
        <w:tblPrEx/>
        <w:trPr>
          <w:trHeight w:val="558" w:hRule="atLeast"/>
          <w:jc w:val="center"/>
        </w:trPr>
        <w:tc>
          <w:tcPr>
            <w:tcW w:w="2580" w:type="dxa"/>
            <w:tcBorders/>
            <w:vAlign w:val="center"/>
          </w:tcPr>
          <w:p w14:paraId="1CF4F7C1">
            <w:pPr>
              <w:pStyle w:val="style4097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tcBorders/>
            <w:vAlign w:val="center"/>
          </w:tcPr>
          <w:p w14:paraId="494CA159">
            <w:pPr>
              <w:pStyle w:val="style0"/>
              <w:spacing w:before="100" w:beforeAutospacing="true" w:lineRule="auto" w:line="360"/>
              <w:rPr>
                <w:rFonts w:hint="eastAsia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sz w:val="20"/>
                <w:szCs w:val="20"/>
              </w:rPr>
              <w:t>2026年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月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30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 xml:space="preserve">日 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15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: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3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0-17: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3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0</w:t>
            </w:r>
          </w:p>
        </w:tc>
      </w:tr>
      <w:tr w14:paraId="5C22E297">
        <w:tblPrEx/>
        <w:trPr>
          <w:trHeight w:val="561" w:hRule="atLeast"/>
          <w:jc w:val="center"/>
        </w:trPr>
        <w:tc>
          <w:tcPr>
            <w:tcW w:w="2580" w:type="dxa"/>
            <w:tcBorders/>
            <w:vAlign w:val="center"/>
          </w:tcPr>
          <w:p w14:paraId="44DD0248">
            <w:pPr>
              <w:pStyle w:val="style4097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tcBorders/>
            <w:vAlign w:val="center"/>
          </w:tcPr>
          <w:p w14:paraId="2AF8F589">
            <w:pPr>
              <w:pStyle w:val="style4097"/>
              <w:spacing w:before="100" w:beforeAutospacing="true" w:lineRule="auto" w:line="360"/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</w:pP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上海浦东新区TOP新联T1座3层路演厅</w:t>
            </w:r>
          </w:p>
        </w:tc>
      </w:tr>
      <w:tr w14:paraId="166E9807">
        <w:tblPrEx/>
        <w:trPr>
          <w:trHeight w:val="558" w:hRule="atLeast"/>
          <w:jc w:val="center"/>
        </w:trPr>
        <w:tc>
          <w:tcPr>
            <w:tcW w:w="2580" w:type="dxa"/>
            <w:tcBorders/>
            <w:vAlign w:val="center"/>
          </w:tcPr>
          <w:p w14:paraId="4143FD42">
            <w:pPr>
              <w:pStyle w:val="style4097"/>
              <w:spacing w:before="1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tcBorders/>
            <w:vAlign w:val="center"/>
          </w:tcPr>
          <w:p w14:paraId="1E92723B">
            <w:pPr>
              <w:pStyle w:val="style4097"/>
              <w:widowControl/>
              <w:autoSpaceDE/>
              <w:autoSpaceDN/>
              <w:spacing w:lineRule="auto" w:line="360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宋体" w:cs="宋体" w:eastAsia="宋体" w:hAnsi="宋体"/>
                <w:sz w:val="20"/>
                <w:szCs w:val="20"/>
              </w:rPr>
              <w:t>董事长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、总裁： 董建刚</w:t>
            </w:r>
          </w:p>
          <w:p w14:paraId="6DC7FE48">
            <w:pPr>
              <w:pStyle w:val="style4097"/>
              <w:widowControl/>
              <w:autoSpaceDE/>
              <w:autoSpaceDN/>
              <w:spacing w:lineRule="auto" w:line="360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宋体" w:cs="宋体" w:eastAsia="宋体" w:hAnsi="宋体"/>
                <w:sz w:val="20"/>
                <w:szCs w:val="20"/>
              </w:rPr>
              <w:t>副总裁、董事会秘书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：</w:t>
            </w:r>
            <w:r>
              <w:rPr>
                <w:rFonts w:ascii="宋体" w:cs="宋体" w:eastAsia="宋体" w:hAnsi="宋体"/>
                <w:sz w:val="20"/>
                <w:szCs w:val="20"/>
              </w:rPr>
              <w:t>孙伟</w:t>
            </w:r>
          </w:p>
        </w:tc>
      </w:tr>
      <w:tr w14:paraId="42E70676">
        <w:tblPrEx/>
        <w:trPr>
          <w:trHeight w:val="983" w:hRule="atLeast"/>
          <w:jc w:val="center"/>
        </w:trPr>
        <w:tc>
          <w:tcPr>
            <w:tcW w:w="2580" w:type="dxa"/>
            <w:tcBorders/>
            <w:vAlign w:val="center"/>
          </w:tcPr>
          <w:p w14:paraId="1AEE2234">
            <w:pPr>
              <w:pStyle w:val="style4097"/>
              <w:spacing w:before="1"/>
              <w:ind w:left="107" w:right="96"/>
              <w:jc w:val="center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投资者关系活动</w:t>
            </w:r>
          </w:p>
          <w:p w14:paraId="7C5DD785">
            <w:pPr>
              <w:pStyle w:val="style4097"/>
              <w:spacing w:before="1"/>
              <w:ind w:left="107" w:right="96"/>
              <w:jc w:val="center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主</w:t>
            </w: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要内容介绍</w:t>
            </w:r>
          </w:p>
        </w:tc>
        <w:tc>
          <w:tcPr>
            <w:tcW w:w="5945" w:type="dxa"/>
            <w:tcBorders/>
            <w:vAlign w:val="center"/>
          </w:tcPr>
          <w:p w14:paraId="640DEB5E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在本次投资者交流会上，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机构提问与交流情况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：</w:t>
            </w:r>
          </w:p>
          <w:p w14:paraId="53A18BEF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问题1：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请问管理层如何看待当前国内水务行业的发展阶段、行业属性，以及过去几年行业在技术、商业模式和市场边界上发生的核心变化？</w:t>
            </w:r>
          </w:p>
          <w:p w14:paraId="77824263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我们认为国内水务行业正处于“估值逻辑重塑”的新发展阶段。行业属性正由传统的公用事业，向“基建+数字科技+民生消费”的复合型产业延伸。</w:t>
            </w:r>
          </w:p>
          <w:p w14:paraId="5B39C5C0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公司的核心逻辑在于把握三大增量市场：</w:t>
            </w:r>
          </w:p>
          <w:p w14:paraId="52644545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一是水厂新建及老旧提标改造；</w:t>
            </w:r>
          </w:p>
          <w:p w14:paraId="6BC23ED5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二是水务数字化与智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能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化升级；</w:t>
            </w:r>
          </w:p>
          <w:p w14:paraId="15F15842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三是高附加值的管道直饮水等细分市场。</w:t>
            </w:r>
          </w:p>
          <w:p w14:paraId="66D39E96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我们的商业模式正从传统的设备销售，升级为“核心膜材料+智能装备+数字化平台长效运营”的体系，这不仅能拓宽市场边界，还能带来更具持续性的运维现金流，打开了传统水务的成长空间。</w:t>
            </w:r>
          </w:p>
          <w:p w14:paraId="5F77CCB0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问题2：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借力国家大力推动的“六张网”基础设施建设政策，公司在水网和地下管网领域有哪些具体的业务布局、技术储备与发展机遇？</w:t>
            </w:r>
          </w:p>
          <w:p w14:paraId="6734F1D3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围绕国家水网及地下管网的更新改造政策，公司主要在水网智能化改造和地下管网监测方向进行了布局。我们依托自产的超滤膜组件和自研的“磐石”智慧水务平台，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能够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提供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智能装备、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管网漏损监测、水质在线感知等一体化交付能力。</w:t>
            </w:r>
          </w:p>
          <w:p w14:paraId="752E08EF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问题3：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在水务行业科技化升级背景下，公司在“智能+水务”垂直领域有哪些技术布局与具体落地应用场景？</w:t>
            </w:r>
          </w:p>
          <w:p w14:paraId="0219BE80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公司深耕水务行业多年，积累了大量的数据和算法，自研的"磐石"智慧水务平台是水务行业的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数字化平台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可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实现24小时水质在线监测、设备运行优化、故障预警及远程无人值守运维。</w:t>
            </w:r>
          </w:p>
          <w:p w14:paraId="30ADE9C6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公司智能+水务覆盖全产业链多元场景：</w:t>
            </w:r>
          </w:p>
          <w:p w14:paraId="1AEE3065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一是水厂智能管控，依托自研磐石数字化平台，搭载智能水质预测、膜污染智能识别算法，打造数字孪生无人水厂，实现产线自动调控、故障提前预警；</w:t>
            </w:r>
          </w:p>
          <w:p w14:paraId="3EC3468B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二是管网智慧运维，算法精准测算管网漏损点位、水力工况，降低管网耗损；</w:t>
            </w:r>
          </w:p>
          <w:p w14:paraId="647610A5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三是全域运营管理，通过智能调度系统统筹城乡供水、污水处理，实现能耗、运维成本大幅优化。</w:t>
            </w:r>
          </w:p>
          <w:p w14:paraId="20697517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此外，公司与相关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行业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企业（如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上海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图灵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公司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开展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战略合作，初步探索前沿技术在水务数据安全中的融合。</w:t>
            </w:r>
          </w:p>
          <w:p w14:paraId="730019A5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宏观政策的落地转化为具体订单尚存不确定性。同时，前沿技术储备短期内尚未且不会为公司带来实质性营收，请投资者理性看待，切勿盲目炒作热点概念。</w:t>
            </w:r>
          </w:p>
          <w:p w14:paraId="65E4CD58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问题4：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结合近期外宾来访，公司整体的海外业务布局思路、重点区域规划以及目前在海外市场取得的实质性进展是怎样的？</w:t>
            </w:r>
          </w:p>
          <w:p w14:paraId="15A6934B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海外业务方面，公司构建了“贸易输出+本地运营”双轮驱动路径，目前重点拓展中亚、东南亚等市场。2025年公司境外营业收入已达到1.06亿元，</w:t>
            </w:r>
          </w:p>
          <w:p w14:paraId="326D746C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近期乌兹别克斯坦代表团的到访，也将进一步助力公司探索超滤水厂、智慧水务装备在当地的落地机会。</w:t>
            </w:r>
          </w:p>
          <w:p w14:paraId="2C181459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问题5：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公司与东莞水务集团签约合作直饮水项目的核心初衷、战略考量、市场判断以及后续的拓展规划是什么？</w:t>
            </w:r>
          </w:p>
          <w:p w14:paraId="32D16E41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直饮水市场中长期成长空间广阔。本次与东莞水务集团合作的核心初衷，是发挥国企区域管网综合运营资源与民企硬核膜技术、数字化平台的双向互补优势。</w:t>
            </w:r>
          </w:p>
          <w:p w14:paraId="277F77E0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本次合作有助于公司依托自身“超滤+纳滤”双膜法净水工艺及数字运营体系，切入城市直饮水赛道。双方致力于以东莞为样板，稳步推进分质供水及直饮水民生工程示范项目，未来视项目落地情况，有望将成熟的建设与运营标准向更多区域辐射。</w:t>
            </w:r>
          </w:p>
          <w:p w14:paraId="6026920F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该合作目前为战略框架，具体项目的落地、投资规模及覆盖节奏仍需视实际实施情况而定，业务扩张存在不确定性。</w:t>
            </w:r>
          </w:p>
          <w:p w14:paraId="42BE2071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问题6：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2025年公司建材板材板块营收实现10%以上逆势增长的核心驱动因素是什么，且该板块未来的增长逻辑是否具备可持续性？</w:t>
            </w:r>
          </w:p>
          <w:p w14:paraId="12EF6479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2025年，在下游市场整体承压的大环境下，公司装饰复合材料业务实现营收9.55亿元，逆势同比增长10.90%，毛利率提升至24.62%。特别是核心产品饰面板收入大幅增长45.88%。</w:t>
            </w:r>
          </w:p>
          <w:p w14:paraId="04EE2C22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这一亮眼表现主要得益于公司“数智融合”战略及精准的渠道定位：</w:t>
            </w:r>
          </w:p>
          <w:p w14:paraId="401FD457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模式创新：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通过自研的虹湾家居平台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及全国仓储网络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创新推行“现货库存+单件起定量”的柔性供应链模式，精准切中中小定制家居工厂和家装门店碎片化、急单补单的需求，大幅降低了B端客户采购门槛，深度绑定了下沉市场。</w:t>
            </w:r>
          </w:p>
          <w:p w14:paraId="2021EC18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产品壁垒：公司紧抓整家定制、存量翻新的需求，旗下“华富立”饰面板取得国标环保认证，并依托自有技术实现“原厂板边一体化”配套，成功避开低端价格战，持续斩获了大量增量订单。</w:t>
            </w:r>
          </w:p>
          <w:p w14:paraId="506B0A11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2" w:firstLineChars="200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问题7：</w:t>
            </w: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公司在市值管理、投资者回报以及结合“新质生产力”导向加大业务与研发投入方面，有哪些具体的举措与长期规划？</w:t>
            </w:r>
          </w:p>
          <w:p w14:paraId="356E149B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答：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在市值管理层面，公司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以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双轮驱动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val="en-US"/>
              </w:rPr>
              <w:t>为业务战略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、做实基本面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。</w:t>
            </w:r>
          </w:p>
          <w:p w14:paraId="5B193D66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建材板块充当“现金牛”，持续贡献稳定的利润；智慧水务板块打造强劲的“第二增长曲线”。同时，公司高度重视投资者回报，未来将在保障日常经营的前提下，坚持稳健的现金分红政策，依法合规传递公司价值。</w:t>
            </w:r>
          </w:p>
          <w:p w14:paraId="6CA265A8">
            <w:pPr>
              <w:pStyle w:val="style0"/>
              <w:widowControl/>
              <w:overflowPunct w:val="false"/>
              <w:autoSpaceDE/>
              <w:autoSpaceDN/>
              <w:spacing w:lineRule="auto" w:line="360"/>
              <w:ind w:firstLine="400" w:firstLineChars="200"/>
              <w:jc w:val="both"/>
              <w:rPr>
                <w:rFonts w:ascii="宋体" w:cs="宋体" w:eastAsia="宋体" w:hAnsi="宋体" w:hint="eastAsia"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在做强主业的基础上，结合公司在智能制造和水务行业丰富的应用场景和大量的数据，寻找外部合作伙伴，共同推动智能+产业的政策在公司落地，以期实现快速发展。</w:t>
            </w:r>
          </w:p>
        </w:tc>
      </w:tr>
      <w:tr w14:paraId="060A48E9">
        <w:tblPrEx/>
        <w:trPr>
          <w:trHeight w:val="999" w:hRule="atLeast"/>
          <w:jc w:val="center"/>
        </w:trPr>
        <w:tc>
          <w:tcPr>
            <w:tcW w:w="2580" w:type="dxa"/>
            <w:tcBorders/>
            <w:vAlign w:val="center"/>
          </w:tcPr>
          <w:p w14:paraId="4A544600">
            <w:pPr>
              <w:pStyle w:val="style4097"/>
              <w:spacing w:before="1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关于本次活动是否涉及应</w:t>
            </w:r>
          </w:p>
          <w:p w14:paraId="093F772F">
            <w:pPr>
              <w:pStyle w:val="style4097"/>
              <w:spacing w:before="1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tcBorders/>
            <w:vAlign w:val="center"/>
          </w:tcPr>
          <w:p w14:paraId="2C13BB22">
            <w:pPr>
              <w:pStyle w:val="style4097"/>
              <w:spacing w:before="100" w:beforeAutospacing="true" w:lineRule="auto" w:line="360"/>
              <w:rPr>
                <w:rFonts w:ascii="宋体" w:cs="宋体" w:eastAsia="宋体" w:hAnsi="宋体" w:hint="eastAsia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14:paraId="4BCB1926">
        <w:tblPrEx/>
        <w:trPr>
          <w:trHeight w:val="558" w:hRule="atLeast"/>
          <w:jc w:val="center"/>
        </w:trPr>
        <w:tc>
          <w:tcPr>
            <w:tcW w:w="2580" w:type="dxa"/>
            <w:tcBorders/>
            <w:vAlign w:val="center"/>
          </w:tcPr>
          <w:p w14:paraId="3D95389A">
            <w:pPr>
              <w:pStyle w:val="style4097"/>
              <w:spacing w:before="1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tcBorders/>
            <w:vAlign w:val="center"/>
          </w:tcPr>
          <w:p w14:paraId="412F963A">
            <w:pPr>
              <w:pStyle w:val="style4097"/>
              <w:spacing w:before="100" w:beforeAutospacing="true" w:lineRule="auto" w:line="360"/>
              <w:rPr>
                <w:rFonts w:ascii="宋体" w:cs="宋体" w:eastAsia="宋体" w:hAnsi="宋体" w:hint="eastAsia"/>
                <w:sz w:val="20"/>
                <w:szCs w:val="20"/>
              </w:rPr>
            </w:pPr>
          </w:p>
        </w:tc>
      </w:tr>
      <w:tr w14:paraId="46CEF415">
        <w:tblPrEx/>
        <w:trPr>
          <w:trHeight w:val="558" w:hRule="atLeast"/>
          <w:jc w:val="center"/>
        </w:trPr>
        <w:tc>
          <w:tcPr>
            <w:tcW w:w="2580" w:type="dxa"/>
            <w:tcBorders/>
            <w:vAlign w:val="center"/>
          </w:tcPr>
          <w:p w14:paraId="6B11DE49">
            <w:pPr>
              <w:pStyle w:val="style4097"/>
              <w:spacing w:before="1"/>
              <w:ind w:left="107"/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tcBorders/>
            <w:vAlign w:val="center"/>
          </w:tcPr>
          <w:p w14:paraId="17B73E68">
            <w:pPr>
              <w:pStyle w:val="style4097"/>
              <w:spacing w:before="100" w:beforeAutospacing="true"/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</w:pPr>
            <w:r>
              <w:rPr>
                <w:rFonts w:ascii="宋体" w:cs="宋体" w:eastAsia="宋体" w:hAnsi="宋体"/>
                <w:sz w:val="20"/>
                <w:szCs w:val="20"/>
              </w:rPr>
              <w:t>202</w:t>
            </w:r>
            <w:r>
              <w:rPr>
                <w:rFonts w:ascii="宋体" w:cs="宋体" w:eastAsia="宋体" w:hAnsi="宋体" w:hint="eastAsia"/>
                <w:sz w:val="20"/>
                <w:szCs w:val="20"/>
              </w:rPr>
              <w:t>6</w:t>
            </w:r>
            <w:r>
              <w:rPr>
                <w:rFonts w:ascii="宋体" w:cs="宋体" w:eastAsia="宋体" w:hAnsi="宋体"/>
                <w:sz w:val="20"/>
                <w:szCs w:val="20"/>
              </w:rPr>
              <w:t>年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宋体" w:cs="宋体" w:eastAsia="宋体" w:hAnsi="宋体"/>
                <w:sz w:val="20"/>
                <w:szCs w:val="20"/>
              </w:rPr>
              <w:t>月</w:t>
            </w:r>
            <w:r>
              <w:rPr>
                <w:rFonts w:ascii="宋体" w:cs="宋体" w:eastAsia="宋体" w:hAnsi="宋体" w:hint="eastAsia"/>
                <w:sz w:val="20"/>
                <w:szCs w:val="20"/>
                <w:lang w:val="en-US"/>
              </w:rPr>
              <w:t>30</w:t>
            </w:r>
            <w:r>
              <w:rPr>
                <w:rFonts w:ascii="宋体" w:cs="宋体" w:eastAsia="宋体" w:hAnsi="宋体"/>
                <w:sz w:val="20"/>
                <w:szCs w:val="20"/>
              </w:rPr>
              <w:t>日</w:t>
            </w:r>
          </w:p>
        </w:tc>
      </w:tr>
    </w:tbl>
    <w:p w14:paraId="7986A5E5">
      <w:pPr>
        <w:pStyle w:val="style0"/>
        <w:rPr>
          <w:rFonts w:ascii="宋体" w:cs="宋体" w:eastAsia="宋体" w:hAnsi="宋体" w:hint="eastAsia"/>
          <w:color w:val="0000ff"/>
          <w:sz w:val="28"/>
          <w:szCs w:val="28"/>
        </w:rPr>
      </w:pPr>
    </w:p>
    <w:sectPr>
      <w:type w:val="continuous"/>
      <w:pgSz w:w="11910" w:h="16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0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仿宋" w:cs="仿宋" w:eastAsia="仿宋" w:hAnsi="仿宋"/>
      <w:sz w:val="22"/>
      <w:szCs w:val="22"/>
      <w:lang w:val="zh-CN" w:bidi="zh-CN"/>
    </w:rPr>
  </w:style>
  <w:style w:type="paragraph" w:styleId="style1">
    <w:name w:val="heading 1"/>
    <w:basedOn w:val="style0"/>
    <w:next w:val="style0"/>
    <w:qFormat/>
    <w:uiPriority w:val="1"/>
    <w:pPr>
      <w:outlineLvl w:val="0"/>
    </w:pPr>
    <w:rPr>
      <w:rFonts w:ascii="PMingLiU" w:cs="PMingLiU" w:eastAsia="PMingLiU" w:hAnsi="PMingLiU"/>
      <w:sz w:val="44"/>
      <w:szCs w:val="44"/>
    </w:rPr>
  </w:style>
  <w:style w:type="paragraph" w:styleId="style2">
    <w:name w:val="heading 2"/>
    <w:basedOn w:val="style0"/>
    <w:next w:val="style0"/>
    <w:link w:val="style4103"/>
    <w:qFormat/>
    <w:pPr>
      <w:keepNext/>
      <w:keepLines/>
      <w:spacing w:before="260" w:after="260" w:lineRule="auto" w:line="416"/>
      <w:outlineLvl w:val="1"/>
    </w:pPr>
    <w:rPr>
      <w:rFonts w:ascii="Calibri Light" w:cs="宋体" w:eastAsia="宋体" w:hAnsi="Calibri Light"/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9">
    <w:name w:val="annotation reference"/>
    <w:basedOn w:val="style65"/>
    <w:next w:val="style39"/>
    <w:qFormat/>
    <w:rPr>
      <w:sz w:val="21"/>
      <w:szCs w:val="21"/>
    </w:rPr>
  </w:style>
  <w:style w:type="paragraph" w:styleId="style31">
    <w:name w:val="header"/>
    <w:basedOn w:val="style0"/>
    <w:next w:val="style31"/>
    <w:link w:val="style4098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30">
    <w:name w:val="annotation text"/>
    <w:basedOn w:val="style0"/>
    <w:next w:val="style30"/>
    <w:link w:val="style4100"/>
    <w:qFormat/>
    <w:pPr/>
  </w:style>
  <w:style w:type="paragraph" w:styleId="style66">
    <w:name w:val="Body Text"/>
    <w:basedOn w:val="style0"/>
    <w:next w:val="style66"/>
    <w:qFormat/>
    <w:uiPriority w:val="1"/>
    <w:pPr>
      <w:ind w:left="220"/>
    </w:pPr>
    <w:rPr>
      <w:sz w:val="32"/>
      <w:szCs w:val="32"/>
    </w:rPr>
  </w:style>
  <w:style w:type="paragraph" w:styleId="style32">
    <w:name w:val="footer"/>
    <w:basedOn w:val="style0"/>
    <w:next w:val="style32"/>
    <w:link w:val="style4099"/>
    <w:qFormat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1"/>
    <w:qFormat/>
    <w:pPr/>
    <w:rPr>
      <w:b/>
      <w:bCs/>
    </w:rPr>
  </w:style>
  <w:style w:type="paragraph" w:styleId="style153">
    <w:name w:val="Balloon Text"/>
    <w:basedOn w:val="style0"/>
    <w:next w:val="style153"/>
    <w:link w:val="style4102"/>
    <w:qFormat/>
    <w:pPr/>
    <w:rPr>
      <w:sz w:val="18"/>
      <w:szCs w:val="18"/>
    </w:rPr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页眉 字符"/>
    <w:basedOn w:val="style65"/>
    <w:next w:val="style4098"/>
    <w:link w:val="style31"/>
    <w:qFormat/>
    <w:rPr>
      <w:rFonts w:ascii="仿宋" w:cs="仿宋" w:eastAsia="仿宋" w:hAnsi="仿宋"/>
      <w:sz w:val="18"/>
      <w:szCs w:val="18"/>
      <w:lang w:val="zh-CN" w:bidi="zh-CN"/>
    </w:rPr>
  </w:style>
  <w:style w:type="character" w:customStyle="1" w:styleId="style4099">
    <w:name w:val="页脚 字符"/>
    <w:basedOn w:val="style65"/>
    <w:next w:val="style4099"/>
    <w:link w:val="style32"/>
    <w:qFormat/>
    <w:rPr>
      <w:rFonts w:ascii="仿宋" w:cs="仿宋" w:eastAsia="仿宋" w:hAnsi="仿宋"/>
      <w:sz w:val="18"/>
      <w:szCs w:val="18"/>
      <w:lang w:val="zh-CN" w:bidi="zh-CN"/>
    </w:rPr>
  </w:style>
  <w:style w:type="character" w:customStyle="1" w:styleId="style4100">
    <w:name w:val="批注文字 字符"/>
    <w:basedOn w:val="style65"/>
    <w:next w:val="style4100"/>
    <w:link w:val="style30"/>
    <w:qFormat/>
    <w:rPr>
      <w:rFonts w:ascii="仿宋" w:cs="仿宋" w:eastAsia="仿宋" w:hAnsi="仿宋"/>
      <w:sz w:val="22"/>
      <w:szCs w:val="22"/>
      <w:lang w:val="zh-CN" w:bidi="zh-CN"/>
    </w:rPr>
  </w:style>
  <w:style w:type="character" w:customStyle="1" w:styleId="style4101">
    <w:name w:val="批注主题 字符"/>
    <w:basedOn w:val="style4100"/>
    <w:next w:val="style4101"/>
    <w:link w:val="style106"/>
    <w:qFormat/>
    <w:rPr>
      <w:rFonts w:ascii="仿宋" w:cs="仿宋" w:eastAsia="仿宋" w:hAnsi="仿宋"/>
      <w:b/>
      <w:bCs/>
      <w:sz w:val="22"/>
      <w:szCs w:val="22"/>
      <w:lang w:val="zh-CN" w:bidi="zh-CN"/>
    </w:rPr>
  </w:style>
  <w:style w:type="character" w:customStyle="1" w:styleId="style4102">
    <w:name w:val="批注框文本 字符"/>
    <w:basedOn w:val="style65"/>
    <w:next w:val="style4102"/>
    <w:link w:val="style153"/>
    <w:qFormat/>
    <w:rPr>
      <w:rFonts w:ascii="仿宋" w:cs="仿宋" w:eastAsia="仿宋" w:hAnsi="仿宋"/>
      <w:sz w:val="18"/>
      <w:szCs w:val="18"/>
      <w:lang w:val="zh-CN" w:bidi="zh-CN"/>
    </w:rPr>
  </w:style>
  <w:style w:type="character" w:customStyle="1" w:styleId="style4103">
    <w:name w:val="标题 2 字符"/>
    <w:basedOn w:val="style65"/>
    <w:next w:val="style4103"/>
    <w:link w:val="style2"/>
    <w:rPr>
      <w:rFonts w:ascii="Calibri Light" w:cs="宋体" w:eastAsia="宋体" w:hAnsi="Calibri Light"/>
      <w:b/>
      <w:bCs/>
      <w:sz w:val="32"/>
      <w:szCs w:val="32"/>
      <w:lang w:val="zh-CN" w:bidi="zh-CN"/>
    </w:rPr>
  </w:style>
  <w:style w:type="paragraph" w:styleId="style178">
    <w:name w:val="Revision"/>
    <w:next w:val="style178"/>
    <w:uiPriority w:val="99"/>
    <w:pPr/>
    <w:rPr>
      <w:rFonts w:ascii="仿宋" w:cs="仿宋" w:eastAsia="仿宋" w:hAnsi="仿宋"/>
      <w:sz w:val="22"/>
      <w:szCs w:val="22"/>
      <w:lang w:val="zh-CN" w:bidi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Words>2325</Words>
  <Pages>4</Pages>
  <Characters>2391</Characters>
  <Application>WPS Office</Application>
  <DocSecurity>0</DocSecurity>
  <Paragraphs>77</Paragraphs>
  <ScaleCrop>false</ScaleCrop>
  <LinksUpToDate>false</LinksUpToDate>
  <CharactersWithSpaces>2437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2025-05-16T02:55:00Z</dcterms:created>
  <dc:creator>jie.huang</dc:creator>
  <lastModifiedBy>SM-F9560</lastModifiedBy>
  <dcterms:modified xsi:type="dcterms:W3CDTF">2026-07-02T04:51:29Z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3076-12.1.25205.25205</vt:lpwstr>
  </property>
  <property fmtid="{D5CDD505-2E9C-101B-9397-08002B2CF9AE}" pid="3" name="ICV">
    <vt:lpwstr>6f74bfd2d8154c2eaeb8c20a053fe539_23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