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CCE" w14:textId="71A72AB5" w:rsidR="00A8679F" w:rsidRPr="00BB1B05" w:rsidRDefault="00A8679F" w:rsidP="00A8679F">
      <w:pPr>
        <w:ind w:firstLine="480"/>
      </w:pPr>
    </w:p>
    <w:p w14:paraId="2362ED5D" w14:textId="7933A968" w:rsidR="00A8679F" w:rsidRPr="00BB1B05" w:rsidRDefault="00A8679F" w:rsidP="00A8679F">
      <w:pPr>
        <w:ind w:firstLineChars="50" w:firstLine="120"/>
        <w:rPr>
          <w:rFonts w:ascii="宋体" w:hAnsi="宋体" w:hint="eastAsia"/>
          <w:b/>
          <w:bCs/>
          <w:iCs/>
          <w:color w:val="000000"/>
        </w:rPr>
      </w:pPr>
      <w:r w:rsidRPr="00BB1B05">
        <w:rPr>
          <w:bCs/>
          <w:iCs/>
          <w:color w:val="000000"/>
        </w:rPr>
        <w:t>证券代码：</w:t>
      </w:r>
      <w:r w:rsidR="00931BB3">
        <w:rPr>
          <w:rFonts w:hint="eastAsia"/>
          <w:bCs/>
          <w:iCs/>
          <w:color w:val="000000"/>
        </w:rPr>
        <w:t>688302</w:t>
      </w:r>
      <w:r>
        <w:rPr>
          <w:bCs/>
          <w:iCs/>
          <w:color w:val="000000"/>
        </w:rPr>
        <w:t xml:space="preserve"> </w:t>
      </w:r>
      <w:r w:rsidRPr="00BB1B05">
        <w:rPr>
          <w:bCs/>
          <w:iCs/>
          <w:color w:val="000000"/>
        </w:rPr>
        <w:t xml:space="preserve">                          </w:t>
      </w:r>
      <w:r w:rsidR="00FC2D48">
        <w:rPr>
          <w:rFonts w:hint="eastAsia"/>
          <w:bCs/>
          <w:iCs/>
          <w:color w:val="000000"/>
        </w:rPr>
        <w:t xml:space="preserve">                                       </w:t>
      </w:r>
      <w:r w:rsidRPr="00BB1B05">
        <w:rPr>
          <w:bCs/>
          <w:iCs/>
          <w:color w:val="000000"/>
        </w:rPr>
        <w:t xml:space="preserve"> </w:t>
      </w:r>
      <w:r w:rsidRPr="00BB1B05">
        <w:rPr>
          <w:bCs/>
          <w:iCs/>
          <w:color w:val="000000"/>
        </w:rPr>
        <w:t>证券简称：</w:t>
      </w:r>
      <w:proofErr w:type="gramStart"/>
      <w:r w:rsidR="00931BB3">
        <w:rPr>
          <w:rFonts w:hint="eastAsia"/>
          <w:bCs/>
          <w:iCs/>
          <w:color w:val="000000"/>
        </w:rPr>
        <w:t>海创药业</w:t>
      </w:r>
      <w:proofErr w:type="gramEnd"/>
      <w:r>
        <w:rPr>
          <w:rFonts w:hint="eastAsia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 </w:t>
      </w:r>
    </w:p>
    <w:p w14:paraId="2538CC73" w14:textId="725D3EF0" w:rsidR="00A8679F" w:rsidRPr="00BB1B05" w:rsidRDefault="00931BB3" w:rsidP="00A8679F">
      <w:pPr>
        <w:ind w:firstLine="482"/>
        <w:jc w:val="center"/>
        <w:rPr>
          <w:rFonts w:ascii="宋体" w:hAnsi="宋体" w:hint="eastAsia"/>
          <w:b/>
          <w:bCs/>
          <w:iCs/>
          <w:color w:val="000000"/>
        </w:rPr>
      </w:pPr>
      <w:proofErr w:type="gramStart"/>
      <w:r>
        <w:rPr>
          <w:rFonts w:ascii="宋体" w:hAnsi="宋体" w:hint="eastAsia"/>
          <w:b/>
          <w:bCs/>
          <w:iCs/>
          <w:color w:val="000000"/>
        </w:rPr>
        <w:t>海创药业</w:t>
      </w:r>
      <w:proofErr w:type="gramEnd"/>
      <w:r w:rsidR="00A8679F" w:rsidRPr="00BB1B05">
        <w:rPr>
          <w:rFonts w:ascii="宋体" w:hAnsi="宋体" w:hint="eastAsia"/>
          <w:b/>
          <w:bCs/>
          <w:iCs/>
          <w:color w:val="000000"/>
        </w:rPr>
        <w:t>股份有限公司投资者关系活动记录表</w:t>
      </w:r>
    </w:p>
    <w:p w14:paraId="0F080C15" w14:textId="3B77F029" w:rsidR="00A8679F" w:rsidRPr="00BB1B05" w:rsidRDefault="00A8679F" w:rsidP="00A8679F">
      <w:pPr>
        <w:spacing w:line="400" w:lineRule="exact"/>
        <w:ind w:firstLine="480"/>
        <w:rPr>
          <w:rFonts w:ascii="宋体" w:hAnsi="宋体" w:hint="eastAsia"/>
          <w:bCs/>
          <w:iCs/>
          <w:color w:val="000000"/>
        </w:rPr>
      </w:pPr>
      <w:r w:rsidRPr="00BB1B05">
        <w:rPr>
          <w:rFonts w:ascii="宋体" w:hAnsi="宋体" w:hint="eastAsia"/>
          <w:bCs/>
          <w:iCs/>
          <w:color w:val="000000"/>
        </w:rPr>
        <w:t xml:space="preserve">                                                   编号：</w:t>
      </w:r>
      <w:r w:rsidR="00931BB3">
        <w:rPr>
          <w:rFonts w:ascii="宋体" w:hAnsi="宋体" w:hint="eastAsia"/>
          <w:bCs/>
          <w:iCs/>
          <w:color w:val="000000"/>
        </w:rPr>
        <w:t>2026-</w:t>
      </w:r>
      <w:r w:rsidR="004051E8">
        <w:rPr>
          <w:rFonts w:ascii="宋体" w:hAnsi="宋体" w:hint="eastAsia"/>
          <w:bCs/>
          <w:iCs/>
          <w:color w:val="000000"/>
        </w:rPr>
        <w:t>7</w:t>
      </w:r>
      <w:r w:rsidR="00931BB3">
        <w:rPr>
          <w:rFonts w:ascii="宋体" w:hAnsi="宋体" w:hint="eastAsia"/>
          <w:bCs/>
          <w:iCs/>
          <w:color w:val="000000"/>
        </w:rPr>
        <w:t>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A8679F" w:rsidRPr="00BB1B05" w14:paraId="06D34753" w14:textId="77777777" w:rsidTr="00970BC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2CDD" w14:textId="77777777" w:rsidR="00A8679F" w:rsidRPr="00BB1B05" w:rsidRDefault="00A8679F" w:rsidP="00970BC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  <w:p w14:paraId="7AF9ECB4" w14:textId="77777777" w:rsidR="00A8679F" w:rsidRPr="00BB1B05" w:rsidRDefault="00A8679F" w:rsidP="00970BC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AE19" w14:textId="740AEF42" w:rsidR="00A8679F" w:rsidRPr="00931BB3" w:rsidRDefault="00C43D70" w:rsidP="00931BB3">
            <w:pPr>
              <w:spacing w:line="480" w:lineRule="atLeast"/>
              <w:ind w:firstLineChars="0" w:firstLine="0"/>
              <w:rPr>
                <w:rFonts w:ascii="宋体" w:hAnsi="宋体" w:hint="eastAsia"/>
              </w:rPr>
            </w:pPr>
            <w:r w:rsidRPr="00931BB3">
              <w:rPr>
                <w:rFonts w:ascii="Segoe UI Symbol" w:hAnsi="Segoe UI Symbol" w:cs="Segoe UI Symbol"/>
              </w:rPr>
              <w:t>☑</w:t>
            </w:r>
            <w:r w:rsidR="00A8679F" w:rsidRPr="00BB1B05">
              <w:rPr>
                <w:rFonts w:ascii="宋体" w:hAnsi="宋体" w:hint="eastAsia"/>
              </w:rPr>
              <w:t xml:space="preserve">特定对象调研       </w:t>
            </w:r>
            <w:r w:rsidR="004051E8">
              <w:rPr>
                <w:rFonts w:ascii="宋体" w:hAnsi="宋体" w:hint="eastAsia"/>
              </w:rPr>
              <w:t xml:space="preserve"> </w:t>
            </w:r>
            <w:r w:rsidR="00834C81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A8679F" w:rsidRPr="00BB1B05">
              <w:rPr>
                <w:rFonts w:ascii="宋体" w:hAnsi="宋体" w:hint="eastAsia"/>
              </w:rPr>
              <w:t>分析师会议</w:t>
            </w:r>
          </w:p>
          <w:p w14:paraId="0BF5E6E7" w14:textId="77777777" w:rsidR="00A8679F" w:rsidRPr="00BB1B05" w:rsidRDefault="00A8679F" w:rsidP="00970BC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媒体采访            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14:paraId="73A7DC05" w14:textId="70C54CAC" w:rsidR="00A8679F" w:rsidRPr="00BB1B05" w:rsidRDefault="00A8679F" w:rsidP="00970BC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新闻发布会          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路演活动</w:t>
            </w:r>
          </w:p>
          <w:p w14:paraId="09B09D30" w14:textId="77777777" w:rsidR="00A8679F" w:rsidRPr="00BB1B05" w:rsidRDefault="00A8679F" w:rsidP="00970BC7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现场参观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578AE72B" w14:textId="64248B25" w:rsidR="00A8679F" w:rsidRPr="00BB1B05" w:rsidRDefault="00C43D70" w:rsidP="00970BC7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931BB3">
              <w:rPr>
                <w:rFonts w:ascii="Segoe UI Symbol" w:hAnsi="Segoe UI Symbol" w:cs="Segoe UI Symbol"/>
              </w:rPr>
              <w:t>☑</w:t>
            </w:r>
            <w:r w:rsidR="00A8679F" w:rsidRPr="00BB1B05">
              <w:rPr>
                <w:rFonts w:ascii="宋体" w:hAnsi="宋体" w:hint="eastAsia"/>
              </w:rPr>
              <w:t xml:space="preserve">其他 </w:t>
            </w:r>
            <w:r w:rsidRPr="00C43D70">
              <w:rPr>
                <w:rFonts w:ascii="宋体" w:hAnsi="宋体" w:hint="eastAsia"/>
                <w:u w:val="single"/>
              </w:rPr>
              <w:t>电话会议</w:t>
            </w:r>
          </w:p>
        </w:tc>
      </w:tr>
      <w:tr w:rsidR="00A8679F" w:rsidRPr="00BB1B05" w14:paraId="4C2DF9AD" w14:textId="77777777" w:rsidTr="00970BC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E170" w14:textId="77777777" w:rsidR="00A8679F" w:rsidRPr="00BB1B05" w:rsidRDefault="00A8679F" w:rsidP="00970BC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7EEB" w14:textId="13E94D55" w:rsidR="00C43D70" w:rsidRPr="001A70AD" w:rsidRDefault="004051E8" w:rsidP="00970BC7">
            <w:pPr>
              <w:spacing w:line="480" w:lineRule="atLeast"/>
              <w:ind w:firstLineChars="0" w:firstLine="0"/>
            </w:pPr>
            <w:r w:rsidRPr="004051E8">
              <w:rPr>
                <w:rFonts w:ascii="宋体" w:hAnsi="宋体" w:hint="eastAsia"/>
                <w:bCs/>
                <w:iCs/>
                <w:color w:val="000000"/>
              </w:rPr>
              <w:t>中信证券、国联民生证券、国信证券、方正证券、国金证券、财通证券、长江证券、国投证券、华福证券、申万宏源证券、兴业证券、东北证券</w:t>
            </w:r>
            <w:r w:rsidR="00E8614A"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r w:rsidR="005422AD" w:rsidRPr="005422AD">
              <w:rPr>
                <w:rFonts w:ascii="宋体" w:hAnsi="宋体" w:hint="eastAsia"/>
                <w:bCs/>
                <w:iCs/>
                <w:color w:val="000000"/>
              </w:rPr>
              <w:t>野村东方国际证券</w:t>
            </w:r>
            <w:r w:rsidR="005422AD"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r w:rsidR="00C43D70">
              <w:rPr>
                <w:rFonts w:ascii="宋体" w:hAnsi="宋体" w:hint="eastAsia"/>
                <w:bCs/>
                <w:iCs/>
                <w:color w:val="000000"/>
              </w:rPr>
              <w:t>国都证券</w:t>
            </w:r>
            <w:r w:rsidR="005422AD">
              <w:rPr>
                <w:rFonts w:ascii="宋体" w:hAnsi="宋体" w:hint="eastAsia"/>
                <w:bCs/>
                <w:iCs/>
                <w:color w:val="000000"/>
              </w:rPr>
              <w:t>资管</w:t>
            </w:r>
            <w:r w:rsidR="00C43D70"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proofErr w:type="gramStart"/>
            <w:r w:rsidR="00C43D70">
              <w:rPr>
                <w:rFonts w:ascii="宋体" w:hAnsi="宋体" w:hint="eastAsia"/>
                <w:bCs/>
                <w:iCs/>
                <w:color w:val="000000"/>
              </w:rPr>
              <w:t>天弘基金</w:t>
            </w:r>
            <w:proofErr w:type="gramEnd"/>
            <w:r w:rsidR="00C43D70"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proofErr w:type="gramStart"/>
            <w:r w:rsidR="00E8614A">
              <w:rPr>
                <w:rFonts w:ascii="宋体" w:hAnsi="宋体" w:hint="eastAsia"/>
                <w:bCs/>
                <w:iCs/>
                <w:color w:val="000000"/>
              </w:rPr>
              <w:t>优益增</w:t>
            </w:r>
            <w:proofErr w:type="gramEnd"/>
            <w:r w:rsidR="00E8614A">
              <w:rPr>
                <w:rFonts w:ascii="宋体" w:hAnsi="宋体" w:hint="eastAsia"/>
                <w:bCs/>
                <w:iCs/>
                <w:color w:val="000000"/>
              </w:rPr>
              <w:t>投资</w:t>
            </w:r>
            <w:r w:rsidR="00C43D70"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proofErr w:type="gramStart"/>
            <w:r w:rsidR="00C43D70">
              <w:rPr>
                <w:rFonts w:ascii="宋体" w:hAnsi="宋体" w:hint="eastAsia"/>
                <w:bCs/>
                <w:iCs/>
                <w:color w:val="000000"/>
              </w:rPr>
              <w:t>鹏扬基金</w:t>
            </w:r>
            <w:proofErr w:type="gramEnd"/>
            <w:r w:rsidR="00C43D70">
              <w:rPr>
                <w:rFonts w:ascii="宋体" w:hAnsi="宋体" w:hint="eastAsia"/>
                <w:bCs/>
                <w:iCs/>
                <w:color w:val="000000"/>
              </w:rPr>
              <w:t>、宏利基金</w:t>
            </w:r>
            <w:r w:rsidR="005422AD">
              <w:rPr>
                <w:rFonts w:ascii="宋体" w:hAnsi="宋体" w:hint="eastAsia"/>
                <w:bCs/>
                <w:iCs/>
                <w:color w:val="000000"/>
              </w:rPr>
              <w:t>、东方证券资管、</w:t>
            </w:r>
            <w:r w:rsidR="005422AD" w:rsidRPr="005422AD">
              <w:rPr>
                <w:rFonts w:ascii="宋体" w:hAnsi="宋体" w:hint="eastAsia"/>
                <w:bCs/>
                <w:iCs/>
                <w:color w:val="000000"/>
              </w:rPr>
              <w:t>前海</w:t>
            </w:r>
            <w:proofErr w:type="gramStart"/>
            <w:r w:rsidR="005422AD" w:rsidRPr="005422AD">
              <w:rPr>
                <w:rFonts w:ascii="宋体" w:hAnsi="宋体" w:hint="eastAsia"/>
                <w:bCs/>
                <w:iCs/>
                <w:color w:val="000000"/>
              </w:rPr>
              <w:t>海富资管</w:t>
            </w:r>
            <w:proofErr w:type="gramEnd"/>
            <w:r w:rsidR="005422AD">
              <w:rPr>
                <w:rFonts w:ascii="宋体" w:hAnsi="宋体" w:hint="eastAsia"/>
                <w:bCs/>
                <w:iCs/>
                <w:color w:val="000000"/>
              </w:rPr>
              <w:t>、浙江伟星资产、伯兄资产、德远投资、海子投资、乾和资产、亿能投资、南京银行</w:t>
            </w:r>
            <w:r w:rsidR="00A34D9E">
              <w:rPr>
                <w:rStyle w:val="fontstyle01"/>
              </w:rPr>
              <w:t>等</w:t>
            </w:r>
          </w:p>
        </w:tc>
      </w:tr>
      <w:tr w:rsidR="00A8679F" w:rsidRPr="00BB1B05" w14:paraId="681D26D1" w14:textId="77777777" w:rsidTr="00970BC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48E0" w14:textId="77777777" w:rsidR="00A8679F" w:rsidRPr="00BB1B05" w:rsidRDefault="00A8679F" w:rsidP="00970BC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89D9" w14:textId="304F20F2" w:rsidR="00A8679F" w:rsidRPr="00BB1B05" w:rsidRDefault="00C43D70" w:rsidP="00970BC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2026年5月</w:t>
            </w:r>
            <w:r w:rsidR="0028244A">
              <w:rPr>
                <w:rFonts w:ascii="宋体" w:hAnsi="宋体" w:hint="eastAsia"/>
                <w:bCs/>
                <w:iCs/>
                <w:color w:val="000000"/>
              </w:rPr>
              <w:t>-6月</w:t>
            </w:r>
          </w:p>
        </w:tc>
      </w:tr>
      <w:tr w:rsidR="00A8679F" w:rsidRPr="00BB1B05" w14:paraId="23E6767A" w14:textId="77777777" w:rsidTr="00970BC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09BA" w14:textId="77777777" w:rsidR="00A8679F" w:rsidRPr="00BB1B05" w:rsidRDefault="00A8679F" w:rsidP="00970BC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EA55" w14:textId="4B18898E" w:rsidR="00A8679F" w:rsidRPr="00BB1B05" w:rsidRDefault="00C43D70" w:rsidP="00970BC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公司会议室、</w:t>
            </w:r>
            <w:r w:rsidR="001303B4">
              <w:rPr>
                <w:rFonts w:ascii="宋体" w:hAnsi="宋体" w:hint="eastAsia"/>
                <w:bCs/>
                <w:iCs/>
                <w:color w:val="000000"/>
              </w:rPr>
              <w:t>电话会议</w:t>
            </w:r>
          </w:p>
        </w:tc>
      </w:tr>
      <w:tr w:rsidR="00A8679F" w:rsidRPr="00BB1B05" w14:paraId="4D6ACA87" w14:textId="77777777" w:rsidTr="00970BC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F79E" w14:textId="77777777" w:rsidR="00A8679F" w:rsidRPr="00BB1B05" w:rsidRDefault="00A8679F" w:rsidP="00970BC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AA77" w14:textId="55038674" w:rsidR="004051E8" w:rsidRDefault="004051E8" w:rsidP="00970BC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4051E8">
              <w:rPr>
                <w:rFonts w:ascii="宋体" w:hAnsi="宋体" w:hint="eastAsia"/>
                <w:bCs/>
                <w:iCs/>
                <w:color w:val="000000"/>
              </w:rPr>
              <w:t>陈元伟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：</w:t>
            </w:r>
            <w:r w:rsidRPr="004051E8">
              <w:rPr>
                <w:rFonts w:ascii="宋体" w:hAnsi="宋体" w:hint="eastAsia"/>
                <w:bCs/>
                <w:iCs/>
                <w:color w:val="000000"/>
              </w:rPr>
              <w:t>董事长/总经理</w:t>
            </w:r>
          </w:p>
          <w:p w14:paraId="106AA591" w14:textId="606B611C" w:rsidR="004051E8" w:rsidRDefault="004051E8" w:rsidP="00970BC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4051E8">
              <w:rPr>
                <w:rFonts w:ascii="宋体" w:hAnsi="宋体" w:hint="eastAsia"/>
                <w:bCs/>
                <w:iCs/>
                <w:color w:val="000000"/>
              </w:rPr>
              <w:t>李兴海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：</w:t>
            </w:r>
            <w:r w:rsidRPr="004051E8">
              <w:rPr>
                <w:rFonts w:ascii="宋体" w:hAnsi="宋体" w:hint="eastAsia"/>
                <w:bCs/>
                <w:iCs/>
                <w:color w:val="000000"/>
              </w:rPr>
              <w:t>首席科技官CSO</w:t>
            </w:r>
          </w:p>
          <w:p w14:paraId="49708804" w14:textId="6D194825" w:rsidR="004051E8" w:rsidRDefault="004051E8" w:rsidP="00970BC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4051E8">
              <w:rPr>
                <w:rFonts w:ascii="宋体" w:hAnsi="宋体" w:hint="eastAsia"/>
                <w:bCs/>
                <w:iCs/>
                <w:color w:val="000000"/>
              </w:rPr>
              <w:t>李锡明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：</w:t>
            </w:r>
            <w:r w:rsidRPr="004051E8">
              <w:rPr>
                <w:rFonts w:ascii="宋体" w:hAnsi="宋体" w:hint="eastAsia"/>
                <w:bCs/>
                <w:iCs/>
                <w:color w:val="000000"/>
              </w:rPr>
              <w:t>首席医学官CMO</w:t>
            </w:r>
          </w:p>
          <w:p w14:paraId="031985D6" w14:textId="65040F37" w:rsidR="0028244A" w:rsidRDefault="0028244A" w:rsidP="0028244A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代丽：</w:t>
            </w:r>
            <w:r w:rsidR="00931BB3">
              <w:rPr>
                <w:rFonts w:ascii="宋体" w:hAnsi="宋体" w:hint="eastAsia"/>
                <w:bCs/>
                <w:iCs/>
                <w:color w:val="000000"/>
              </w:rPr>
              <w:t>董事会秘书</w:t>
            </w:r>
          </w:p>
          <w:p w14:paraId="7237454F" w14:textId="69CE7E65" w:rsidR="00931BB3" w:rsidRPr="00BB1B05" w:rsidRDefault="00931BB3" w:rsidP="0028244A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张翔宇</w:t>
            </w:r>
            <w:r w:rsidR="0028244A">
              <w:rPr>
                <w:rFonts w:ascii="宋体" w:hAnsi="宋体" w:hint="eastAsia"/>
                <w:bCs/>
                <w:iCs/>
                <w:color w:val="000000"/>
              </w:rPr>
              <w:t>：投资者关系</w:t>
            </w:r>
          </w:p>
        </w:tc>
      </w:tr>
      <w:tr w:rsidR="00A8679F" w:rsidRPr="00BB1B05" w14:paraId="7BDF39F2" w14:textId="77777777" w:rsidTr="00970BC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8D5D" w14:textId="77777777" w:rsidR="00A8679F" w:rsidRPr="00BB1B05" w:rsidRDefault="00A8679F" w:rsidP="00970BC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  <w:p w14:paraId="3883E6FA" w14:textId="77777777" w:rsidR="00A8679F" w:rsidRPr="00BB1B05" w:rsidRDefault="00A8679F" w:rsidP="00970BC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BD54" w14:textId="4166FC9B" w:rsidR="00822F20" w:rsidRPr="001303B4" w:rsidRDefault="00822F20" w:rsidP="00822F20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Q1: 公司在代谢疾病赛道的整体管线布局和长期战略规划是怎样的？后续在该领域还有哪些值得市场期待的管线与技术布局方向？</w:t>
            </w:r>
          </w:p>
          <w:p w14:paraId="46C80B31" w14:textId="2254413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 xml:space="preserve">答: </w:t>
            </w:r>
            <w:bookmarkStart w:id="0" w:name="_Hlk233401581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MASH是全球最常见的慢性肝病，中国在内的亚洲多数国家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代谢功能障碍相关脂肪性肝病（MASLD）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患病率＞25%。全球范围内 MASH 的患病率3%-5%。预计到 2030 年，中国 MASH 患者数量将达到 4,830 万，市场规模达到355亿元，美国 MASH 患者数量将达到 2,700 万，全球市场规模将达到322亿美元。HP515正是瞄准MASH这一蓝海市场。</w:t>
            </w:r>
          </w:p>
          <w:p w14:paraId="0362422D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肥胖症也是代谢类疾病重要的领域：《柳叶刀》研究显示，2021年，全球≥25 岁成年人中有 21.1 亿为超重/肥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胖，中国是人数最多的国家，达到 4.02亿。预计到2050年，全球超重/肥胖人数达到 38.0亿，将超过成人总数的一半。根据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Stratistics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咨询数据，预计2030年全球减重及肥胖管理市场规模将增至5,549亿美元，年复合增长率达 10.5%。</w:t>
            </w:r>
          </w:p>
          <w:p w14:paraId="6B9176FC" w14:textId="5E6056E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GLP-1系列产品在减重表现出良好的效果，但同时也造成肌肉流失，并且胃肠道毒副作用仍然是患者依从性的重大挑战。我们的临床前研究显示，HP515与GLP-1R激动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剂联合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使用在增强减重效果同时保持瘦体重/体重比方面具有潜力</w:t>
            </w:r>
            <w:r w:rsidR="001303B4">
              <w:rPr>
                <w:rFonts w:ascii="宋体" w:hAnsi="宋体" w:hint="eastAsia"/>
                <w:bCs/>
                <w:iCs/>
                <w:color w:val="000000"/>
              </w:rPr>
              <w:t>，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并且HP515与GLP-1R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激动剂联用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能显著增强MASH的疗效，还能改善心血管疾病及其他代谢性疾病的临床结果。</w:t>
            </w:r>
          </w:p>
          <w:p w14:paraId="468E9C0E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因此我们将首先推进HP515单药的MASH适应症，正如前述已经完成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IIa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期临床试验；同时推进HP515与GLP-1类药物联用治疗肥胖的临床开发；后续也会推进联用GLP-1治疗MASH的临床开发。目前联用GLP-1的DDI研究已经在进行了。</w:t>
            </w:r>
          </w:p>
          <w:p w14:paraId="68059E53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/>
                <w:bCs/>
                <w:iCs/>
                <w:color w:val="000000"/>
              </w:rPr>
              <w:t>除此之外，公司同步布局口服小分子GLP-1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的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药物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研发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，覆盖肥胖、MASH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等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适应症，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与现有代谢产品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形成代谢领域协同互补的产品矩阵。</w:t>
            </w:r>
          </w:p>
          <w:p w14:paraId="3A2A0B2A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</w:p>
          <w:p w14:paraId="03570D04" w14:textId="5AD982C4" w:rsidR="00822F20" w:rsidRPr="001303B4" w:rsidRDefault="00822F20" w:rsidP="00822F20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Q2: 介绍一下HP515的数据和MDGL相比有什么竞争优势，和国内的在</w:t>
            </w:r>
            <w:proofErr w:type="gramStart"/>
            <w:r w:rsidRPr="001303B4">
              <w:rPr>
                <w:rFonts w:ascii="宋体" w:hAnsi="宋体" w:hint="eastAsia"/>
                <w:b/>
                <w:iCs/>
                <w:color w:val="000000"/>
              </w:rPr>
              <w:t>研</w:t>
            </w:r>
            <w:proofErr w:type="gramEnd"/>
            <w:r w:rsidRPr="001303B4">
              <w:rPr>
                <w:rFonts w:ascii="宋体" w:hAnsi="宋体" w:hint="eastAsia"/>
                <w:b/>
                <w:iCs/>
                <w:color w:val="000000"/>
              </w:rPr>
              <w:t>管线相比有什么竞争优势？</w:t>
            </w:r>
          </w:p>
          <w:p w14:paraId="3D9B13B7" w14:textId="446A2054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 xml:space="preserve">答: </w:t>
            </w:r>
            <w:bookmarkStart w:id="1" w:name="_Hlk233401616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MDGL的MASH药物在全球的销售表现优异，2025年全年实现9.6亿美元的收入，这是全球唯一上市的THR-β靶点药物。</w:t>
            </w:r>
          </w:p>
          <w:p w14:paraId="01503557" w14:textId="6223897D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HP515从LFC的降幅来看，经过12周的治疗时间，40、50、60mg各剂量组均显示50%以上的平均降幅。而根据公开信息各自披露的临床数据来看，MDGL以及国内其他正在推进的THR-β在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研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品种II期临床试验显示12周LFC平均降幅集中在25-45%。在安全性方面，HP515没有药物相关的3级以上不良事件，适合MASH患者长期服用。</w:t>
            </w:r>
          </w:p>
          <w:p w14:paraId="7D1B069F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从临床进度来看，HP515已完成了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IIa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期临床试验，即将启动IIb期，也有可能直接推进III期。在THR-β领域，目前HP515进度处于国内领先第一梯队。预计到2030年，中国MASH患者数量将近5,000万，而中国目前缺乏上市药品，HP515有望上市后能占据一定市场份额，满足MASH患者迫切的临床需求。</w:t>
            </w:r>
          </w:p>
          <w:bookmarkEnd w:id="1"/>
          <w:p w14:paraId="21050825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</w:p>
          <w:bookmarkEnd w:id="0"/>
          <w:p w14:paraId="27266D03" w14:textId="440FE338" w:rsidR="00822F20" w:rsidRPr="001303B4" w:rsidRDefault="00822F20" w:rsidP="00822F20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Q3: 公告中提到的与药物无关的 3 级 AE 具体是怎样的情况？另外，既往 THR-β 类药物长期应用曾被报道存在轻微心率影响，想请问在 HP515 已有的临床数据中，是否观察到心率升高或其他心脏相关的不良信号？</w:t>
            </w:r>
          </w:p>
          <w:p w14:paraId="71B95854" w14:textId="5FB4F37D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 xml:space="preserve">答: 试验总体耐受性良好，绝大多数不良事件为 1~2 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级轻中度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一过性反应，各组（含安慰剂组）间不良事件发生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率、严重程度分布均匀，无显著组间差异；试验中仅出现 1 例 3 级不良事件，试验中仅出现 1 例与试验药物无关联的 3 级不良事件。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这名患者在入组前就有多年的高脂血症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。试验过程中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出现短暂的胸闷胸疼，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研究者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怀疑是冠心病，就让病人停止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试验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。随后观察病人的病情稳定，未进行任何相应的治疗。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经项目研究者、独立数据监察委员会共同核查评估，判定该事件与试验药物无关，因为大多数MASH病人都并发心血管疾病，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这名患者很可能就是一个潜在冠心病患者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。</w:t>
            </w:r>
          </w:p>
          <w:p w14:paraId="6E7E8CB1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另一方面，也可以参考MDGL的MASH药物II期的安全性数据：</w:t>
            </w:r>
          </w:p>
          <w:p w14:paraId="07E85E03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 xml:space="preserve">≥3 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级所有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治疗突发不良事件（TEAE） 共 7 例：80mg 组5 例，发生率6.0%，安慰剂组2 例，发生率4.9%。因不良事件停药率有2.4%（2/84）。</w:t>
            </w:r>
          </w:p>
          <w:p w14:paraId="786B485E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THR-α 亚型主要分布于心脏组织，过度激活可能引发心率加快等心脏反应，这是行业对该靶点的普遍关注点。我们从分子设计源头就做了针对性规避，并在全临床阶段设置了严格的心脏专项监测，结论非常明确：</w:t>
            </w:r>
          </w:p>
          <w:p w14:paraId="46C42F97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1、机制层面：高亚型选择性从源头规避心脏风险</w:t>
            </w:r>
          </w:p>
          <w:p w14:paraId="6F628DFE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HP515 通过精准结构修饰，实现了极高的 THR-β/α 亚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型选择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特异性，对心脏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高表达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的 THR-α 亚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型几乎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无激动活性，从靶点机制上排除了心率加快、心脏负荷增加的脱靶风险。</w:t>
            </w:r>
          </w:p>
          <w:p w14:paraId="32EE36D2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2、I 期临床高剂量下、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IIa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 xml:space="preserve"> 期长周期给药均无心脏毒性信号</w:t>
            </w:r>
          </w:p>
          <w:p w14:paraId="77B9DF57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我们持续监测各剂量组受试者的静息心率、心肌损伤标志物、心电图结果，未报告任何与药物相关的心悸、心率增快、心肌损伤等心脏不良事件，也未发现任何心脏相关的潜在安全隐患。</w:t>
            </w:r>
          </w:p>
          <w:p w14:paraId="30BA10A1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3、后续试验中，我们会继续将心脏安全性作为重点监测指标，进一步验证更长周期给药下的安全耐受性。</w:t>
            </w:r>
          </w:p>
          <w:p w14:paraId="2F4133C2" w14:textId="77777777" w:rsidR="00822F20" w:rsidRPr="001303B4" w:rsidRDefault="00822F20" w:rsidP="00781686">
            <w:pPr>
              <w:widowControl/>
              <w:spacing w:line="240" w:lineRule="auto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</w:p>
          <w:p w14:paraId="10E76F70" w14:textId="4F97AAA6" w:rsidR="00822F20" w:rsidRPr="001303B4" w:rsidRDefault="00822F20" w:rsidP="00822F20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</w:t>
            </w:r>
            <w:r w:rsidR="00781686">
              <w:rPr>
                <w:rFonts w:ascii="宋体" w:hAnsi="宋体" w:hint="eastAsia"/>
                <w:b/>
                <w:iCs/>
                <w:color w:val="000000"/>
              </w:rPr>
              <w:t>4</w:t>
            </w:r>
            <w:r w:rsidRPr="001303B4">
              <w:rPr>
                <w:rFonts w:ascii="宋体" w:hAnsi="宋体" w:hint="eastAsia"/>
                <w:b/>
                <w:iCs/>
                <w:color w:val="000000"/>
              </w:rPr>
              <w:t>: HP515联合疗法的临床前数据表现如何？后续在联合疗法的开发上有怎样的整体规划？</w:t>
            </w:r>
          </w:p>
          <w:p w14:paraId="35CD1FBA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答：公司已系统完成 HP515 与主流 GLP-1 类药物（司美格鲁肽、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替尔泊肽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）的联合用药临床前研究，相关数据先后在第 32 届欧洲肥胖症大会（ECO）以口头报告、第三届国际肥胖与减重药物开发峰会以口头报告大会主讲形式发布，获得国际代谢领域的学术认可，核心结果可总结为三方面：</w:t>
            </w:r>
          </w:p>
          <w:p w14:paraId="1946E363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1、减重幅度协同跃升，疗效显著优于单药，在食物诱导的肥胖小鼠模型中，二者联用展现出明确的 1+1&gt;2 效应：与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司美格鲁肽联用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：司美格鲁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肽单药组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 xml:space="preserve">体重下降 15.1%，联合 10mg/kg HP515 后体重降幅达到 37.2%，减重效果提升超 1 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倍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；与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替尔泊肽联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用：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替尔泊肽单药组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体重下降 24.4%，联合 10mg/kg HP515 后体重降幅达到 42.2%，进一步放大了全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身减重获益。</w:t>
            </w:r>
          </w:p>
          <w:p w14:paraId="4F8E0503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2、核心差异化：减脂不减肌，显著优化身体成分。针对 GLP-1 类药物减重过程中普遍伴随肌肉流失的临床痛点，HP515 的加入实现了明确改善：司美格鲁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肽单药组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瘦体重 / 总体重占比仅为 52.3%，联合用药组提升至 65.0%，甚至高于正常饮食对照组的 63.6%；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替尔泊肽单药组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瘦体重 / 总体重占比为 53.5%，联合用药组大幅提升至 67.0%，显著优于正常饮食组的 56.9%。</w:t>
            </w:r>
          </w:p>
          <w:p w14:paraId="166318D6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 xml:space="preserve">3、机制互补协同，同时降低安全风险。机制研究显示，HP515 主打肝脏与全身脂质分解、提升基础代谢，GLP-1 侧重中枢性食欲抑制，二者通路互补；联用还可上调 </w:t>
            </w:r>
            <w:bookmarkStart w:id="2" w:name="OLE_LINK2"/>
            <w:r w:rsidRPr="001303B4">
              <w:rPr>
                <w:rFonts w:ascii="宋体" w:hAnsi="宋体" w:hint="eastAsia"/>
                <w:bCs/>
                <w:iCs/>
                <w:color w:val="000000"/>
              </w:rPr>
              <w:t>CYP2E1、UCP1 等脂肪酸代谢相关基因</w:t>
            </w:r>
            <w:bookmarkEnd w:id="2"/>
            <w:r w:rsidRPr="001303B4">
              <w:rPr>
                <w:rFonts w:ascii="宋体" w:hAnsi="宋体" w:hint="eastAsia"/>
                <w:bCs/>
                <w:iCs/>
                <w:color w:val="000000"/>
              </w:rPr>
              <w:t>，增强机体产热作用，进一步放大代谢获益。同时该联合方案可降低 GLP-1 类药物的使用剂量，有望减少胃肠道不良反应的发生，提升患者长期用药的耐受性。</w:t>
            </w:r>
          </w:p>
          <w:p w14:paraId="72BC8DED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临床开发计划：联合用药首先在人体里开展药物相互作用研究，招募已完成，试验正在进行中。后续联合用药的开发，将根据DDI结果，分别设计适合于肥胖和MASH联合用药的方案。</w:t>
            </w:r>
          </w:p>
          <w:p w14:paraId="2D189FC2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</w:p>
          <w:p w14:paraId="33FDF6AC" w14:textId="614962F6" w:rsidR="00822F20" w:rsidRPr="001303B4" w:rsidRDefault="00822F20" w:rsidP="00822F20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</w:t>
            </w:r>
            <w:r w:rsidR="00781686">
              <w:rPr>
                <w:rFonts w:ascii="宋体" w:hAnsi="宋体" w:hint="eastAsia"/>
                <w:b/>
                <w:iCs/>
                <w:color w:val="000000"/>
              </w:rPr>
              <w:t>5</w:t>
            </w:r>
            <w:r w:rsidRPr="001303B4">
              <w:rPr>
                <w:rFonts w:ascii="宋体" w:hAnsi="宋体" w:hint="eastAsia"/>
                <w:b/>
                <w:iCs/>
                <w:color w:val="000000"/>
              </w:rPr>
              <w:t xml:space="preserve">: </w:t>
            </w:r>
            <w:proofErr w:type="gramStart"/>
            <w:r w:rsidRPr="001303B4">
              <w:rPr>
                <w:rFonts w:ascii="宋体" w:hAnsi="宋体" w:hint="eastAsia"/>
                <w:b/>
                <w:iCs/>
                <w:color w:val="000000"/>
              </w:rPr>
              <w:t>氘恩扎</w:t>
            </w:r>
            <w:proofErr w:type="gramEnd"/>
            <w:r w:rsidRPr="001303B4">
              <w:rPr>
                <w:rFonts w:ascii="宋体" w:hAnsi="宋体" w:hint="eastAsia"/>
                <w:b/>
                <w:iCs/>
                <w:color w:val="000000"/>
              </w:rPr>
              <w:t>鲁</w:t>
            </w:r>
            <w:proofErr w:type="gramStart"/>
            <w:r w:rsidRPr="001303B4">
              <w:rPr>
                <w:rFonts w:ascii="宋体" w:hAnsi="宋体" w:hint="eastAsia"/>
                <w:b/>
                <w:iCs/>
                <w:color w:val="000000"/>
              </w:rPr>
              <w:t>胺今年</w:t>
            </w:r>
            <w:proofErr w:type="gramEnd"/>
            <w:r w:rsidRPr="001303B4">
              <w:rPr>
                <w:rFonts w:ascii="宋体" w:hAnsi="宋体" w:hint="eastAsia"/>
                <w:b/>
                <w:iCs/>
                <w:color w:val="000000"/>
              </w:rPr>
              <w:t>以来的整体销售态势如何？后续在市场推广、渠道覆盖方面还有怎样的规划？</w:t>
            </w:r>
          </w:p>
          <w:p w14:paraId="2515B11A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bookmarkStart w:id="3" w:name="_Hlk233405728"/>
            <w:r w:rsidRPr="001303B4">
              <w:rPr>
                <w:rFonts w:ascii="宋体" w:hAnsi="宋体"/>
                <w:bCs/>
                <w:iCs/>
                <w:color w:val="000000"/>
              </w:rPr>
              <w:t>1、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公司氘恩扎鲁胺软胶囊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于2025年5月获批上市；该产品当前获批适应症已纳入《2025版CSCO前列腺癌诊疗指南》《2025中国肿瘤整合诊治指南(CACA)》，且均获I级推荐，并于2026年成功纳入国家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医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保目录。</w:t>
            </w:r>
          </w:p>
          <w:p w14:paraId="4C38065D" w14:textId="71283229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/>
                <w:bCs/>
                <w:iCs/>
                <w:color w:val="000000"/>
              </w:rPr>
              <w:t>2、公司依托“医学、市场、准入、销售”四轮协同驱动体系推进商业化落地。商业化团队持续推进各省份药事准入工作，常态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化开展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临床学术推广活动，实现产品自“商业化元年”向“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医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保放量阶段”的关键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过渡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。产品上市后，多次亮相CSCO、CACA、CUDA、CUA等国内权威泌尿肿瘤学术平台，累计举办数千场线下及线上学术交流活动，临床专家认知度持续提升；同时依托多渠道分层渗透策略，稳步提高终端市场销售。</w:t>
            </w:r>
          </w:p>
          <w:p w14:paraId="1C590869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/>
                <w:bCs/>
                <w:iCs/>
                <w:color w:val="000000"/>
              </w:rPr>
              <w:t>3、销售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端采用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“自营+招商”并行模式，并根据市场拓展节奏动态优化人员配置。团队核心骨干均拥有罗氏、辉瑞、阿斯利康等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跨国药企从业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背景，同时具备国内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创新药企新药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上市从零到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一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全流程商业化操盘、学术推广实操经验，多数人员深耕泌尿肿瘤治疗领域。依据GLOBOCAN 2022统计数据，前列腺癌为全球男性第二高发恶性肿瘤，死亡率位列男性恶性肿瘤第五位；2022年全球前列腺癌新增病例146.7万例，国内新增病例13.4万例。伴随国内人口老龄化程度持续加深，前列腺癌患病群体规模呈逐年增长态势，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为氘恩扎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鲁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胺带来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充足潜在患者基础。结合沙利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文行业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预测，2030年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lastRenderedPageBreak/>
              <w:t>国内前列腺癌整体市场规模有望达到506亿元，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氘恩扎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鲁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胺具备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较大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市场成长空间。</w:t>
            </w:r>
          </w:p>
          <w:bookmarkEnd w:id="3"/>
          <w:p w14:paraId="696F83F5" w14:textId="77777777" w:rsidR="00822F20" w:rsidRPr="001303B4" w:rsidRDefault="00822F20" w:rsidP="00822F20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</w:p>
          <w:p w14:paraId="42C3C0D2" w14:textId="0CFDFC24" w:rsidR="00750F67" w:rsidRPr="001303B4" w:rsidRDefault="00750F67" w:rsidP="00750F67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</w:t>
            </w:r>
            <w:r w:rsidR="00781686">
              <w:rPr>
                <w:rFonts w:ascii="宋体" w:hAnsi="宋体" w:hint="eastAsia"/>
                <w:b/>
                <w:iCs/>
                <w:color w:val="000000"/>
              </w:rPr>
              <w:t>6</w:t>
            </w:r>
            <w:r w:rsidRPr="001303B4">
              <w:rPr>
                <w:rFonts w:ascii="宋体" w:hAnsi="宋体" w:hint="eastAsia"/>
                <w:b/>
                <w:iCs/>
                <w:color w:val="000000"/>
              </w:rPr>
              <w:t>: 年报中看到公司有</w:t>
            </w:r>
            <w:proofErr w:type="gramStart"/>
            <w:r w:rsidRPr="001303B4">
              <w:rPr>
                <w:rFonts w:ascii="宋体" w:hAnsi="宋体" w:hint="eastAsia"/>
                <w:b/>
                <w:iCs/>
                <w:color w:val="000000"/>
              </w:rPr>
              <w:t>布局氘恩扎</w:t>
            </w:r>
            <w:proofErr w:type="gramEnd"/>
            <w:r w:rsidRPr="001303B4">
              <w:rPr>
                <w:rFonts w:ascii="宋体" w:hAnsi="宋体" w:hint="eastAsia"/>
                <w:b/>
                <w:iCs/>
                <w:color w:val="000000"/>
              </w:rPr>
              <w:t>鲁胺的早期前列腺癌适应症，想请管理</w:t>
            </w:r>
            <w:proofErr w:type="gramStart"/>
            <w:r w:rsidRPr="001303B4">
              <w:rPr>
                <w:rFonts w:ascii="宋体" w:hAnsi="宋体" w:hint="eastAsia"/>
                <w:b/>
                <w:iCs/>
                <w:color w:val="000000"/>
              </w:rPr>
              <w:t>层介绍</w:t>
            </w:r>
            <w:proofErr w:type="gramEnd"/>
            <w:r w:rsidRPr="001303B4">
              <w:rPr>
                <w:rFonts w:ascii="宋体" w:hAnsi="宋体" w:hint="eastAsia"/>
                <w:b/>
                <w:iCs/>
                <w:color w:val="000000"/>
              </w:rPr>
              <w:t>一下该适应症的布局想法？</w:t>
            </w:r>
          </w:p>
          <w:p w14:paraId="1D208928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bookmarkStart w:id="4" w:name="_Hlk233401667"/>
            <w:r w:rsidRPr="001303B4">
              <w:rPr>
                <w:rFonts w:ascii="宋体" w:hAnsi="宋体" w:hint="eastAsia"/>
                <w:bCs/>
                <w:iCs/>
                <w:color w:val="000000"/>
              </w:rPr>
              <w:t>1、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氘恩扎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鲁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胺目前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获批的核心适应症为既往接受过阿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比特龙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联合化疗治疗后进展的转移性去势抵抗性前列腺癌（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mCRPC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）。该适应症精准聚焦临床未被充分满足的治疗领域，针对多线治疗后疾病进展的晚期患者，填补了国内此类人群系统性治疗方案的空白，为经治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mCRPC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患者提供了全新的临床用药选择。</w:t>
            </w:r>
          </w:p>
          <w:p w14:paraId="043A7F54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2、根据肿瘤侵袭范围及疾病演进时序，前列腺癌治疗可分为局部及区域前列腺癌、根治性治疗后生化复发性前列腺癌（BCR）、转移性去势敏感性前列腺癌（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mHSPC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）、转移性去势抵抗性前列腺癌（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mCRPC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）。目前，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mHSPC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mCRPC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领域均已有商业化治疗药物，但针对于高风险生化复发（BCR）的早期前列腺癌患者，仍缺乏已批准药物进行干预以降低前列腺癌复发概率。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鉴于氘恩扎鲁胺在</w:t>
            </w:r>
            <w:proofErr w:type="spellStart"/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mCRPC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适应症中明确的疗效和安全性，公司正在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准备氘恩扎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鲁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胺针对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BCR的早期前列腺癌的适应症III期临床，以填补市场空白，满足临床患者的需求，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提升氘恩扎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鲁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胺产品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的远期销售空间。</w:t>
            </w:r>
          </w:p>
          <w:bookmarkEnd w:id="4"/>
          <w:p w14:paraId="0A227657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</w:p>
          <w:p w14:paraId="0AEEA75E" w14:textId="5DE928A8" w:rsidR="00750F67" w:rsidRPr="001303B4" w:rsidRDefault="00750F67" w:rsidP="00750F67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</w:t>
            </w:r>
            <w:r w:rsidR="00781686">
              <w:rPr>
                <w:rFonts w:ascii="宋体" w:hAnsi="宋体" w:hint="eastAsia"/>
                <w:b/>
                <w:iCs/>
                <w:color w:val="000000"/>
              </w:rPr>
              <w:t>7</w:t>
            </w:r>
            <w:r w:rsidRPr="001303B4">
              <w:rPr>
                <w:rFonts w:ascii="宋体" w:hAnsi="宋体" w:hint="eastAsia"/>
                <w:b/>
                <w:iCs/>
                <w:color w:val="000000"/>
              </w:rPr>
              <w:t>: BCR适应症的市场规模和竞争格局介绍？</w:t>
            </w:r>
          </w:p>
          <w:p w14:paraId="5E74AACD" w14:textId="1658ABA9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恩扎鲁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胺已经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在国外获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批治疗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高风险生化复发（BCR）前列腺癌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患者，在中国尚且没有任何新型雄激素受体抑制剂获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批治疗该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阶段患者。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在中国约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2/3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的初诊患者处于局限期或者局部进展期，50%</w:t>
            </w:r>
            <w:r w:rsidR="00E719F0">
              <w:rPr>
                <w:rFonts w:ascii="宋体" w:hAnsi="宋体" w:hint="eastAsia"/>
                <w:bCs/>
                <w:iCs/>
                <w:color w:val="000000"/>
              </w:rPr>
              <w:t>-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60%的初诊患者会进行根治性治疗，大约30%的初诊患者在前列腺癌初步根治性治疗后的5年内会出现生化复发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。根据预测，国内高风险BCR存量患者约10万人，市场规模约80亿。目前，国内暂无高风险生化复发（BCR）的早期前列腺癌产品获批上市。</w:t>
            </w:r>
          </w:p>
          <w:p w14:paraId="1C55588C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</w:p>
          <w:p w14:paraId="72B30805" w14:textId="56DC0BC1" w:rsidR="00750F67" w:rsidRPr="001303B4" w:rsidRDefault="00750F67" w:rsidP="00750F67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</w:t>
            </w:r>
            <w:r w:rsidR="00781686">
              <w:rPr>
                <w:rFonts w:ascii="宋体" w:hAnsi="宋体" w:hint="eastAsia"/>
                <w:b/>
                <w:iCs/>
                <w:color w:val="000000"/>
              </w:rPr>
              <w:t>8</w:t>
            </w:r>
            <w:r w:rsidRPr="001303B4">
              <w:rPr>
                <w:rFonts w:ascii="宋体" w:hAnsi="宋体" w:hint="eastAsia"/>
                <w:b/>
                <w:iCs/>
                <w:color w:val="000000"/>
              </w:rPr>
              <w:t>: 面对当前的市场准入新形势，公司在产品入院、渠道建设、市场拓展方面有怎样的应对策略？如何保障后续产品的持续商业化放量？</w:t>
            </w:r>
          </w:p>
          <w:p w14:paraId="71A293F5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bookmarkStart w:id="5" w:name="_Hlk233401683"/>
            <w:r w:rsidRPr="001303B4">
              <w:rPr>
                <w:rFonts w:ascii="宋体" w:hAnsi="宋体"/>
                <w:bCs/>
                <w:iCs/>
                <w:color w:val="000000"/>
              </w:rPr>
              <w:t>公司始终把合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规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经营作为发展根基。当下医疗反腐常态化，有助于净化行业，引导产业聚焦临床价值与创新。创新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药推广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方面，公司坚持合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规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学术推广，依托专业医学交流、正规科研合作、合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规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学术活动传递产品医学价值；同时搭建完整内控机制，全流程业务可追溯。渠道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端推进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多元数字化布局：顺应双通道政策，深耕院内市场、拓展 DTP 药房，保障患者用药可及，打造稳健销售网络；运用数字化工具赋能学术活动，提升推广精准度与合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规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水平。后续行业环境将更公平透明，公司将依托自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研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实力与完善合</w:t>
            </w:r>
            <w:proofErr w:type="gramStart"/>
            <w:r w:rsidRPr="001303B4">
              <w:rPr>
                <w:rFonts w:ascii="宋体" w:hAnsi="宋体"/>
                <w:bCs/>
                <w:iCs/>
                <w:color w:val="000000"/>
              </w:rPr>
              <w:t>规</w:t>
            </w:r>
            <w:proofErr w:type="gramEnd"/>
            <w:r w:rsidRPr="001303B4">
              <w:rPr>
                <w:rFonts w:ascii="宋体" w:hAnsi="宋体"/>
                <w:bCs/>
                <w:iCs/>
                <w:color w:val="000000"/>
              </w:rPr>
              <w:t>体系，持续巩固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lastRenderedPageBreak/>
              <w:t>长期竞争力。</w:t>
            </w:r>
          </w:p>
          <w:bookmarkEnd w:id="5"/>
          <w:p w14:paraId="1F7D2955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</w:p>
          <w:p w14:paraId="62BEEE63" w14:textId="6FDAE5D2" w:rsidR="00750F67" w:rsidRPr="001303B4" w:rsidRDefault="00750F67" w:rsidP="00750F67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</w:t>
            </w:r>
            <w:r w:rsidR="00781686">
              <w:rPr>
                <w:rFonts w:ascii="宋体" w:hAnsi="宋体" w:hint="eastAsia"/>
                <w:b/>
                <w:iCs/>
                <w:color w:val="000000"/>
              </w:rPr>
              <w:t>9</w:t>
            </w:r>
            <w:r w:rsidRPr="001303B4">
              <w:rPr>
                <w:rFonts w:ascii="宋体" w:hAnsi="宋体" w:hint="eastAsia"/>
                <w:b/>
                <w:iCs/>
                <w:color w:val="000000"/>
              </w:rPr>
              <w:t>: 公司是国内 PROTAC 赛道的第一梯队企业，想请管理</w:t>
            </w:r>
            <w:proofErr w:type="gramStart"/>
            <w:r w:rsidRPr="001303B4">
              <w:rPr>
                <w:rFonts w:ascii="宋体" w:hAnsi="宋体" w:hint="eastAsia"/>
                <w:b/>
                <w:iCs/>
                <w:color w:val="000000"/>
              </w:rPr>
              <w:t>层介绍</w:t>
            </w:r>
            <w:proofErr w:type="gramEnd"/>
            <w:r w:rsidRPr="001303B4">
              <w:rPr>
                <w:rFonts w:ascii="宋体" w:hAnsi="宋体" w:hint="eastAsia"/>
                <w:b/>
                <w:iCs/>
                <w:color w:val="000000"/>
              </w:rPr>
              <w:t>一下 HP518 分子？</w:t>
            </w:r>
          </w:p>
          <w:p w14:paraId="7CBE0E36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bookmarkStart w:id="6" w:name="_Hlk233401698"/>
            <w:r w:rsidRPr="001303B4">
              <w:rPr>
                <w:rFonts w:ascii="宋体" w:hAnsi="宋体" w:hint="eastAsia"/>
                <w:bCs/>
                <w:iCs/>
                <w:color w:val="000000"/>
              </w:rPr>
              <w:t>HP518是公司自主研发的新一代可口服给药的AR PROTAC分子，是国内首个进入临床试验阶段的口服AR PROTAC在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研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药物。HP518用于治疗转移性去势抵抗性前列腺癌（</w:t>
            </w:r>
            <w:proofErr w:type="spell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mCRPC</w:t>
            </w:r>
            <w:proofErr w:type="spell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）的Ⅰ期临床研究已在澳大利亚和中国完成，中国Ⅱ期临床试验完成入组。目前也在积极沟通后续开发方案及联合用药的开发方案。</w:t>
            </w:r>
          </w:p>
          <w:bookmarkEnd w:id="6"/>
          <w:p w14:paraId="66B7F8BA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</w:p>
          <w:p w14:paraId="334230BE" w14:textId="5CD81A97" w:rsidR="00750F67" w:rsidRPr="001303B4" w:rsidRDefault="00750F67" w:rsidP="00750F67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Q1</w:t>
            </w:r>
            <w:r w:rsidR="00781686">
              <w:rPr>
                <w:rFonts w:ascii="宋体" w:hAnsi="宋体" w:hint="eastAsia"/>
                <w:b/>
                <w:iCs/>
                <w:color w:val="000000"/>
              </w:rPr>
              <w:t>0</w:t>
            </w:r>
            <w:r w:rsidRPr="001303B4">
              <w:rPr>
                <w:rFonts w:ascii="宋体" w:hAnsi="宋体" w:hint="eastAsia"/>
                <w:b/>
                <w:iCs/>
                <w:color w:val="000000"/>
              </w:rPr>
              <w:t>:请管理</w:t>
            </w:r>
            <w:proofErr w:type="gramStart"/>
            <w:r w:rsidRPr="001303B4">
              <w:rPr>
                <w:rFonts w:ascii="宋体" w:hAnsi="宋体" w:hint="eastAsia"/>
                <w:b/>
                <w:iCs/>
                <w:color w:val="000000"/>
              </w:rPr>
              <w:t>层介绍</w:t>
            </w:r>
            <w:proofErr w:type="gramEnd"/>
            <w:r w:rsidRPr="001303B4">
              <w:rPr>
                <w:rFonts w:ascii="宋体" w:hAnsi="宋体" w:hint="eastAsia"/>
                <w:b/>
                <w:iCs/>
                <w:color w:val="000000"/>
              </w:rPr>
              <w:t>一下分子胶平台的后续开发规划，以及首条管线预计的临床推进节奏？</w:t>
            </w:r>
          </w:p>
          <w:p w14:paraId="4AE903E9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bookmarkStart w:id="7" w:name="_Hlk233401706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在推动现有管线进展的同时，公司利用AI技术平台，也在积极开展新项目立项评估和源头创新研究， 持续夯实研发储备。分子胶蛋白降解平台为公司新增重要技术平台， 专注分子胶类药物研发， 聚焦分子胶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类创新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药物研发。 依托上述平台， 公司已在多个靶点上实现候选分子发现与优化， 初步形成具有自主特色的分子胶研发能力体系， 并将进一步增强公司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在靶向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蛋白降解领域的技术壁垒与核心竞争力。</w:t>
            </w:r>
          </w:p>
          <w:p w14:paraId="6847E6DF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HP570 是公司自主研发的一种靶向 VAV1 的口服分子胶降解剂， 目前处于临床前毒理研究阶段。 VAV1 主要在造血系统细胞中表达， 是T细胞受体（TCR）及B细胞受体（BCR）信号通路中的关键调控蛋白，在T细胞和 B 细胞的发育、 活化及免疫应答过程中发挥重要作用。在2024 年，诺华与分子胶龙头 Monte Rosa签署全球独家开发、生产、商业化许可协议，总交易金额达22.5亿美元，VAV1分子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胶受到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全球制药巨头的认可，诺华正积极推进II期临床。</w:t>
            </w:r>
          </w:p>
          <w:p w14:paraId="2970E210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r w:rsidRPr="001303B4">
              <w:rPr>
                <w:rFonts w:ascii="宋体" w:hAnsi="宋体" w:hint="eastAsia"/>
                <w:bCs/>
                <w:iCs/>
                <w:color w:val="000000"/>
              </w:rPr>
              <w:t>HP570作用机制明确，临床前药效及安全性研究结果积极，亚纳摩尔级 DC50 具有强大的蛋白敲落能力。HP570相关IND-enabling研究正在推进中，公司计划积极推动其后续开发进程，同时也在积极和海外多家公司沟通，寻求BD合作机会。</w:t>
            </w:r>
          </w:p>
          <w:bookmarkEnd w:id="7"/>
          <w:p w14:paraId="5E22BC8B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</w:p>
          <w:p w14:paraId="086398B1" w14:textId="116161B6" w:rsidR="00750F67" w:rsidRPr="001303B4" w:rsidRDefault="00750F67" w:rsidP="00750F67">
            <w:pPr>
              <w:spacing w:line="240" w:lineRule="auto"/>
              <w:ind w:firstLine="482"/>
              <w:rPr>
                <w:rFonts w:ascii="宋体" w:hAnsi="宋体" w:hint="eastAsia"/>
                <w:b/>
                <w:iCs/>
                <w:color w:val="000000"/>
              </w:rPr>
            </w:pPr>
            <w:r w:rsidRPr="001303B4">
              <w:rPr>
                <w:rFonts w:ascii="宋体" w:hAnsi="宋体" w:hint="eastAsia"/>
                <w:b/>
                <w:iCs/>
                <w:color w:val="000000"/>
              </w:rPr>
              <w:t>Q1</w:t>
            </w:r>
            <w:r w:rsidR="00781686">
              <w:rPr>
                <w:rFonts w:ascii="宋体" w:hAnsi="宋体" w:hint="eastAsia"/>
                <w:b/>
                <w:iCs/>
                <w:color w:val="000000"/>
              </w:rPr>
              <w:t>1</w:t>
            </w:r>
            <w:r w:rsidRPr="001303B4">
              <w:rPr>
                <w:rFonts w:ascii="宋体" w:hAnsi="宋体" w:hint="eastAsia"/>
                <w:b/>
                <w:iCs/>
                <w:color w:val="000000"/>
              </w:rPr>
              <w:t>: 公司的</w:t>
            </w:r>
            <w:proofErr w:type="gramStart"/>
            <w:r w:rsidRPr="001303B4">
              <w:rPr>
                <w:rFonts w:ascii="宋体" w:hAnsi="宋体" w:hint="eastAsia"/>
                <w:b/>
                <w:iCs/>
                <w:color w:val="000000"/>
              </w:rPr>
              <w:t>自免</w:t>
            </w:r>
            <w:proofErr w:type="gramEnd"/>
            <w:r w:rsidRPr="001303B4">
              <w:rPr>
                <w:rFonts w:ascii="宋体" w:hAnsi="宋体" w:hint="eastAsia"/>
                <w:b/>
                <w:iCs/>
                <w:color w:val="000000"/>
              </w:rPr>
              <w:t>方向整体战略布局？</w:t>
            </w:r>
          </w:p>
          <w:p w14:paraId="6FE578F8" w14:textId="77777777" w:rsidR="00750F67" w:rsidRPr="001303B4" w:rsidRDefault="00750F67" w:rsidP="00750F67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bookmarkStart w:id="8" w:name="_Hlk233401717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自身免疫疾病市场广阔，根据弗若斯特沙利文数据，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2030年全球总规模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将达到</w:t>
            </w:r>
            <w:r w:rsidRPr="001303B4">
              <w:rPr>
                <w:rFonts w:ascii="宋体" w:hAnsi="宋体"/>
                <w:bCs/>
                <w:iCs/>
                <w:color w:val="000000"/>
              </w:rPr>
              <w:t>1760</w:t>
            </w:r>
            <w:r w:rsidRPr="001303B4">
              <w:rPr>
                <w:rFonts w:ascii="宋体" w:hAnsi="宋体" w:hint="eastAsia"/>
                <w:bCs/>
                <w:iCs/>
                <w:color w:val="000000"/>
              </w:rPr>
              <w:t>亿美元，中国将达到231亿美元。自身免疫疾病细分赛道分化显著，类风湿关节炎、银屑病、特应性皮炎等成熟领域已经形成多层级、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多机制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的完整药物管线，临床可选方案相对充足；但仍存在大量未被充分满足临床需求的难治性病种与治疗空白，炎症性肠病、系统性红斑狼疮、硬皮病、干燥综合征等疾病是其中典型代表，传统小分子抑制剂、生物制剂均存在难以突破的疗效与靶点瓶颈。</w:t>
            </w:r>
          </w:p>
          <w:p w14:paraId="548B378F" w14:textId="001C364A" w:rsidR="00A8679F" w:rsidRPr="001303B4" w:rsidRDefault="00750F67" w:rsidP="000F2A05">
            <w:pPr>
              <w:spacing w:line="240" w:lineRule="auto"/>
              <w:ind w:firstLine="480"/>
              <w:rPr>
                <w:rFonts w:ascii="宋体" w:hAnsi="宋体" w:hint="eastAsia"/>
                <w:bCs/>
                <w:iCs/>
                <w:color w:val="000000"/>
              </w:rPr>
            </w:pP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而分子胶靶向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蛋白降解技术，有望从根源上解决传统药物无法成药的靶点难题，通过调控更上游、全新的免疫调控通路，填补当前巨大临床缺口。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海创目前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布局了VAV1分子胶、STAT6靶向小分子、STAT6 PROTAC，形成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自免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疾病的矩阵。在临床前阶段，就有海外公司对我们的</w:t>
            </w:r>
            <w:proofErr w:type="gramStart"/>
            <w:r w:rsidRPr="001303B4">
              <w:rPr>
                <w:rFonts w:ascii="宋体" w:hAnsi="宋体" w:hint="eastAsia"/>
                <w:bCs/>
                <w:iCs/>
                <w:color w:val="000000"/>
              </w:rPr>
              <w:t>自免</w:t>
            </w:r>
            <w:proofErr w:type="gramEnd"/>
            <w:r w:rsidRPr="001303B4">
              <w:rPr>
                <w:rFonts w:ascii="宋体" w:hAnsi="宋体" w:hint="eastAsia"/>
                <w:bCs/>
                <w:iCs/>
                <w:color w:val="000000"/>
              </w:rPr>
              <w:t>产品感兴趣，未来的合作潜力巨大。</w:t>
            </w:r>
            <w:bookmarkEnd w:id="8"/>
          </w:p>
        </w:tc>
      </w:tr>
      <w:tr w:rsidR="00A8679F" w:rsidRPr="00BB1B05" w14:paraId="2D08619F" w14:textId="77777777" w:rsidTr="00970BC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E051" w14:textId="77777777" w:rsidR="00A8679F" w:rsidRPr="00BB1B05" w:rsidRDefault="00A8679F" w:rsidP="00970BC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5060" w14:textId="023E7390" w:rsidR="00A8679F" w:rsidRPr="00BB1B05" w:rsidRDefault="00931BB3" w:rsidP="00970BC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</w:tbl>
    <w:p w14:paraId="6DD9E873" w14:textId="77777777" w:rsidR="00800501" w:rsidRDefault="00800501">
      <w:pPr>
        <w:ind w:firstLine="480"/>
      </w:pPr>
    </w:p>
    <w:p w14:paraId="1DC1B86F" w14:textId="77777777" w:rsidR="00931BB3" w:rsidRDefault="00931BB3">
      <w:pPr>
        <w:ind w:firstLine="480"/>
      </w:pPr>
    </w:p>
    <w:p w14:paraId="5F86E915" w14:textId="77777777" w:rsidR="00931BB3" w:rsidRDefault="00931BB3">
      <w:pPr>
        <w:ind w:firstLine="480"/>
      </w:pPr>
    </w:p>
    <w:p w14:paraId="455AD77E" w14:textId="77777777" w:rsidR="00931BB3" w:rsidRDefault="00931BB3">
      <w:pPr>
        <w:ind w:firstLine="480"/>
      </w:pPr>
    </w:p>
    <w:sectPr w:rsidR="00931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5A67" w14:textId="77777777" w:rsidR="00E62870" w:rsidRDefault="00E62870" w:rsidP="00A8679F">
      <w:pPr>
        <w:spacing w:line="240" w:lineRule="auto"/>
        <w:ind w:firstLine="480"/>
      </w:pPr>
      <w:r>
        <w:separator/>
      </w:r>
    </w:p>
  </w:endnote>
  <w:endnote w:type="continuationSeparator" w:id="0">
    <w:p w14:paraId="635272AC" w14:textId="77777777" w:rsidR="00E62870" w:rsidRDefault="00E62870" w:rsidP="00A8679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7EE2" w14:textId="77777777" w:rsidR="00931BB3" w:rsidRDefault="00931BB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9466" w14:textId="77777777" w:rsidR="00931BB3" w:rsidRDefault="00931BB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3E68" w14:textId="77777777" w:rsidR="00931BB3" w:rsidRDefault="00931BB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4AD5" w14:textId="77777777" w:rsidR="00E62870" w:rsidRDefault="00E62870" w:rsidP="00A8679F">
      <w:pPr>
        <w:spacing w:line="240" w:lineRule="auto"/>
        <w:ind w:firstLine="480"/>
      </w:pPr>
      <w:r>
        <w:separator/>
      </w:r>
    </w:p>
  </w:footnote>
  <w:footnote w:type="continuationSeparator" w:id="0">
    <w:p w14:paraId="545E0E98" w14:textId="77777777" w:rsidR="00E62870" w:rsidRDefault="00E62870" w:rsidP="00A8679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2552" w14:textId="77777777" w:rsidR="00931BB3" w:rsidRDefault="00931BB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F278" w14:textId="77777777" w:rsidR="00931BB3" w:rsidRDefault="00931BB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A158" w14:textId="77777777" w:rsidR="00931BB3" w:rsidRDefault="00931BB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A85"/>
    <w:rsid w:val="00036F35"/>
    <w:rsid w:val="00055DCB"/>
    <w:rsid w:val="000715D0"/>
    <w:rsid w:val="000F0BC1"/>
    <w:rsid w:val="000F2A05"/>
    <w:rsid w:val="001303B4"/>
    <w:rsid w:val="001A70AD"/>
    <w:rsid w:val="001F0BEB"/>
    <w:rsid w:val="00234653"/>
    <w:rsid w:val="0028244A"/>
    <w:rsid w:val="002D12B6"/>
    <w:rsid w:val="0033014A"/>
    <w:rsid w:val="00352902"/>
    <w:rsid w:val="004051E8"/>
    <w:rsid w:val="004205D5"/>
    <w:rsid w:val="00430CEB"/>
    <w:rsid w:val="00482A6C"/>
    <w:rsid w:val="004A1EB9"/>
    <w:rsid w:val="004C03B2"/>
    <w:rsid w:val="004F7318"/>
    <w:rsid w:val="005422AD"/>
    <w:rsid w:val="00580EE5"/>
    <w:rsid w:val="006110AB"/>
    <w:rsid w:val="0064611C"/>
    <w:rsid w:val="00654129"/>
    <w:rsid w:val="006A1730"/>
    <w:rsid w:val="006B2074"/>
    <w:rsid w:val="006B2DB4"/>
    <w:rsid w:val="006D4E49"/>
    <w:rsid w:val="00707E8D"/>
    <w:rsid w:val="0072144D"/>
    <w:rsid w:val="007370AF"/>
    <w:rsid w:val="00746FED"/>
    <w:rsid w:val="00750F67"/>
    <w:rsid w:val="00762E71"/>
    <w:rsid w:val="00775C00"/>
    <w:rsid w:val="00781686"/>
    <w:rsid w:val="00800501"/>
    <w:rsid w:val="00822F20"/>
    <w:rsid w:val="00834C81"/>
    <w:rsid w:val="00896F50"/>
    <w:rsid w:val="008E3972"/>
    <w:rsid w:val="00910DDB"/>
    <w:rsid w:val="009144F2"/>
    <w:rsid w:val="00931BB3"/>
    <w:rsid w:val="009705D3"/>
    <w:rsid w:val="0097455E"/>
    <w:rsid w:val="009E758C"/>
    <w:rsid w:val="00A20E82"/>
    <w:rsid w:val="00A34D9E"/>
    <w:rsid w:val="00A8679F"/>
    <w:rsid w:val="00AB77DC"/>
    <w:rsid w:val="00B62A85"/>
    <w:rsid w:val="00BD3125"/>
    <w:rsid w:val="00C33610"/>
    <w:rsid w:val="00C43D70"/>
    <w:rsid w:val="00C51F30"/>
    <w:rsid w:val="00C57509"/>
    <w:rsid w:val="00C641E2"/>
    <w:rsid w:val="00C75C44"/>
    <w:rsid w:val="00CC7043"/>
    <w:rsid w:val="00CE654F"/>
    <w:rsid w:val="00D170EE"/>
    <w:rsid w:val="00DA0042"/>
    <w:rsid w:val="00DA533B"/>
    <w:rsid w:val="00E62870"/>
    <w:rsid w:val="00E71219"/>
    <w:rsid w:val="00E719F0"/>
    <w:rsid w:val="00E74716"/>
    <w:rsid w:val="00E76F39"/>
    <w:rsid w:val="00E8614A"/>
    <w:rsid w:val="00EB37F2"/>
    <w:rsid w:val="00EC3669"/>
    <w:rsid w:val="00EE4969"/>
    <w:rsid w:val="00F02558"/>
    <w:rsid w:val="00F30826"/>
    <w:rsid w:val="00F37304"/>
    <w:rsid w:val="00F42818"/>
    <w:rsid w:val="00F54D66"/>
    <w:rsid w:val="00F96101"/>
    <w:rsid w:val="00FC2D48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DB74B"/>
  <w15:chartTrackingRefBased/>
  <w15:docId w15:val="{53AF74A4-F8ED-4F6B-A024-11DAA06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79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79F"/>
    <w:rPr>
      <w:sz w:val="18"/>
      <w:szCs w:val="18"/>
    </w:rPr>
  </w:style>
  <w:style w:type="character" w:customStyle="1" w:styleId="fontstyle01">
    <w:name w:val="fontstyle01"/>
    <w:basedOn w:val="a0"/>
    <w:rsid w:val="00931BB3"/>
    <w:rPr>
      <w:rFonts w:ascii="Wingdings2" w:hAnsi="Wingdings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霞</dc:creator>
  <cp:keywords/>
  <dc:description/>
  <cp:lastModifiedBy>202503181108</cp:lastModifiedBy>
  <cp:revision>37</cp:revision>
  <dcterms:created xsi:type="dcterms:W3CDTF">2022-04-29T03:48:00Z</dcterms:created>
  <dcterms:modified xsi:type="dcterms:W3CDTF">2026-07-01T10:22:00Z</dcterms:modified>
</cp:coreProperties>
</file>