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C4F5" w14:textId="77777777" w:rsidR="00195CB3" w:rsidRDefault="009218B1">
      <w:pPr>
        <w:pStyle w:val="1"/>
        <w:rPr>
          <w:rFonts w:ascii="宋体" w:eastAsia="宋体" w:hAnsi="宋体" w:cs="宋体" w:hint="eastAsia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证券代码：600120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证券简称：浙江东方</w:t>
      </w:r>
    </w:p>
    <w:p w14:paraId="15DA6861" w14:textId="77777777" w:rsidR="00195CB3" w:rsidRDefault="00195CB3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349999F4" w14:textId="77777777" w:rsidR="00195CB3" w:rsidRDefault="009218B1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浙江东方控股集团股份有限公司</w:t>
      </w:r>
    </w:p>
    <w:p w14:paraId="069373C1" w14:textId="77777777" w:rsidR="00195CB3" w:rsidRDefault="009218B1">
      <w:pPr>
        <w:spacing w:line="360" w:lineRule="auto"/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4737972B" w14:textId="77777777" w:rsidR="00195CB3" w:rsidRDefault="009218B1">
      <w:pPr>
        <w:wordWrap w:val="0"/>
        <w:spacing w:before="51" w:after="32"/>
        <w:ind w:right="619"/>
        <w:jc w:val="right"/>
        <w:rPr>
          <w:rFonts w:ascii="宋体" w:eastAsia="宋体" w:hAnsi="宋体" w:cs="宋体" w:hint="eastAsia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2026</w:t>
      </w:r>
      <w:r>
        <w:rPr>
          <w:rFonts w:ascii="宋体" w:eastAsia="宋体" w:hAnsi="宋体" w:cs="宋体" w:hint="eastAsia"/>
          <w:sz w:val="20"/>
          <w:szCs w:val="20"/>
        </w:rPr>
        <w:t xml:space="preserve"> -</w:t>
      </w: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 004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6346"/>
      </w:tblGrid>
      <w:tr w:rsidR="00195CB3" w14:paraId="7BB2D502" w14:textId="77777777" w:rsidTr="0020454F">
        <w:trPr>
          <w:trHeight w:val="2801"/>
          <w:jc w:val="center"/>
        </w:trPr>
        <w:tc>
          <w:tcPr>
            <w:tcW w:w="2580" w:type="dxa"/>
          </w:tcPr>
          <w:p w14:paraId="4686CF2F" w14:textId="77777777" w:rsidR="00195CB3" w:rsidRDefault="00195CB3">
            <w:pPr>
              <w:pStyle w:val="TableParagraph"/>
              <w:spacing w:before="7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</w:p>
          <w:p w14:paraId="6DFAD837" w14:textId="77777777" w:rsidR="00195CB3" w:rsidRDefault="009218B1">
            <w:pPr>
              <w:pStyle w:val="TableParagraph"/>
              <w:spacing w:before="1"/>
              <w:ind w:left="107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6346" w:type="dxa"/>
          </w:tcPr>
          <w:p w14:paraId="2A3963C8" w14:textId="77777777" w:rsidR="00195CB3" w:rsidRDefault="00195CB3">
            <w:pPr>
              <w:pStyle w:val="TableParagraph"/>
              <w:spacing w:before="7"/>
              <w:rPr>
                <w:rFonts w:ascii="Times New Roman" w:eastAsia="宋体" w:hAnsi="Times New Roman" w:cs="宋体"/>
                <w:sz w:val="20"/>
                <w:szCs w:val="20"/>
              </w:rPr>
            </w:pPr>
          </w:p>
          <w:p w14:paraId="61367555" w14:textId="77777777" w:rsidR="00195CB3" w:rsidRDefault="007E06F9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Times New Roman" w:eastAsia="宋体" w:hAnsi="Times New Roman" w:cs="宋体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宋体" w:hint="eastAsia"/>
                  <w:sz w:val="20"/>
                  <w:szCs w:val="20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18B1">
                  <w:rPr>
                    <w:rFonts w:ascii="Wingdings 2" w:eastAsia="MS Gothic" w:hAnsi="Wingdings 2" w:cs="宋体"/>
                    <w:sz w:val="20"/>
                    <w:szCs w:val="20"/>
                  </w:rPr>
                  <w:t></w:t>
                </w:r>
              </w:sdtContent>
            </w:sdt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>特</w:t>
            </w:r>
            <w:r w:rsidR="009218B1">
              <w:rPr>
                <w:rFonts w:ascii="Times New Roman" w:eastAsia="宋体" w:hAnsi="Times New Roman" w:cs="宋体" w:hint="eastAsia"/>
                <w:spacing w:val="-3"/>
                <w:sz w:val="20"/>
                <w:szCs w:val="20"/>
              </w:rPr>
              <w:t>定</w:t>
            </w:r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>对</w:t>
            </w:r>
            <w:r w:rsidR="009218B1">
              <w:rPr>
                <w:rFonts w:ascii="Times New Roman" w:eastAsia="宋体" w:hAnsi="Times New Roman" w:cs="宋体" w:hint="eastAsia"/>
                <w:spacing w:val="-3"/>
                <w:sz w:val="20"/>
                <w:szCs w:val="20"/>
              </w:rPr>
              <w:t>象</w:t>
            </w:r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>调研</w:t>
            </w:r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18B1">
                  <w:rPr>
                    <w:rFonts w:ascii="Times New Roman" w:eastAsia="MS Gothic" w:hAnsi="Times New Roman" w:cs="宋体" w:hint="eastAsia"/>
                    <w:sz w:val="20"/>
                    <w:szCs w:val="20"/>
                  </w:rPr>
                  <w:t>☐</w:t>
                </w:r>
              </w:sdtContent>
            </w:sdt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>分</w:t>
            </w:r>
            <w:r w:rsidR="009218B1">
              <w:rPr>
                <w:rFonts w:ascii="Times New Roman" w:eastAsia="宋体" w:hAnsi="Times New Roman" w:cs="宋体" w:hint="eastAsia"/>
                <w:spacing w:val="-3"/>
                <w:sz w:val="20"/>
                <w:szCs w:val="20"/>
              </w:rPr>
              <w:t>析</w:t>
            </w:r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>师</w:t>
            </w:r>
            <w:r w:rsidR="009218B1">
              <w:rPr>
                <w:rFonts w:ascii="Times New Roman" w:eastAsia="宋体" w:hAnsi="Times New Roman" w:cs="宋体" w:hint="eastAsia"/>
                <w:spacing w:val="-3"/>
                <w:sz w:val="20"/>
                <w:szCs w:val="20"/>
              </w:rPr>
              <w:t>会</w:t>
            </w:r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>议</w:t>
            </w:r>
          </w:p>
          <w:p w14:paraId="097F32CE" w14:textId="77777777" w:rsidR="00195CB3" w:rsidRDefault="00195CB3">
            <w:pPr>
              <w:pStyle w:val="TableParagraph"/>
              <w:spacing w:before="11"/>
              <w:rPr>
                <w:rFonts w:ascii="Times New Roman" w:eastAsia="宋体" w:hAnsi="Times New Roman" w:cs="宋体"/>
                <w:sz w:val="20"/>
                <w:szCs w:val="20"/>
              </w:rPr>
            </w:pPr>
          </w:p>
          <w:p w14:paraId="0066ABAE" w14:textId="77777777" w:rsidR="00195CB3" w:rsidRDefault="007E06F9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="宋体" w:hAnsi="Times New Roman" w:cs="宋体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18B1">
                  <w:rPr>
                    <w:rFonts w:ascii="Times New Roman" w:eastAsia="MS Gothic" w:hAnsi="Times New Roman" w:cs="宋体" w:hint="eastAsia"/>
                    <w:sz w:val="20"/>
                    <w:szCs w:val="20"/>
                  </w:rPr>
                  <w:t>☐</w:t>
                </w:r>
              </w:sdtContent>
            </w:sdt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>媒</w:t>
            </w:r>
            <w:r w:rsidR="009218B1">
              <w:rPr>
                <w:rFonts w:ascii="Times New Roman" w:eastAsia="宋体" w:hAnsi="Times New Roman" w:cs="宋体" w:hint="eastAsia"/>
                <w:spacing w:val="-3"/>
                <w:sz w:val="20"/>
                <w:szCs w:val="20"/>
              </w:rPr>
              <w:t>体</w:t>
            </w:r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>采访</w:t>
            </w:r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宋体" w:hint="eastAsia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18B1">
                  <w:rPr>
                    <w:rFonts w:ascii="Times New Roman" w:eastAsia="MS Gothic" w:hAnsi="Times New Roman" w:cs="宋体"/>
                    <w:sz w:val="20"/>
                    <w:szCs w:val="20"/>
                  </w:rPr>
                  <w:t>☐</w:t>
                </w:r>
              </w:sdtContent>
            </w:sdt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>业</w:t>
            </w:r>
            <w:r w:rsidR="009218B1">
              <w:rPr>
                <w:rFonts w:ascii="Times New Roman" w:eastAsia="宋体" w:hAnsi="Times New Roman" w:cs="宋体" w:hint="eastAsia"/>
                <w:spacing w:val="-3"/>
                <w:sz w:val="20"/>
                <w:szCs w:val="20"/>
              </w:rPr>
              <w:t>绩</w:t>
            </w:r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>说</w:t>
            </w:r>
            <w:r w:rsidR="009218B1">
              <w:rPr>
                <w:rFonts w:ascii="Times New Roman" w:eastAsia="宋体" w:hAnsi="Times New Roman" w:cs="宋体" w:hint="eastAsia"/>
                <w:spacing w:val="-3"/>
                <w:sz w:val="20"/>
                <w:szCs w:val="20"/>
              </w:rPr>
              <w:t>明</w:t>
            </w:r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>会</w:t>
            </w:r>
          </w:p>
          <w:p w14:paraId="608F6CC9" w14:textId="77777777" w:rsidR="00195CB3" w:rsidRDefault="00195CB3">
            <w:pPr>
              <w:pStyle w:val="TableParagraph"/>
              <w:spacing w:before="8"/>
              <w:rPr>
                <w:rFonts w:ascii="Times New Roman" w:eastAsia="宋体" w:hAnsi="Times New Roman" w:cs="宋体"/>
                <w:sz w:val="20"/>
                <w:szCs w:val="20"/>
              </w:rPr>
            </w:pPr>
          </w:p>
          <w:p w14:paraId="4BEA0070" w14:textId="77777777" w:rsidR="00195CB3" w:rsidRDefault="007E06F9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="宋体" w:hAnsi="Times New Roman" w:cs="宋体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18B1">
                  <w:rPr>
                    <w:rFonts w:ascii="Times New Roman" w:eastAsia="MS Gothic" w:hAnsi="Times New Roman" w:cs="宋体" w:hint="eastAsia"/>
                    <w:sz w:val="20"/>
                    <w:szCs w:val="20"/>
                  </w:rPr>
                  <w:t>☐</w:t>
                </w:r>
              </w:sdtContent>
            </w:sdt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>新</w:t>
            </w:r>
            <w:r w:rsidR="009218B1">
              <w:rPr>
                <w:rFonts w:ascii="Times New Roman" w:eastAsia="宋体" w:hAnsi="Times New Roman" w:cs="宋体" w:hint="eastAsia"/>
                <w:spacing w:val="-3"/>
                <w:sz w:val="20"/>
                <w:szCs w:val="20"/>
              </w:rPr>
              <w:t>闻</w:t>
            </w:r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>发</w:t>
            </w:r>
            <w:r w:rsidR="009218B1">
              <w:rPr>
                <w:rFonts w:ascii="Times New Roman" w:eastAsia="宋体" w:hAnsi="Times New Roman" w:cs="宋体" w:hint="eastAsia"/>
                <w:spacing w:val="-3"/>
                <w:sz w:val="20"/>
                <w:szCs w:val="20"/>
              </w:rPr>
              <w:t>布</w:t>
            </w:r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>会</w:t>
            </w:r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18B1">
                  <w:rPr>
                    <w:rFonts w:ascii="Times New Roman" w:eastAsia="MS Gothic" w:hAnsi="Times New Roman" w:cs="宋体" w:hint="eastAsia"/>
                    <w:sz w:val="20"/>
                    <w:szCs w:val="20"/>
                  </w:rPr>
                  <w:t>☐</w:t>
                </w:r>
              </w:sdtContent>
            </w:sdt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>路</w:t>
            </w:r>
            <w:r w:rsidR="009218B1">
              <w:rPr>
                <w:rFonts w:ascii="Times New Roman" w:eastAsia="宋体" w:hAnsi="Times New Roman" w:cs="宋体" w:hint="eastAsia"/>
                <w:spacing w:val="-3"/>
                <w:sz w:val="20"/>
                <w:szCs w:val="20"/>
              </w:rPr>
              <w:t>演</w:t>
            </w:r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>活动</w:t>
            </w:r>
          </w:p>
          <w:p w14:paraId="5FFF23B7" w14:textId="77777777" w:rsidR="00195CB3" w:rsidRDefault="00195CB3">
            <w:pPr>
              <w:pStyle w:val="TableParagraph"/>
              <w:spacing w:before="8"/>
              <w:rPr>
                <w:rFonts w:ascii="Times New Roman" w:eastAsia="宋体" w:hAnsi="Times New Roman" w:cs="宋体"/>
                <w:sz w:val="20"/>
                <w:szCs w:val="20"/>
              </w:rPr>
            </w:pPr>
          </w:p>
          <w:p w14:paraId="08402EAF" w14:textId="77777777" w:rsidR="00195CB3" w:rsidRDefault="007E06F9">
            <w:pPr>
              <w:pStyle w:val="TableParagraph"/>
              <w:ind w:left="107"/>
              <w:rPr>
                <w:rFonts w:ascii="Times New Roman" w:eastAsia="宋体" w:hAnsi="Times New Roman" w:cs="宋体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18B1">
                  <w:rPr>
                    <w:rFonts w:ascii="Times New Roman" w:eastAsia="MS Gothic" w:hAnsi="Times New Roman" w:cs="宋体" w:hint="eastAsia"/>
                    <w:sz w:val="20"/>
                    <w:szCs w:val="20"/>
                  </w:rPr>
                  <w:t>☐</w:t>
                </w:r>
              </w:sdtContent>
            </w:sdt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>现场参观</w:t>
            </w:r>
          </w:p>
          <w:p w14:paraId="2E1BF56A" w14:textId="77777777" w:rsidR="00195CB3" w:rsidRDefault="00195CB3">
            <w:pPr>
              <w:pStyle w:val="TableParagraph"/>
              <w:spacing w:before="11"/>
              <w:rPr>
                <w:rFonts w:ascii="Times New Roman" w:eastAsia="宋体" w:hAnsi="Times New Roman" w:cs="宋体"/>
                <w:sz w:val="20"/>
                <w:szCs w:val="20"/>
              </w:rPr>
            </w:pPr>
          </w:p>
          <w:p w14:paraId="5DD82B02" w14:textId="77777777" w:rsidR="00195CB3" w:rsidRDefault="007E06F9">
            <w:pPr>
              <w:pStyle w:val="TableParagraph"/>
              <w:ind w:left="107"/>
              <w:rPr>
                <w:rFonts w:ascii="Times New Roman" w:eastAsia="宋体" w:hAnsi="Times New Roman" w:cs="宋体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18B1">
                  <w:rPr>
                    <w:rFonts w:ascii="Times New Roman" w:eastAsia="MS Gothic" w:hAnsi="Times New Roman" w:cs="宋体" w:hint="eastAsia"/>
                    <w:sz w:val="20"/>
                    <w:szCs w:val="20"/>
                  </w:rPr>
                  <w:t>☐</w:t>
                </w:r>
              </w:sdtContent>
            </w:sdt>
            <w:r w:rsidR="009218B1">
              <w:rPr>
                <w:rFonts w:ascii="Times New Roman" w:eastAsia="宋体" w:hAnsi="Times New Roman" w:cs="宋体" w:hint="eastAsia"/>
                <w:sz w:val="20"/>
                <w:szCs w:val="20"/>
              </w:rPr>
              <w:t>其他（</w:t>
            </w:r>
            <w:r w:rsidR="009218B1">
              <w:rPr>
                <w:rFonts w:ascii="Times New Roman" w:eastAsia="宋体" w:hAnsi="Times New Roman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195CB3" w14:paraId="067ECDAE" w14:textId="77777777" w:rsidTr="0020454F">
        <w:trPr>
          <w:trHeight w:val="1120"/>
          <w:jc w:val="center"/>
        </w:trPr>
        <w:tc>
          <w:tcPr>
            <w:tcW w:w="2580" w:type="dxa"/>
            <w:vAlign w:val="center"/>
          </w:tcPr>
          <w:p w14:paraId="0311AAEA" w14:textId="77777777" w:rsidR="00195CB3" w:rsidRDefault="009218B1">
            <w:pPr>
              <w:pStyle w:val="TableParagraph"/>
              <w:spacing w:line="560" w:lineRule="exact"/>
              <w:ind w:left="107" w:right="96"/>
              <w:rPr>
                <w:rFonts w:ascii="Times New Roman" w:eastAsiaTheme="minorEastAsia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EastAsia" w:hAnsi="Times New Roman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6346" w:type="dxa"/>
            <w:vAlign w:val="center"/>
          </w:tcPr>
          <w:p w14:paraId="3252F748" w14:textId="77777777" w:rsidR="00195CB3" w:rsidRDefault="009218B1">
            <w:pPr>
              <w:pStyle w:val="TableParagraph"/>
              <w:spacing w:before="100" w:beforeAutospacing="1" w:line="360" w:lineRule="auto"/>
              <w:rPr>
                <w:rFonts w:ascii="Times New Roman" w:eastAsiaTheme="minorEastAsia" w:hAnsi="Times New Roman" w:cs="宋体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宋体" w:hint="eastAsia"/>
                <w:sz w:val="20"/>
                <w:szCs w:val="20"/>
                <w:lang w:val="en-US"/>
              </w:rPr>
              <w:t>太平养老保险、中邮保险、华泰保险、中信建投、工银瑞信、鹏华基金、睿远基金等机构分析师、投资者代表</w:t>
            </w:r>
          </w:p>
        </w:tc>
      </w:tr>
      <w:tr w:rsidR="00195CB3" w14:paraId="7636B0CB" w14:textId="77777777" w:rsidTr="0020454F">
        <w:trPr>
          <w:trHeight w:val="558"/>
          <w:jc w:val="center"/>
        </w:trPr>
        <w:tc>
          <w:tcPr>
            <w:tcW w:w="2580" w:type="dxa"/>
            <w:vAlign w:val="center"/>
          </w:tcPr>
          <w:p w14:paraId="118FB5F2" w14:textId="77777777" w:rsidR="00195CB3" w:rsidRDefault="009218B1">
            <w:pPr>
              <w:pStyle w:val="TableParagraph"/>
              <w:ind w:left="107"/>
              <w:rPr>
                <w:rFonts w:ascii="Times New Roman" w:eastAsiaTheme="minorEastAsia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EastAsia" w:hAnsi="Times New Roman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6346" w:type="dxa"/>
            <w:vAlign w:val="center"/>
          </w:tcPr>
          <w:p w14:paraId="2D3DF1CA" w14:textId="77777777" w:rsidR="00195CB3" w:rsidRDefault="009218B1">
            <w:pPr>
              <w:spacing w:before="100" w:before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theme="minorEastAsia" w:hint="eastAsia"/>
                <w:sz w:val="20"/>
                <w:szCs w:val="20"/>
              </w:rPr>
              <w:t>202</w:t>
            </w:r>
            <w:r>
              <w:rPr>
                <w:rFonts w:ascii="Times New Roman" w:eastAsiaTheme="minorEastAsia" w:hAnsi="Times New Roman" w:cstheme="minorEastAsia" w:hint="eastAsia"/>
                <w:sz w:val="20"/>
                <w:szCs w:val="20"/>
                <w:lang w:val="en-US"/>
              </w:rPr>
              <w:t>6</w:t>
            </w:r>
            <w:r>
              <w:rPr>
                <w:rFonts w:ascii="Times New Roman" w:eastAsiaTheme="minorEastAsia" w:hAnsi="Times New Roman" w:cstheme="minorEastAsia" w:hint="eastAsia"/>
                <w:sz w:val="20"/>
                <w:szCs w:val="20"/>
              </w:rPr>
              <w:t>年</w:t>
            </w:r>
            <w:r>
              <w:rPr>
                <w:rFonts w:ascii="Times New Roman" w:eastAsiaTheme="minorEastAsia" w:hAnsi="Times New Roman" w:cstheme="minorEastAsia" w:hint="eastAsia"/>
                <w:sz w:val="20"/>
                <w:szCs w:val="20"/>
                <w:lang w:val="en-US"/>
              </w:rPr>
              <w:t>7</w:t>
            </w:r>
            <w:r>
              <w:rPr>
                <w:rFonts w:ascii="Times New Roman" w:eastAsiaTheme="minorEastAsia" w:hAnsi="Times New Roman" w:cstheme="minorEastAsia" w:hint="eastAsia"/>
                <w:sz w:val="20"/>
                <w:szCs w:val="20"/>
              </w:rPr>
              <w:t>月</w:t>
            </w:r>
            <w:r>
              <w:rPr>
                <w:rFonts w:ascii="Times New Roman" w:eastAsiaTheme="minorEastAsia" w:hAnsi="Times New Roman" w:cstheme="minorEastAsia" w:hint="eastAsia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Theme="minorEastAsia" w:hAnsi="Times New Roman" w:cstheme="minorEastAsia" w:hint="eastAsia"/>
                <w:sz w:val="20"/>
                <w:szCs w:val="20"/>
              </w:rPr>
              <w:t>日</w:t>
            </w:r>
            <w:r>
              <w:rPr>
                <w:rFonts w:ascii="Times New Roman" w:eastAsiaTheme="minorEastAsia" w:hAnsi="Times New Roman" w:cstheme="minorEastAsia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theme="minorEastAsia" w:hint="eastAsia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eastAsiaTheme="minorEastAsia" w:hAnsi="Times New Roman" w:cstheme="minorEastAsia" w:hint="eastAsia"/>
                <w:sz w:val="20"/>
                <w:szCs w:val="20"/>
              </w:rPr>
              <w:t>:00-</w:t>
            </w:r>
            <w:r>
              <w:rPr>
                <w:rFonts w:ascii="Times New Roman" w:eastAsiaTheme="minorEastAsia" w:hAnsi="Times New Roman" w:cstheme="minorEastAsia" w:hint="eastAsia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eastAsiaTheme="minorEastAsia" w:hAnsi="Times New Roman" w:cstheme="minorEastAsia" w:hint="eastAsia"/>
                <w:sz w:val="20"/>
                <w:szCs w:val="20"/>
              </w:rPr>
              <w:t>:</w:t>
            </w:r>
            <w:r>
              <w:rPr>
                <w:rFonts w:ascii="Times New Roman" w:eastAsiaTheme="minorEastAsia" w:hAnsi="Times New Roman" w:cstheme="minorEastAsia" w:hint="eastAsia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Theme="minorEastAsia" w:hAnsi="Times New Roman" w:cstheme="minorEastAsia" w:hint="eastAsia"/>
                <w:sz w:val="20"/>
                <w:szCs w:val="20"/>
              </w:rPr>
              <w:t>0</w:t>
            </w:r>
          </w:p>
        </w:tc>
      </w:tr>
      <w:tr w:rsidR="00195CB3" w14:paraId="690CD33F" w14:textId="77777777" w:rsidTr="0020454F">
        <w:trPr>
          <w:trHeight w:val="561"/>
          <w:jc w:val="center"/>
        </w:trPr>
        <w:tc>
          <w:tcPr>
            <w:tcW w:w="2580" w:type="dxa"/>
            <w:vAlign w:val="center"/>
          </w:tcPr>
          <w:p w14:paraId="79BDBD67" w14:textId="77777777" w:rsidR="00195CB3" w:rsidRDefault="009218B1">
            <w:pPr>
              <w:pStyle w:val="TableParagraph"/>
              <w:ind w:left="107"/>
              <w:rPr>
                <w:rFonts w:ascii="Times New Roman" w:eastAsiaTheme="minorEastAsia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EastAsia" w:hAnsi="Times New Roman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6346" w:type="dxa"/>
            <w:vAlign w:val="center"/>
          </w:tcPr>
          <w:p w14:paraId="12F8BCD5" w14:textId="77777777" w:rsidR="00195CB3" w:rsidRDefault="009218B1">
            <w:pPr>
              <w:pStyle w:val="TableParagraph"/>
              <w:spacing w:before="100" w:beforeAutospacing="1" w:line="360" w:lineRule="auto"/>
              <w:rPr>
                <w:rFonts w:ascii="Times New Roman" w:eastAsiaTheme="minorEastAsia" w:hAnsi="Times New Roman" w:cs="宋体"/>
                <w:sz w:val="20"/>
                <w:szCs w:val="20"/>
                <w:lang w:val="en-US"/>
              </w:rPr>
            </w:pPr>
            <w:r>
              <w:rPr>
                <w:rFonts w:ascii="Times New Roman" w:eastAsiaTheme="minorEastAsia" w:hAnsi="Times New Roman" w:cs="宋体" w:hint="eastAsia"/>
                <w:sz w:val="20"/>
                <w:szCs w:val="20"/>
                <w:lang w:val="en-US"/>
              </w:rPr>
              <w:t>现场调研</w:t>
            </w:r>
          </w:p>
        </w:tc>
      </w:tr>
      <w:tr w:rsidR="00195CB3" w14:paraId="43FA807A" w14:textId="77777777" w:rsidTr="0020454F">
        <w:trPr>
          <w:trHeight w:val="558"/>
          <w:jc w:val="center"/>
        </w:trPr>
        <w:tc>
          <w:tcPr>
            <w:tcW w:w="2580" w:type="dxa"/>
            <w:vAlign w:val="center"/>
          </w:tcPr>
          <w:p w14:paraId="48261AA6" w14:textId="77777777" w:rsidR="00195CB3" w:rsidRDefault="009218B1">
            <w:pPr>
              <w:pStyle w:val="TableParagraph"/>
              <w:spacing w:before="1"/>
              <w:ind w:left="107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6346" w:type="dxa"/>
            <w:vAlign w:val="center"/>
          </w:tcPr>
          <w:p w14:paraId="0912D5F4" w14:textId="77777777" w:rsidR="00195CB3" w:rsidRDefault="009218B1">
            <w:pPr>
              <w:pStyle w:val="TableParagraph"/>
              <w:spacing w:line="360" w:lineRule="auto"/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刘伟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浙江东方党委委员、副总经理</w:t>
            </w:r>
          </w:p>
          <w:p w14:paraId="181D2E7E" w14:textId="77777777" w:rsidR="00195CB3" w:rsidRDefault="009218B1">
            <w:pPr>
              <w:pStyle w:val="TableParagraph"/>
              <w:spacing w:line="360" w:lineRule="auto"/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何欣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浙江东方党委委员、副总经理、董事会秘书、财务负责人</w:t>
            </w:r>
          </w:p>
          <w:p w14:paraId="4335A594" w14:textId="77777777" w:rsidR="00195CB3" w:rsidRDefault="009218B1">
            <w:pPr>
              <w:pStyle w:val="TableParagraph"/>
              <w:spacing w:line="360" w:lineRule="auto"/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张振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大地期货总经理</w:t>
            </w:r>
          </w:p>
          <w:p w14:paraId="458F5684" w14:textId="77777777" w:rsidR="00195CB3" w:rsidRDefault="009218B1">
            <w:pPr>
              <w:pStyle w:val="TableParagraph"/>
              <w:spacing w:line="360" w:lineRule="auto"/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杨光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浙商金汇信托党委委员、董事会秘书</w:t>
            </w:r>
          </w:p>
          <w:p w14:paraId="7A6791A9" w14:textId="77777777" w:rsidR="00195CB3" w:rsidRDefault="009218B1">
            <w:pPr>
              <w:pStyle w:val="TableParagraph"/>
              <w:spacing w:line="360" w:lineRule="auto"/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姬峰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浙江东方董事会办公室主任</w:t>
            </w:r>
          </w:p>
          <w:p w14:paraId="327C562A" w14:textId="77777777" w:rsidR="00195CB3" w:rsidRDefault="009218B1">
            <w:pPr>
              <w:pStyle w:val="TableParagraph"/>
              <w:spacing w:line="360" w:lineRule="auto"/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李扬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浙江东方风险管理部总经理</w:t>
            </w:r>
          </w:p>
          <w:p w14:paraId="0C6B5401" w14:textId="77777777" w:rsidR="00195CB3" w:rsidRDefault="009218B1">
            <w:pPr>
              <w:pStyle w:val="TableParagraph"/>
              <w:spacing w:line="360" w:lineRule="auto"/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王凤毅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浙江东方资产财务部总经理</w:t>
            </w:r>
          </w:p>
          <w:p w14:paraId="032F0F0B" w14:textId="77777777" w:rsidR="00195CB3" w:rsidRDefault="009218B1">
            <w:pPr>
              <w:pStyle w:val="TableParagraph"/>
              <w:spacing w:line="360" w:lineRule="auto"/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傅菁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浙江东方战略协同部副经理</w:t>
            </w:r>
          </w:p>
          <w:p w14:paraId="3BF38A8F" w14:textId="77777777" w:rsidR="00195CB3" w:rsidRDefault="009218B1">
            <w:pPr>
              <w:pStyle w:val="TableParagraph"/>
              <w:spacing w:line="360" w:lineRule="auto"/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陈博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东方嘉富人寿党委委员、财务负责人</w:t>
            </w:r>
          </w:p>
          <w:p w14:paraId="3F837CC9" w14:textId="77777777" w:rsidR="00195CB3" w:rsidRDefault="009218B1">
            <w:pPr>
              <w:pStyle w:val="TableParagraph"/>
              <w:spacing w:line="360" w:lineRule="auto"/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皇甫立群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国金租赁常务副总经理</w:t>
            </w:r>
          </w:p>
          <w:p w14:paraId="247613AC" w14:textId="77777777" w:rsidR="00195CB3" w:rsidRDefault="009218B1">
            <w:pPr>
              <w:pStyle w:val="TableParagraph"/>
              <w:spacing w:line="360" w:lineRule="auto"/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张智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东方产融副总经理</w:t>
            </w:r>
          </w:p>
        </w:tc>
      </w:tr>
      <w:tr w:rsidR="00195CB3" w14:paraId="12E0EF93" w14:textId="77777777" w:rsidTr="0020454F">
        <w:trPr>
          <w:trHeight w:val="2800"/>
          <w:jc w:val="center"/>
        </w:trPr>
        <w:tc>
          <w:tcPr>
            <w:tcW w:w="2580" w:type="dxa"/>
          </w:tcPr>
          <w:p w14:paraId="2F2BCB96" w14:textId="77777777" w:rsidR="00195CB3" w:rsidRDefault="00195CB3">
            <w:pPr>
              <w:pStyle w:val="TableParagraph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</w:p>
          <w:p w14:paraId="3664D4FF" w14:textId="77777777" w:rsidR="00195CB3" w:rsidRDefault="00195CB3">
            <w:pPr>
              <w:pStyle w:val="TableParagraph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</w:p>
          <w:p w14:paraId="28F4FA0C" w14:textId="77777777" w:rsidR="00195CB3" w:rsidRDefault="00195CB3">
            <w:pPr>
              <w:pStyle w:val="TableParagraph"/>
              <w:spacing w:before="5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</w:p>
          <w:p w14:paraId="352F49FF" w14:textId="77777777" w:rsidR="00195CB3" w:rsidRDefault="009218B1">
            <w:pPr>
              <w:pStyle w:val="TableParagraph"/>
              <w:spacing w:before="1" w:line="499" w:lineRule="auto"/>
              <w:ind w:left="107" w:right="96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6346" w:type="dxa"/>
          </w:tcPr>
          <w:p w14:paraId="6976EAB3" w14:textId="77777777" w:rsidR="00195CB3" w:rsidRDefault="009218B1">
            <w:pPr>
              <w:pStyle w:val="TableParagraph"/>
              <w:numPr>
                <w:ilvl w:val="0"/>
                <w:numId w:val="1"/>
              </w:numPr>
              <w:spacing w:before="100" w:beforeAutospacing="1" w:line="360" w:lineRule="auto"/>
              <w:rPr>
                <w:rFonts w:ascii="Times New Roman" w:eastAsia="宋体" w:hAnsi="Times New Roman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  <w:lang w:val="en-US"/>
              </w:rPr>
              <w:t>问：请介绍各个金融子公司的业务发展情况？</w:t>
            </w:r>
          </w:p>
          <w:p w14:paraId="0B26409A" w14:textId="5F7F45DB" w:rsidR="00195CB3" w:rsidRDefault="009218B1">
            <w:pPr>
              <w:pStyle w:val="TableParagraph"/>
              <w:spacing w:before="100" w:beforeAutospacing="1" w:line="360" w:lineRule="auto"/>
              <w:ind w:left="100"/>
              <w:jc w:val="both"/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答：公司旗下主要包含保险、期货、信托、融资租赁、私募股权基金等金融业务。今年以来，保险公司强化资产负债管理，统筹加大各类风险管理力度，优化业务结构，提升投资能力，进一步推进降本提质的增效举措，业务价值持续增长。</w:t>
            </w:r>
            <w:r w:rsidRPr="0020454F"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期货公司方面，风险管理业务受实体套保需求持续放量的影响，增量利润弹性突出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，</w:t>
            </w:r>
            <w:r w:rsidR="007735AB" w:rsidRPr="007735AB"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  <w:t>自营投资业务策略稳健，实现资产保值增值，增厚公司利润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。信托公司方面，围绕“大财富、强资管、优生态”</w:t>
            </w:r>
            <w:r w:rsidR="00DC4193"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核心发展战略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，</w:t>
            </w:r>
            <w:r w:rsidR="00DC4193" w:rsidRPr="00DC4193"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  <w:t>金融同业合作持续深化，财富管理服务信托、破产重整服务信托、标品业务助力规模增长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。融资租赁公司方面，依旧保持高位的经营质量，重点深耕特色医疗、绿色能源两大差异化板块构建核心竞争力，持续加大直租业务拓展力度，同步探索科创企业知识产权租赁、低空经济等创新业务。私募基金公司方面，</w:t>
            </w:r>
            <w:r w:rsidR="00C31C69" w:rsidRPr="00C31C69"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  <w:t>强化投研能力，完善风控体系，积极探索支持科技创新与新质生产力发展的有效机制，持续推进新设基金落地，提升基金群能级，打造差异化基金投资管理平台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。</w:t>
            </w:r>
          </w:p>
          <w:p w14:paraId="43647327" w14:textId="77777777" w:rsidR="00195CB3" w:rsidRDefault="009218B1">
            <w:pPr>
              <w:pStyle w:val="TableParagraph"/>
              <w:numPr>
                <w:ilvl w:val="0"/>
                <w:numId w:val="1"/>
              </w:numPr>
              <w:spacing w:before="100" w:beforeAutospacing="1" w:line="360" w:lineRule="auto"/>
              <w:rPr>
                <w:rFonts w:ascii="Times New Roman" w:eastAsia="宋体" w:hAnsi="Times New Roman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  <w:lang w:val="en-US"/>
              </w:rPr>
              <w:t>问：公司旗下私募股权基金有什么特色？具体投资方向是什么？</w:t>
            </w:r>
          </w:p>
          <w:p w14:paraId="38D80064" w14:textId="74A62D13" w:rsidR="00195CB3" w:rsidRDefault="009218B1">
            <w:pPr>
              <w:pStyle w:val="TableParagraph"/>
              <w:spacing w:before="100" w:beforeAutospacing="1" w:line="360" w:lineRule="auto"/>
              <w:ind w:left="100"/>
              <w:jc w:val="both"/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答：公司基金板块按照主业赋能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+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前沿卡位双线并行，既服务集团医药商贸基本盘升级，又用市场化机制在前沿硬科技侧布局未来。其中，全资子公司东方产融</w:t>
            </w:r>
            <w:r w:rsidR="004F2E33"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依托国贸集团产业资源优势，</w:t>
            </w:r>
            <w:r w:rsidR="008859A9"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深化产融协同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；参股公司东方嘉富偏早期孵化，“投早投小投硬科技”，外延式扩展，发展潜力更大，主要在量子科技、生物制造、具身智能等方向，持续做前瞻布局。例如东方嘉富作为管理人的基金出资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7,000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万元投资研发具身智能化模型的企业千寻智能，</w:t>
            </w:r>
            <w:r w:rsidR="00BE3EA6" w:rsidRPr="00BE3EA6"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  <w:t>出资</w:t>
            </w:r>
            <w:r w:rsidR="00BE3EA6" w:rsidRPr="00BE3EA6"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  <w:t>4000</w:t>
            </w:r>
            <w:r w:rsidR="00BE3EA6" w:rsidRPr="00BE3EA6"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  <w:t>万元投资了研发具身智能零部件灵巧手及电驱系统的企业曦诺未来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，出资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5,000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万元投资了专注量子计算的企业逻辑比特，出资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5,000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万元投资了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AI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推理算力与边端智能企业元川微</w:t>
            </w:r>
            <w:r w:rsidR="00BE3EA6"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，</w:t>
            </w:r>
            <w:r w:rsidR="00BE3EA6" w:rsidRPr="00BE3EA6"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  <w:t>出资</w:t>
            </w:r>
            <w:r w:rsidR="00BE3EA6" w:rsidRPr="00BE3EA6"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  <w:t>5000</w:t>
            </w:r>
            <w:r w:rsidR="00BE3EA6" w:rsidRPr="00BE3EA6"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  <w:t>万元投资了研发端侧大模型芯片的光羽芯辰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。</w:t>
            </w:r>
          </w:p>
          <w:p w14:paraId="4D47C400" w14:textId="77777777" w:rsidR="00195CB3" w:rsidRDefault="009218B1">
            <w:pPr>
              <w:pStyle w:val="TableParagraph"/>
              <w:numPr>
                <w:ilvl w:val="0"/>
                <w:numId w:val="1"/>
              </w:numPr>
              <w:spacing w:before="100" w:beforeAutospacing="1" w:line="360" w:lineRule="auto"/>
              <w:rPr>
                <w:rFonts w:ascii="Times New Roman" w:eastAsia="宋体" w:hAnsi="Times New Roman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  <w:lang w:val="en-US"/>
              </w:rPr>
              <w:t>问：公司金控牌照申请进展如何？后面有什么规划？</w:t>
            </w:r>
          </w:p>
          <w:p w14:paraId="1B35C742" w14:textId="77777777" w:rsidR="00195CB3" w:rsidRDefault="009218B1">
            <w:pPr>
              <w:pStyle w:val="TableParagraph"/>
              <w:spacing w:before="100" w:beforeAutospacing="1" w:line="360" w:lineRule="auto"/>
              <w:ind w:left="100"/>
              <w:jc w:val="both"/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答：近年来，公司稳扎稳打，积极开展定增、收购银行股权等资本运作，持续优化和创新金融子公司产品体系，不断通过改革提升管理效率，逐步提升公司的盈利水平和核心竞争力。“十五五”期间，公司将持续关注金控监管新规动态，对照金控监管要求做强金融主业实力，并完善治理、人才、财务、风控、数字化等管控机制。同时，积极打造金融生态圈，完善“产融投一体化”的协同机制，深化融融协同合作，推动产融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lastRenderedPageBreak/>
              <w:t>协同聚焦综合场景，构建本级统筹、条线自建的主动投资管理体系，不断提升公司综合实力。</w:t>
            </w:r>
          </w:p>
          <w:p w14:paraId="58C90979" w14:textId="77777777" w:rsidR="00195CB3" w:rsidRDefault="009218B1">
            <w:pPr>
              <w:pStyle w:val="TableParagraph"/>
              <w:numPr>
                <w:ilvl w:val="0"/>
                <w:numId w:val="1"/>
              </w:numPr>
              <w:spacing w:before="100" w:beforeAutospacing="1" w:line="360" w:lineRule="auto"/>
              <w:rPr>
                <w:rFonts w:ascii="Times New Roman" w:eastAsia="宋体" w:hAnsi="Times New Roman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  <w:lang w:val="en-US"/>
              </w:rPr>
              <w:t>问：公司对回购股票进行出售，具体原因是什么？</w:t>
            </w:r>
          </w:p>
          <w:p w14:paraId="2884117C" w14:textId="77777777" w:rsidR="00195CB3" w:rsidRDefault="009218B1">
            <w:pPr>
              <w:pStyle w:val="TableParagraph"/>
              <w:spacing w:before="100" w:beforeAutospacing="1" w:line="360" w:lineRule="auto"/>
              <w:ind w:left="100"/>
              <w:jc w:val="both"/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答：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2024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年，公司积极响应号召，通过股票回购维护公司股价稳定；同时公司在公告中明确，后续将按照监管规则，采用集中竞价交易方式出售。根据回购相关制度要求，若本次回购股份未在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2027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年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月之前完成出售，该部分股票需注销，考虑到未来金控申报的要求，公司需要保持目前的股本规模。此外，公司“十五五”规划已经确定，一方面将通过强专业、调结构等提升现有金融业务的内涵式发展，另一方面也将持续寻求战略性金融业务的增持与市场化并购机遇，培育新业务增长点。结合经营发展所需，公司计划择机处置永安期货、回购股份等流动性较优的资产，为后续项目推进做好准备。</w:t>
            </w:r>
          </w:p>
          <w:p w14:paraId="012A8519" w14:textId="77777777" w:rsidR="00195CB3" w:rsidRDefault="009218B1">
            <w:pPr>
              <w:pStyle w:val="TableParagraph"/>
              <w:numPr>
                <w:ilvl w:val="0"/>
                <w:numId w:val="1"/>
              </w:numPr>
              <w:spacing w:before="100" w:beforeAutospacing="1" w:line="360" w:lineRule="auto"/>
              <w:rPr>
                <w:rFonts w:ascii="Times New Roman" w:eastAsia="宋体" w:hAnsi="Times New Roman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  <w:lang w:val="en-US"/>
              </w:rPr>
              <w:t>问：公司目前资产负债率水平如何？如何设定和控制整体杠杆率上限？如何对各项高流动性负债、公司的期限管理做出安排？</w:t>
            </w:r>
          </w:p>
          <w:p w14:paraId="212134FD" w14:textId="148C3C92" w:rsidR="00195CB3" w:rsidRDefault="009218B1">
            <w:pPr>
              <w:pStyle w:val="TableParagraph"/>
              <w:spacing w:before="100" w:beforeAutospacing="1" w:line="360" w:lineRule="auto"/>
              <w:ind w:left="100"/>
              <w:jc w:val="both"/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答：截至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2026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年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月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31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日，上市公司有息负债规模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164.32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亿元，资产负债率为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68.20%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，低于同行业平均水平。公司整体杠杆率在综合考虑公司战略规划、成员公司资金发展需求以及上级</w:t>
            </w:r>
            <w:r w:rsidR="001508A4"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单位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对于浙江东方资产负债水平的管理的基础上设定，同时也要求各成员公司严格控制流动性、杠杆率等指标。</w:t>
            </w:r>
          </w:p>
          <w:p w14:paraId="28C9D0D6" w14:textId="2A8B0505" w:rsidR="00195CB3" w:rsidRDefault="009218B1">
            <w:pPr>
              <w:pStyle w:val="TableParagraph"/>
              <w:spacing w:before="100" w:beforeAutospacing="1" w:line="360" w:lineRule="auto"/>
              <w:ind w:left="100"/>
              <w:jc w:val="both"/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流动性管理方面，公司按照负债期限进行分级，短期高流动性负债，使用短期可变现资金覆盖，中长期负债匹配中长期资产，严控集中到期、严控短债长投，保持安全流动性缓冲。公司定期开展流动性压力测试，对冲市场波动</w:t>
            </w:r>
            <w:r w:rsidR="00571D79"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风险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，持续拉长整体债务平均久期，降低公开市场刚性兑付带来的流动性</w:t>
            </w:r>
            <w:r w:rsidR="00571D79"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风险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。目前，公司负债主要通过自有资金及日常经营产生的现金流等覆盖还款。</w:t>
            </w:r>
          </w:p>
        </w:tc>
      </w:tr>
      <w:tr w:rsidR="00195CB3" w14:paraId="38A598F1" w14:textId="77777777" w:rsidTr="0020454F">
        <w:trPr>
          <w:trHeight w:val="999"/>
          <w:jc w:val="center"/>
        </w:trPr>
        <w:tc>
          <w:tcPr>
            <w:tcW w:w="2580" w:type="dxa"/>
            <w:vAlign w:val="center"/>
          </w:tcPr>
          <w:p w14:paraId="77B3A6A6" w14:textId="77777777" w:rsidR="00195CB3" w:rsidRDefault="009218B1">
            <w:pPr>
              <w:pStyle w:val="TableParagraph"/>
              <w:spacing w:before="1"/>
              <w:ind w:left="107"/>
              <w:rPr>
                <w:rFonts w:ascii="Times New Roman" w:eastAsiaTheme="minorEastAsia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EastAsia" w:hAnsi="Times New Roman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2E2205A7" w14:textId="77777777" w:rsidR="00195CB3" w:rsidRDefault="009218B1">
            <w:pPr>
              <w:pStyle w:val="TableParagraph"/>
              <w:spacing w:before="1"/>
              <w:ind w:left="107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EastAsia" w:hAnsi="Times New Roman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6346" w:type="dxa"/>
            <w:vAlign w:val="center"/>
          </w:tcPr>
          <w:p w14:paraId="785C45BE" w14:textId="77777777" w:rsidR="00195CB3" w:rsidRDefault="009218B1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Theme="minorEastAsia" w:hAnsi="Times New Roman" w:cs="宋体" w:hint="eastAsia"/>
                <w:sz w:val="20"/>
                <w:szCs w:val="20"/>
              </w:rPr>
              <w:t>本次活动不涉及</w:t>
            </w:r>
            <w:r>
              <w:rPr>
                <w:rFonts w:ascii="Times New Roman" w:eastAsiaTheme="minorEastAsia" w:hAnsi="Times New Roman" w:cs="宋体" w:hint="eastAsia"/>
                <w:sz w:val="20"/>
                <w:szCs w:val="20"/>
                <w:lang w:val="en-US"/>
              </w:rPr>
              <w:t>应当披露而</w:t>
            </w:r>
            <w:r>
              <w:rPr>
                <w:rFonts w:ascii="Times New Roman" w:eastAsiaTheme="minorEastAsia" w:hAnsi="Times New Roman" w:cs="宋体" w:hint="eastAsia"/>
                <w:sz w:val="20"/>
                <w:szCs w:val="20"/>
              </w:rPr>
              <w:t>未公开披露的重大信息。</w:t>
            </w:r>
          </w:p>
        </w:tc>
      </w:tr>
      <w:tr w:rsidR="00195CB3" w14:paraId="324F75F8" w14:textId="77777777" w:rsidTr="0020454F">
        <w:trPr>
          <w:trHeight w:val="558"/>
          <w:jc w:val="center"/>
        </w:trPr>
        <w:tc>
          <w:tcPr>
            <w:tcW w:w="2580" w:type="dxa"/>
            <w:vAlign w:val="center"/>
          </w:tcPr>
          <w:p w14:paraId="55926157" w14:textId="77777777" w:rsidR="00195CB3" w:rsidRDefault="009218B1">
            <w:pPr>
              <w:pStyle w:val="TableParagraph"/>
              <w:spacing w:before="1"/>
              <w:ind w:left="107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6346" w:type="dxa"/>
            <w:vAlign w:val="center"/>
          </w:tcPr>
          <w:p w14:paraId="07C12CA4" w14:textId="77777777" w:rsidR="00195CB3" w:rsidRDefault="009218B1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宋体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/</w:t>
            </w:r>
          </w:p>
        </w:tc>
      </w:tr>
      <w:tr w:rsidR="00195CB3" w14:paraId="54AE9C8C" w14:textId="77777777" w:rsidTr="0020454F">
        <w:trPr>
          <w:trHeight w:val="558"/>
          <w:jc w:val="center"/>
        </w:trPr>
        <w:tc>
          <w:tcPr>
            <w:tcW w:w="2580" w:type="dxa"/>
            <w:vAlign w:val="center"/>
          </w:tcPr>
          <w:p w14:paraId="0EB6A562" w14:textId="77777777" w:rsidR="00195CB3" w:rsidRDefault="009218B1">
            <w:pPr>
              <w:pStyle w:val="TableParagraph"/>
              <w:spacing w:before="1"/>
              <w:ind w:left="107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6346" w:type="dxa"/>
            <w:vAlign w:val="center"/>
          </w:tcPr>
          <w:p w14:paraId="3E51C177" w14:textId="77777777" w:rsidR="00195CB3" w:rsidRDefault="009218B1">
            <w:pPr>
              <w:pStyle w:val="TableParagraph"/>
              <w:spacing w:before="100" w:beforeAutospacing="1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/>
                <w:sz w:val="20"/>
                <w:szCs w:val="20"/>
              </w:rPr>
              <w:t>202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6</w:t>
            </w:r>
            <w:r>
              <w:rPr>
                <w:rFonts w:ascii="Times New Roman" w:eastAsia="宋体" w:hAnsi="Times New Roman" w:cs="宋体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7</w:t>
            </w:r>
            <w:r>
              <w:rPr>
                <w:rFonts w:ascii="Times New Roman" w:eastAsia="宋体" w:hAnsi="Times New Roman" w:cs="宋体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宋体" w:hint="eastAsia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宋体" w:hAnsi="Times New Roman" w:cs="宋体"/>
                <w:sz w:val="20"/>
                <w:szCs w:val="20"/>
              </w:rPr>
              <w:t>日</w:t>
            </w:r>
          </w:p>
        </w:tc>
      </w:tr>
    </w:tbl>
    <w:p w14:paraId="7B426FDC" w14:textId="77777777" w:rsidR="00195CB3" w:rsidRDefault="00195CB3">
      <w:pPr>
        <w:rPr>
          <w:rFonts w:ascii="宋体" w:eastAsia="宋体" w:hAnsi="宋体" w:cs="宋体" w:hint="eastAsia"/>
          <w:sz w:val="28"/>
          <w:szCs w:val="36"/>
        </w:rPr>
      </w:pPr>
    </w:p>
    <w:sectPr w:rsidR="00195CB3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DE786"/>
    <w:multiLevelType w:val="singleLevel"/>
    <w:tmpl w:val="7E7DE786"/>
    <w:lvl w:ilvl="0">
      <w:start w:val="1"/>
      <w:numFmt w:val="decimal"/>
      <w:suff w:val="space"/>
      <w:lvlText w:val="%1."/>
      <w:lvlJc w:val="left"/>
      <w:pPr>
        <w:ind w:left="100" w:firstLine="0"/>
      </w:pPr>
    </w:lvl>
  </w:abstractNum>
  <w:num w:numId="1" w16cid:durableId="175901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0036C"/>
    <w:rsid w:val="00026CC3"/>
    <w:rsid w:val="00036089"/>
    <w:rsid w:val="0004722E"/>
    <w:rsid w:val="00053CFA"/>
    <w:rsid w:val="000633EC"/>
    <w:rsid w:val="00063804"/>
    <w:rsid w:val="000665A2"/>
    <w:rsid w:val="000669A9"/>
    <w:rsid w:val="000877AB"/>
    <w:rsid w:val="000A2E2C"/>
    <w:rsid w:val="000B0174"/>
    <w:rsid w:val="000B7C08"/>
    <w:rsid w:val="000D12CF"/>
    <w:rsid w:val="000D2D88"/>
    <w:rsid w:val="000D5036"/>
    <w:rsid w:val="000E4B20"/>
    <w:rsid w:val="0011418F"/>
    <w:rsid w:val="00146AE4"/>
    <w:rsid w:val="001508A4"/>
    <w:rsid w:val="00172C24"/>
    <w:rsid w:val="00177C1E"/>
    <w:rsid w:val="00195CB3"/>
    <w:rsid w:val="001A2D8B"/>
    <w:rsid w:val="001A5224"/>
    <w:rsid w:val="001E59D1"/>
    <w:rsid w:val="001E5EA4"/>
    <w:rsid w:val="002042A7"/>
    <w:rsid w:val="0020454F"/>
    <w:rsid w:val="00205911"/>
    <w:rsid w:val="002146AD"/>
    <w:rsid w:val="00261840"/>
    <w:rsid w:val="00272FA2"/>
    <w:rsid w:val="00275CB6"/>
    <w:rsid w:val="002800B5"/>
    <w:rsid w:val="00295B29"/>
    <w:rsid w:val="002D4073"/>
    <w:rsid w:val="002E7098"/>
    <w:rsid w:val="00301D32"/>
    <w:rsid w:val="00302F7A"/>
    <w:rsid w:val="00321001"/>
    <w:rsid w:val="00353475"/>
    <w:rsid w:val="00366FAD"/>
    <w:rsid w:val="0037105B"/>
    <w:rsid w:val="0039162D"/>
    <w:rsid w:val="00394D56"/>
    <w:rsid w:val="003975BA"/>
    <w:rsid w:val="003A74E6"/>
    <w:rsid w:val="003B6E4F"/>
    <w:rsid w:val="003B73DD"/>
    <w:rsid w:val="003D011C"/>
    <w:rsid w:val="003F123B"/>
    <w:rsid w:val="004108C7"/>
    <w:rsid w:val="00412DC2"/>
    <w:rsid w:val="00422465"/>
    <w:rsid w:val="00440041"/>
    <w:rsid w:val="004400BB"/>
    <w:rsid w:val="00451268"/>
    <w:rsid w:val="004515AD"/>
    <w:rsid w:val="00451857"/>
    <w:rsid w:val="00453516"/>
    <w:rsid w:val="00457548"/>
    <w:rsid w:val="004672EB"/>
    <w:rsid w:val="00470B00"/>
    <w:rsid w:val="00470DB2"/>
    <w:rsid w:val="00481E8E"/>
    <w:rsid w:val="00490F00"/>
    <w:rsid w:val="004925E7"/>
    <w:rsid w:val="00495B11"/>
    <w:rsid w:val="004A34EC"/>
    <w:rsid w:val="004A5246"/>
    <w:rsid w:val="004B4D63"/>
    <w:rsid w:val="004B7186"/>
    <w:rsid w:val="004D55EF"/>
    <w:rsid w:val="004D7F3F"/>
    <w:rsid w:val="004E5DA2"/>
    <w:rsid w:val="004F2E33"/>
    <w:rsid w:val="004F6FF3"/>
    <w:rsid w:val="00523184"/>
    <w:rsid w:val="00532027"/>
    <w:rsid w:val="00550CC1"/>
    <w:rsid w:val="00556FC1"/>
    <w:rsid w:val="00571B49"/>
    <w:rsid w:val="00571D79"/>
    <w:rsid w:val="005743AE"/>
    <w:rsid w:val="00577BF7"/>
    <w:rsid w:val="005963B5"/>
    <w:rsid w:val="005A0FD3"/>
    <w:rsid w:val="005B10A6"/>
    <w:rsid w:val="005B3AA5"/>
    <w:rsid w:val="005B76D8"/>
    <w:rsid w:val="005C515B"/>
    <w:rsid w:val="005C5DF6"/>
    <w:rsid w:val="005D64CA"/>
    <w:rsid w:val="005E2CF3"/>
    <w:rsid w:val="005E4A61"/>
    <w:rsid w:val="005E5717"/>
    <w:rsid w:val="005E6DB2"/>
    <w:rsid w:val="0061433E"/>
    <w:rsid w:val="0062751D"/>
    <w:rsid w:val="00634442"/>
    <w:rsid w:val="006354AA"/>
    <w:rsid w:val="00642AD3"/>
    <w:rsid w:val="00654F72"/>
    <w:rsid w:val="00661AFA"/>
    <w:rsid w:val="006711ED"/>
    <w:rsid w:val="006726BF"/>
    <w:rsid w:val="00677B77"/>
    <w:rsid w:val="0068718A"/>
    <w:rsid w:val="0069296A"/>
    <w:rsid w:val="006A2739"/>
    <w:rsid w:val="006A5C82"/>
    <w:rsid w:val="006B5C95"/>
    <w:rsid w:val="006C2EEA"/>
    <w:rsid w:val="006E14B0"/>
    <w:rsid w:val="006F0108"/>
    <w:rsid w:val="006F5385"/>
    <w:rsid w:val="00704AE6"/>
    <w:rsid w:val="007153A2"/>
    <w:rsid w:val="00724A68"/>
    <w:rsid w:val="007271BF"/>
    <w:rsid w:val="00730DD3"/>
    <w:rsid w:val="00733224"/>
    <w:rsid w:val="00737943"/>
    <w:rsid w:val="00747563"/>
    <w:rsid w:val="007558FE"/>
    <w:rsid w:val="00764128"/>
    <w:rsid w:val="00764482"/>
    <w:rsid w:val="007735AB"/>
    <w:rsid w:val="007824B8"/>
    <w:rsid w:val="00787389"/>
    <w:rsid w:val="007910DD"/>
    <w:rsid w:val="007A3EC1"/>
    <w:rsid w:val="007B3368"/>
    <w:rsid w:val="007D026A"/>
    <w:rsid w:val="007D0A69"/>
    <w:rsid w:val="007D6DC4"/>
    <w:rsid w:val="00817DBB"/>
    <w:rsid w:val="008347B8"/>
    <w:rsid w:val="00853463"/>
    <w:rsid w:val="00867E16"/>
    <w:rsid w:val="008859A9"/>
    <w:rsid w:val="00893F25"/>
    <w:rsid w:val="00895035"/>
    <w:rsid w:val="008B1892"/>
    <w:rsid w:val="008B2B14"/>
    <w:rsid w:val="008B61D8"/>
    <w:rsid w:val="008C6AED"/>
    <w:rsid w:val="008C7604"/>
    <w:rsid w:val="008D5FA6"/>
    <w:rsid w:val="008E1B27"/>
    <w:rsid w:val="008E2CD0"/>
    <w:rsid w:val="00903379"/>
    <w:rsid w:val="00906975"/>
    <w:rsid w:val="00917F0B"/>
    <w:rsid w:val="00917F8B"/>
    <w:rsid w:val="009218B1"/>
    <w:rsid w:val="00942871"/>
    <w:rsid w:val="00951373"/>
    <w:rsid w:val="00960964"/>
    <w:rsid w:val="00965E4D"/>
    <w:rsid w:val="00966BAA"/>
    <w:rsid w:val="00972A43"/>
    <w:rsid w:val="009A124B"/>
    <w:rsid w:val="009B1D5C"/>
    <w:rsid w:val="009C2E31"/>
    <w:rsid w:val="009C5BFA"/>
    <w:rsid w:val="009E0FB1"/>
    <w:rsid w:val="009E1955"/>
    <w:rsid w:val="009E5729"/>
    <w:rsid w:val="00A43762"/>
    <w:rsid w:val="00A527AA"/>
    <w:rsid w:val="00A5684D"/>
    <w:rsid w:val="00A75C61"/>
    <w:rsid w:val="00A9601B"/>
    <w:rsid w:val="00AD100E"/>
    <w:rsid w:val="00AE1E36"/>
    <w:rsid w:val="00AF74AA"/>
    <w:rsid w:val="00B037C7"/>
    <w:rsid w:val="00B03C2F"/>
    <w:rsid w:val="00B15064"/>
    <w:rsid w:val="00B340A3"/>
    <w:rsid w:val="00B410F5"/>
    <w:rsid w:val="00B576FA"/>
    <w:rsid w:val="00B6280C"/>
    <w:rsid w:val="00B671A4"/>
    <w:rsid w:val="00B72CD4"/>
    <w:rsid w:val="00B85B00"/>
    <w:rsid w:val="00BE3EA6"/>
    <w:rsid w:val="00BF132F"/>
    <w:rsid w:val="00BF2160"/>
    <w:rsid w:val="00C13878"/>
    <w:rsid w:val="00C26AB4"/>
    <w:rsid w:val="00C31C69"/>
    <w:rsid w:val="00C61A70"/>
    <w:rsid w:val="00C63494"/>
    <w:rsid w:val="00C92E24"/>
    <w:rsid w:val="00CA1705"/>
    <w:rsid w:val="00CA6BD0"/>
    <w:rsid w:val="00CE1A54"/>
    <w:rsid w:val="00CF5FB6"/>
    <w:rsid w:val="00D02518"/>
    <w:rsid w:val="00D17454"/>
    <w:rsid w:val="00D30209"/>
    <w:rsid w:val="00D33FBC"/>
    <w:rsid w:val="00D47563"/>
    <w:rsid w:val="00D7535C"/>
    <w:rsid w:val="00D760E2"/>
    <w:rsid w:val="00D76302"/>
    <w:rsid w:val="00DA5CE2"/>
    <w:rsid w:val="00DB20E1"/>
    <w:rsid w:val="00DC2BC4"/>
    <w:rsid w:val="00DC4193"/>
    <w:rsid w:val="00DE10E8"/>
    <w:rsid w:val="00E16FDA"/>
    <w:rsid w:val="00E20E31"/>
    <w:rsid w:val="00E330D4"/>
    <w:rsid w:val="00E35F58"/>
    <w:rsid w:val="00E45BD9"/>
    <w:rsid w:val="00E66FFC"/>
    <w:rsid w:val="00E759D6"/>
    <w:rsid w:val="00E84A8C"/>
    <w:rsid w:val="00E976DE"/>
    <w:rsid w:val="00EC0F83"/>
    <w:rsid w:val="00EE3187"/>
    <w:rsid w:val="00EF3ED5"/>
    <w:rsid w:val="00EF499B"/>
    <w:rsid w:val="00F14977"/>
    <w:rsid w:val="00F50F04"/>
    <w:rsid w:val="00F51733"/>
    <w:rsid w:val="00FB4A08"/>
    <w:rsid w:val="00FC0C2A"/>
    <w:rsid w:val="00FD7F8E"/>
    <w:rsid w:val="00FE0C93"/>
    <w:rsid w:val="00FF11E4"/>
    <w:rsid w:val="04B072D4"/>
    <w:rsid w:val="05F575D4"/>
    <w:rsid w:val="05F72E03"/>
    <w:rsid w:val="064249C6"/>
    <w:rsid w:val="06C228AB"/>
    <w:rsid w:val="06DA075B"/>
    <w:rsid w:val="08641132"/>
    <w:rsid w:val="09186774"/>
    <w:rsid w:val="0945438F"/>
    <w:rsid w:val="09705CA8"/>
    <w:rsid w:val="09F00295"/>
    <w:rsid w:val="0A71587A"/>
    <w:rsid w:val="0AFB1BC7"/>
    <w:rsid w:val="0B161F7E"/>
    <w:rsid w:val="0B792C38"/>
    <w:rsid w:val="0C28640C"/>
    <w:rsid w:val="0E90599A"/>
    <w:rsid w:val="0ED720CD"/>
    <w:rsid w:val="0F0C5C78"/>
    <w:rsid w:val="11494992"/>
    <w:rsid w:val="11D03A62"/>
    <w:rsid w:val="12070CAE"/>
    <w:rsid w:val="145F688C"/>
    <w:rsid w:val="14D47131"/>
    <w:rsid w:val="15680001"/>
    <w:rsid w:val="15DD2205"/>
    <w:rsid w:val="1661255E"/>
    <w:rsid w:val="17072842"/>
    <w:rsid w:val="17A67110"/>
    <w:rsid w:val="1864189B"/>
    <w:rsid w:val="187A3B4C"/>
    <w:rsid w:val="18D73A7D"/>
    <w:rsid w:val="19557370"/>
    <w:rsid w:val="1BD06B6A"/>
    <w:rsid w:val="1C4E6FFE"/>
    <w:rsid w:val="1E37057C"/>
    <w:rsid w:val="1F782BDE"/>
    <w:rsid w:val="204A6A53"/>
    <w:rsid w:val="20F61771"/>
    <w:rsid w:val="218C669E"/>
    <w:rsid w:val="21DC5877"/>
    <w:rsid w:val="23317869"/>
    <w:rsid w:val="25650CAE"/>
    <w:rsid w:val="26406598"/>
    <w:rsid w:val="28080056"/>
    <w:rsid w:val="281D62A2"/>
    <w:rsid w:val="28734C1A"/>
    <w:rsid w:val="28C72DDD"/>
    <w:rsid w:val="29EE0E64"/>
    <w:rsid w:val="2B857E7A"/>
    <w:rsid w:val="2BC4020A"/>
    <w:rsid w:val="2C966DA3"/>
    <w:rsid w:val="2D9575D2"/>
    <w:rsid w:val="2EA72571"/>
    <w:rsid w:val="2EF90F16"/>
    <w:rsid w:val="2F125C63"/>
    <w:rsid w:val="2F9845B0"/>
    <w:rsid w:val="302C3D0A"/>
    <w:rsid w:val="3104598F"/>
    <w:rsid w:val="323E03AE"/>
    <w:rsid w:val="335919B8"/>
    <w:rsid w:val="33DE31BB"/>
    <w:rsid w:val="36150A24"/>
    <w:rsid w:val="389C49C0"/>
    <w:rsid w:val="39BC78F4"/>
    <w:rsid w:val="39EF3F42"/>
    <w:rsid w:val="3AB56BB5"/>
    <w:rsid w:val="3B240455"/>
    <w:rsid w:val="3B35486F"/>
    <w:rsid w:val="3B7A783B"/>
    <w:rsid w:val="3D0E16F8"/>
    <w:rsid w:val="3D670293"/>
    <w:rsid w:val="3EF1250A"/>
    <w:rsid w:val="3FE535D7"/>
    <w:rsid w:val="40567DB0"/>
    <w:rsid w:val="40FF5CD2"/>
    <w:rsid w:val="41DC11A9"/>
    <w:rsid w:val="42DB40B0"/>
    <w:rsid w:val="43B71B0A"/>
    <w:rsid w:val="43EC111F"/>
    <w:rsid w:val="44FA0589"/>
    <w:rsid w:val="45A663E3"/>
    <w:rsid w:val="469F09AF"/>
    <w:rsid w:val="48487E9B"/>
    <w:rsid w:val="493837D4"/>
    <w:rsid w:val="49731CD9"/>
    <w:rsid w:val="4AFF5F31"/>
    <w:rsid w:val="4B756271"/>
    <w:rsid w:val="4C8E1CA8"/>
    <w:rsid w:val="4D6D36A4"/>
    <w:rsid w:val="4E9428B7"/>
    <w:rsid w:val="4ED41501"/>
    <w:rsid w:val="4F667119"/>
    <w:rsid w:val="503A5697"/>
    <w:rsid w:val="510903EF"/>
    <w:rsid w:val="53C045AF"/>
    <w:rsid w:val="53F137F4"/>
    <w:rsid w:val="543A6906"/>
    <w:rsid w:val="56294B5B"/>
    <w:rsid w:val="56850CBB"/>
    <w:rsid w:val="57517B92"/>
    <w:rsid w:val="58D30FF2"/>
    <w:rsid w:val="59D8738A"/>
    <w:rsid w:val="5A666D76"/>
    <w:rsid w:val="5B13515F"/>
    <w:rsid w:val="5B2253C2"/>
    <w:rsid w:val="5CF02E0F"/>
    <w:rsid w:val="603269D2"/>
    <w:rsid w:val="61A52BCA"/>
    <w:rsid w:val="63EF5869"/>
    <w:rsid w:val="66756CCD"/>
    <w:rsid w:val="66EE541F"/>
    <w:rsid w:val="67095496"/>
    <w:rsid w:val="67ED7463"/>
    <w:rsid w:val="681A546A"/>
    <w:rsid w:val="68507D37"/>
    <w:rsid w:val="693C6DF1"/>
    <w:rsid w:val="69A86A0E"/>
    <w:rsid w:val="69CB37D4"/>
    <w:rsid w:val="6A0D5B9B"/>
    <w:rsid w:val="6A3B23B1"/>
    <w:rsid w:val="6AEA32DC"/>
    <w:rsid w:val="6CC24AB5"/>
    <w:rsid w:val="6D9271B2"/>
    <w:rsid w:val="6DA978BD"/>
    <w:rsid w:val="6F134790"/>
    <w:rsid w:val="6FE81F5F"/>
    <w:rsid w:val="72446028"/>
    <w:rsid w:val="73076EC0"/>
    <w:rsid w:val="73F92CEC"/>
    <w:rsid w:val="74210CA6"/>
    <w:rsid w:val="746F4E76"/>
    <w:rsid w:val="76430096"/>
    <w:rsid w:val="76943356"/>
    <w:rsid w:val="770E4D00"/>
    <w:rsid w:val="77BF5FFA"/>
    <w:rsid w:val="788C25F5"/>
    <w:rsid w:val="79F72AA9"/>
    <w:rsid w:val="7A144529"/>
    <w:rsid w:val="7B3F7B7E"/>
    <w:rsid w:val="7DD37FAE"/>
    <w:rsid w:val="7FA7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58C2F"/>
  <w15:docId w15:val="{15817E08-FA56-4024-A700-23F47404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rPr>
      <w:sz w:val="24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Strong"/>
    <w:basedOn w:val="a0"/>
    <w:qFormat/>
    <w:rPr>
      <w:b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e">
    <w:name w:val="批注主题 字符"/>
    <w:basedOn w:val="a4"/>
    <w:link w:val="ad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">
    <w:name w:val="修订2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75BE1-600A-4AA6-A44E-81775D9C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wangbin</cp:lastModifiedBy>
  <cp:revision>10</cp:revision>
  <cp:lastPrinted>2026-07-03T00:44:00Z</cp:lastPrinted>
  <dcterms:created xsi:type="dcterms:W3CDTF">2026-06-22T08:01:00Z</dcterms:created>
  <dcterms:modified xsi:type="dcterms:W3CDTF">2026-07-03T01:11:00Z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D2177A52C97D4696BDC1026A8567B703_13</vt:lpwstr>
  </property>
  <property fmtid="{D5CDD505-2E9C-101B-9397-08002B2CF9AE}" pid="4" name="KSOTemplateDocerSaveRecord">
    <vt:lpwstr>eyJoZGlkIjoiNjA5ODY5MTZiMTdiODgzZTI4NzgwN2U3MzMwNGI0MjEiLCJ1c2VySWQiOiIxMDAxNTc2MzkyIn0=</vt:lpwstr>
  </property>
</Properties>
</file>