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ACE" w:rsidRDefault="00D06675">
      <w:pPr>
        <w:jc w:val="left"/>
        <w:rPr>
          <w:rFonts w:ascii="宋体" w:hAnsi="宋体"/>
          <w:sz w:val="24"/>
          <w:szCs w:val="24"/>
        </w:rPr>
      </w:pPr>
      <w:r>
        <w:rPr>
          <w:rFonts w:ascii="宋体" w:hAnsi="宋体" w:hint="eastAsia"/>
          <w:sz w:val="24"/>
          <w:szCs w:val="24"/>
        </w:rPr>
        <w:t>证券代码：</w:t>
      </w:r>
      <w:r>
        <w:rPr>
          <w:rFonts w:ascii="宋体" w:hAnsi="宋体"/>
          <w:sz w:val="24"/>
          <w:szCs w:val="24"/>
        </w:rPr>
        <w:t>600389</w:t>
      </w:r>
      <w:r>
        <w:rPr>
          <w:rFonts w:ascii="宋体" w:hAnsi="宋体" w:hint="eastAsia"/>
          <w:sz w:val="24"/>
          <w:szCs w:val="24"/>
        </w:rPr>
        <w:t xml:space="preserve">              </w:t>
      </w:r>
      <w:r w:rsidR="00DF1855">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江山股份</w:t>
      </w:r>
    </w:p>
    <w:p w:rsidR="001E0714" w:rsidRPr="00DF1855" w:rsidRDefault="001E0714">
      <w:pPr>
        <w:jc w:val="center"/>
        <w:rPr>
          <w:rFonts w:ascii="黑体" w:eastAsia="黑体" w:hAnsi="黑体"/>
          <w:sz w:val="36"/>
          <w:szCs w:val="36"/>
        </w:rPr>
      </w:pPr>
    </w:p>
    <w:p w:rsidR="00D83ACE" w:rsidRPr="004F165D" w:rsidRDefault="00D06675">
      <w:pPr>
        <w:jc w:val="center"/>
        <w:rPr>
          <w:rFonts w:asciiTheme="minorEastAsia" w:eastAsiaTheme="minorEastAsia" w:hAnsiTheme="minorEastAsia"/>
          <w:b/>
          <w:sz w:val="30"/>
          <w:szCs w:val="30"/>
        </w:rPr>
      </w:pPr>
      <w:r w:rsidRPr="004F165D">
        <w:rPr>
          <w:rFonts w:asciiTheme="minorEastAsia" w:eastAsiaTheme="minorEastAsia" w:hAnsiTheme="minorEastAsia" w:hint="eastAsia"/>
          <w:b/>
          <w:sz w:val="30"/>
          <w:szCs w:val="30"/>
        </w:rPr>
        <w:t>南通江山农药化工股份有限公司</w:t>
      </w:r>
    </w:p>
    <w:p w:rsidR="00D83ACE" w:rsidRPr="004F165D" w:rsidRDefault="00D06675">
      <w:pPr>
        <w:jc w:val="center"/>
        <w:rPr>
          <w:rFonts w:asciiTheme="minorEastAsia" w:eastAsiaTheme="minorEastAsia" w:hAnsiTheme="minorEastAsia"/>
          <w:b/>
          <w:sz w:val="30"/>
          <w:szCs w:val="30"/>
        </w:rPr>
      </w:pPr>
      <w:r w:rsidRPr="004F165D">
        <w:rPr>
          <w:rFonts w:asciiTheme="minorEastAsia" w:eastAsiaTheme="minorEastAsia" w:hAnsiTheme="minorEastAsia" w:hint="eastAsia"/>
          <w:b/>
          <w:sz w:val="30"/>
          <w:szCs w:val="30"/>
        </w:rPr>
        <w:t>投资者关系活动记录表</w:t>
      </w:r>
    </w:p>
    <w:p w:rsidR="00D83ACE" w:rsidRDefault="00D83ACE">
      <w:pPr>
        <w:jc w:val="center"/>
        <w:rPr>
          <w:rFonts w:ascii="黑体" w:eastAsia="黑体" w:hAnsi="黑体"/>
          <w:sz w:val="24"/>
          <w:szCs w:val="24"/>
        </w:rPr>
      </w:pPr>
    </w:p>
    <w:tbl>
      <w:tblPr>
        <w:tblStyle w:val="a4"/>
        <w:tblW w:w="8717" w:type="dxa"/>
        <w:tblLook w:val="04A0" w:firstRow="1" w:lastRow="0" w:firstColumn="1" w:lastColumn="0" w:noHBand="0" w:noVBand="1"/>
      </w:tblPr>
      <w:tblGrid>
        <w:gridCol w:w="1526"/>
        <w:gridCol w:w="7191"/>
      </w:tblGrid>
      <w:tr w:rsidR="00D83ACE">
        <w:trPr>
          <w:trHeight w:val="838"/>
        </w:trPr>
        <w:tc>
          <w:tcPr>
            <w:tcW w:w="1526" w:type="dxa"/>
            <w:vAlign w:val="center"/>
          </w:tcPr>
          <w:p w:rsidR="00D83ACE" w:rsidRPr="001C7F56" w:rsidRDefault="00D06675">
            <w:pPr>
              <w:rPr>
                <w:b/>
                <w:sz w:val="24"/>
                <w:szCs w:val="24"/>
              </w:rPr>
            </w:pPr>
            <w:r w:rsidRPr="001C7F56">
              <w:rPr>
                <w:rFonts w:hint="eastAsia"/>
                <w:b/>
                <w:sz w:val="24"/>
                <w:szCs w:val="24"/>
              </w:rPr>
              <w:t>投资者关系活动类别</w:t>
            </w:r>
          </w:p>
        </w:tc>
        <w:tc>
          <w:tcPr>
            <w:tcW w:w="7191" w:type="dxa"/>
            <w:vAlign w:val="center"/>
          </w:tcPr>
          <w:p w:rsidR="001C7F56" w:rsidRDefault="001C7F56" w:rsidP="001C7F56">
            <w:pPr>
              <w:snapToGrid w:val="0"/>
              <w:spacing w:line="480" w:lineRule="atLeast"/>
              <w:rPr>
                <w:rFonts w:ascii="宋体"/>
                <w:bCs/>
                <w:iCs/>
                <w:sz w:val="24"/>
                <w:szCs w:val="24"/>
              </w:rPr>
            </w:pPr>
            <w:r>
              <w:rPr>
                <w:rFonts w:ascii="Segoe UI Symbol" w:hAnsi="Segoe UI Symbol" w:cs="Segoe UI Symbol"/>
                <w:bCs/>
                <w:iCs/>
                <w:sz w:val="24"/>
                <w:szCs w:val="24"/>
              </w:rPr>
              <w:t>☑</w:t>
            </w:r>
            <w:r>
              <w:rPr>
                <w:rFonts w:ascii="宋体" w:hAnsi="宋体" w:hint="eastAsia"/>
                <w:sz w:val="24"/>
                <w:szCs w:val="24"/>
              </w:rPr>
              <w:t>特定对象调研</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分析师会议</w:t>
            </w:r>
          </w:p>
          <w:p w:rsidR="001C7F56" w:rsidRDefault="001C7F56" w:rsidP="001C7F56">
            <w:pPr>
              <w:snapToGrid w:val="0"/>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媒体采访</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业绩说明会/电话解读会</w:t>
            </w:r>
          </w:p>
          <w:p w:rsidR="001C7F56" w:rsidRDefault="001C7F56" w:rsidP="001C7F56">
            <w:pPr>
              <w:snapToGrid w:val="0"/>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新闻发布会</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路演活动/策略会</w:t>
            </w:r>
          </w:p>
          <w:p w:rsidR="001C7F56" w:rsidRDefault="001C7F56" w:rsidP="001C7F56">
            <w:pPr>
              <w:tabs>
                <w:tab w:val="left" w:pos="3045"/>
                <w:tab w:val="center" w:pos="3199"/>
              </w:tabs>
              <w:snapToGrid w:val="0"/>
              <w:spacing w:line="480" w:lineRule="atLeast"/>
              <w:rPr>
                <w:rFonts w:ascii="宋体"/>
                <w:bCs/>
                <w:iCs/>
                <w:sz w:val="24"/>
                <w:szCs w:val="24"/>
              </w:rPr>
            </w:pPr>
            <w:r>
              <w:rPr>
                <w:rFonts w:ascii="Segoe UI Symbol" w:hAnsi="Segoe UI Symbol" w:cs="Segoe UI Symbol"/>
                <w:bCs/>
                <w:iCs/>
                <w:sz w:val="24"/>
                <w:szCs w:val="24"/>
              </w:rPr>
              <w:t>☑</w:t>
            </w:r>
            <w:r>
              <w:rPr>
                <w:rFonts w:ascii="宋体" w:hAnsi="宋体" w:hint="eastAsia"/>
                <w:sz w:val="24"/>
                <w:szCs w:val="24"/>
              </w:rPr>
              <w:t xml:space="preserve">现场参观            </w:t>
            </w:r>
            <w:r>
              <w:rPr>
                <w:rFonts w:ascii="Segoe UI Symbol" w:hAnsi="Segoe UI Symbol" w:cs="Segoe UI Symbol"/>
                <w:bCs/>
                <w:iCs/>
                <w:sz w:val="24"/>
                <w:szCs w:val="24"/>
              </w:rPr>
              <w:t>☑</w:t>
            </w:r>
            <w:r>
              <w:rPr>
                <w:rFonts w:ascii="宋体" w:hAnsi="宋体" w:hint="eastAsia"/>
                <w:sz w:val="24"/>
                <w:szCs w:val="24"/>
              </w:rPr>
              <w:t>投资者来访</w:t>
            </w:r>
            <w:r>
              <w:rPr>
                <w:rFonts w:ascii="宋体"/>
                <w:bCs/>
                <w:iCs/>
                <w:sz w:val="24"/>
                <w:szCs w:val="24"/>
              </w:rPr>
              <w:tab/>
            </w:r>
          </w:p>
          <w:p w:rsidR="00246E49" w:rsidRDefault="001C7F56" w:rsidP="001C7F56">
            <w:pPr>
              <w:spacing w:line="360" w:lineRule="auto"/>
              <w:rPr>
                <w:sz w:val="24"/>
                <w:szCs w:val="24"/>
              </w:rPr>
            </w:pPr>
            <w:r>
              <w:rPr>
                <w:rFonts w:ascii="宋体" w:hAnsi="宋体" w:hint="eastAsia"/>
                <w:bCs/>
                <w:iCs/>
                <w:sz w:val="24"/>
                <w:szCs w:val="24"/>
              </w:rPr>
              <w:t>□</w:t>
            </w:r>
            <w:r>
              <w:rPr>
                <w:rFonts w:ascii="宋体" w:hAnsi="宋体" w:hint="eastAsia"/>
                <w:sz w:val="24"/>
                <w:szCs w:val="24"/>
              </w:rPr>
              <w:t>其他</w:t>
            </w:r>
          </w:p>
        </w:tc>
      </w:tr>
      <w:tr w:rsidR="00D83ACE" w:rsidTr="001E0714">
        <w:trPr>
          <w:trHeight w:val="838"/>
        </w:trPr>
        <w:tc>
          <w:tcPr>
            <w:tcW w:w="1526" w:type="dxa"/>
            <w:vAlign w:val="center"/>
          </w:tcPr>
          <w:p w:rsidR="00D83ACE" w:rsidRPr="001C7F56" w:rsidRDefault="001E0714">
            <w:pPr>
              <w:rPr>
                <w:b/>
                <w:sz w:val="24"/>
                <w:szCs w:val="24"/>
              </w:rPr>
            </w:pPr>
            <w:r w:rsidRPr="001C7F56">
              <w:rPr>
                <w:rFonts w:hint="eastAsia"/>
                <w:b/>
                <w:sz w:val="24"/>
                <w:szCs w:val="24"/>
              </w:rPr>
              <w:t>参与单位</w:t>
            </w:r>
          </w:p>
        </w:tc>
        <w:tc>
          <w:tcPr>
            <w:tcW w:w="7191" w:type="dxa"/>
            <w:vAlign w:val="center"/>
          </w:tcPr>
          <w:p w:rsidR="00D83ACE" w:rsidRDefault="001E0714" w:rsidP="00ED5878">
            <w:pPr>
              <w:rPr>
                <w:sz w:val="24"/>
                <w:szCs w:val="24"/>
              </w:rPr>
            </w:pPr>
            <w:r w:rsidRPr="001E0714">
              <w:rPr>
                <w:rFonts w:ascii="宋体" w:hAnsi="宋体" w:cs="宋体" w:hint="eastAsia"/>
                <w:bCs/>
                <w:iCs/>
                <w:color w:val="000000"/>
                <w:sz w:val="24"/>
                <w:lang w:val="en-GB"/>
              </w:rPr>
              <w:t>中欧基金</w:t>
            </w:r>
            <w:r>
              <w:rPr>
                <w:rFonts w:ascii="宋体" w:hAnsi="宋体" w:cs="宋体" w:hint="eastAsia"/>
                <w:bCs/>
                <w:iCs/>
                <w:color w:val="000000"/>
                <w:sz w:val="24"/>
                <w:lang w:val="en-GB"/>
              </w:rPr>
              <w:t>、</w:t>
            </w:r>
            <w:r w:rsidRPr="001E0714">
              <w:rPr>
                <w:rFonts w:ascii="宋体" w:hAnsi="宋体" w:cs="宋体" w:hint="eastAsia"/>
                <w:bCs/>
                <w:iCs/>
                <w:color w:val="000000"/>
                <w:sz w:val="24"/>
                <w:lang w:val="en-GB"/>
              </w:rPr>
              <w:t>兴全基金</w:t>
            </w:r>
            <w:r>
              <w:rPr>
                <w:rFonts w:ascii="宋体" w:hAnsi="宋体" w:cs="宋体" w:hint="eastAsia"/>
                <w:bCs/>
                <w:iCs/>
                <w:color w:val="000000"/>
                <w:sz w:val="24"/>
                <w:lang w:val="en-GB"/>
              </w:rPr>
              <w:t>、</w:t>
            </w:r>
            <w:r w:rsidRPr="001E0714">
              <w:rPr>
                <w:rFonts w:ascii="宋体" w:hAnsi="宋体" w:cs="宋体" w:hint="eastAsia"/>
                <w:bCs/>
                <w:iCs/>
                <w:color w:val="000000"/>
                <w:sz w:val="24"/>
                <w:lang w:val="en-GB"/>
              </w:rPr>
              <w:t>东北证券</w:t>
            </w:r>
            <w:r>
              <w:rPr>
                <w:rFonts w:ascii="宋体" w:hAnsi="宋体" w:cs="宋体" w:hint="eastAsia"/>
                <w:bCs/>
                <w:iCs/>
                <w:color w:val="000000"/>
                <w:sz w:val="24"/>
                <w:lang w:val="en-GB"/>
              </w:rPr>
              <w:t>、</w:t>
            </w:r>
            <w:r w:rsidRPr="001E0714">
              <w:rPr>
                <w:rFonts w:ascii="宋体" w:hAnsi="宋体" w:cs="宋体" w:hint="eastAsia"/>
                <w:bCs/>
                <w:iCs/>
                <w:color w:val="000000"/>
                <w:sz w:val="24"/>
                <w:lang w:val="en-GB"/>
              </w:rPr>
              <w:t>中信证券</w:t>
            </w:r>
            <w:r>
              <w:rPr>
                <w:rFonts w:ascii="宋体" w:hAnsi="宋体" w:cs="宋体" w:hint="eastAsia"/>
                <w:bCs/>
                <w:iCs/>
                <w:color w:val="000000"/>
                <w:sz w:val="24"/>
                <w:lang w:val="en-GB"/>
              </w:rPr>
              <w:t>、</w:t>
            </w:r>
            <w:r w:rsidRPr="001E0714">
              <w:rPr>
                <w:rFonts w:ascii="宋体" w:hAnsi="宋体" w:cs="宋体" w:hint="eastAsia"/>
                <w:bCs/>
                <w:iCs/>
                <w:color w:val="000000"/>
                <w:sz w:val="24"/>
                <w:lang w:val="en-GB"/>
              </w:rPr>
              <w:t>中信建投</w:t>
            </w:r>
            <w:r>
              <w:rPr>
                <w:rFonts w:ascii="宋体" w:hAnsi="宋体" w:cs="宋体" w:hint="eastAsia"/>
                <w:bCs/>
                <w:iCs/>
                <w:color w:val="000000"/>
                <w:sz w:val="24"/>
                <w:lang w:val="en-GB"/>
              </w:rPr>
              <w:t>、</w:t>
            </w:r>
            <w:r w:rsidRPr="001E0714">
              <w:rPr>
                <w:rFonts w:ascii="宋体" w:hAnsi="宋体" w:cs="宋体" w:hint="eastAsia"/>
                <w:bCs/>
                <w:iCs/>
                <w:color w:val="000000"/>
                <w:sz w:val="24"/>
                <w:lang w:val="en-GB"/>
              </w:rPr>
              <w:t>自然人股东</w:t>
            </w:r>
          </w:p>
        </w:tc>
      </w:tr>
      <w:tr w:rsidR="00D83ACE">
        <w:trPr>
          <w:trHeight w:val="799"/>
        </w:trPr>
        <w:tc>
          <w:tcPr>
            <w:tcW w:w="1526" w:type="dxa"/>
            <w:vAlign w:val="center"/>
          </w:tcPr>
          <w:p w:rsidR="00D83ACE" w:rsidRPr="001C7F56" w:rsidRDefault="00D06675">
            <w:pPr>
              <w:rPr>
                <w:b/>
                <w:sz w:val="24"/>
                <w:szCs w:val="24"/>
              </w:rPr>
            </w:pPr>
            <w:r w:rsidRPr="001C7F56">
              <w:rPr>
                <w:rFonts w:hint="eastAsia"/>
                <w:b/>
                <w:sz w:val="24"/>
                <w:szCs w:val="24"/>
              </w:rPr>
              <w:t>时间</w:t>
            </w:r>
          </w:p>
        </w:tc>
        <w:tc>
          <w:tcPr>
            <w:tcW w:w="7191" w:type="dxa"/>
            <w:vAlign w:val="center"/>
          </w:tcPr>
          <w:p w:rsidR="00D83ACE" w:rsidRDefault="00D06675" w:rsidP="000E0F33">
            <w:pPr>
              <w:rPr>
                <w:sz w:val="24"/>
                <w:szCs w:val="24"/>
              </w:rPr>
            </w:pPr>
            <w:r>
              <w:rPr>
                <w:rFonts w:ascii="宋体" w:hAnsi="宋体" w:cs="宋体" w:hint="eastAsia"/>
                <w:bCs/>
                <w:iCs/>
                <w:color w:val="000000"/>
                <w:sz w:val="24"/>
              </w:rPr>
              <w:t>2026-0</w:t>
            </w:r>
            <w:r w:rsidR="001E0714">
              <w:rPr>
                <w:rFonts w:ascii="宋体" w:hAnsi="宋体" w:cs="宋体"/>
                <w:bCs/>
                <w:iCs/>
                <w:color w:val="000000"/>
                <w:sz w:val="24"/>
              </w:rPr>
              <w:t>7</w:t>
            </w:r>
            <w:r>
              <w:rPr>
                <w:rFonts w:ascii="宋体" w:hAnsi="宋体" w:cs="宋体" w:hint="eastAsia"/>
                <w:bCs/>
                <w:iCs/>
                <w:color w:val="000000"/>
                <w:sz w:val="24"/>
              </w:rPr>
              <w:t>-</w:t>
            </w:r>
            <w:r w:rsidR="003C7195">
              <w:rPr>
                <w:rFonts w:ascii="宋体" w:hAnsi="宋体" w:cs="宋体"/>
                <w:bCs/>
                <w:iCs/>
                <w:color w:val="000000"/>
                <w:sz w:val="24"/>
              </w:rPr>
              <w:t>03</w:t>
            </w:r>
            <w:r>
              <w:rPr>
                <w:rFonts w:ascii="宋体" w:hAnsi="宋体" w:cs="宋体" w:hint="eastAsia"/>
                <w:bCs/>
                <w:iCs/>
                <w:color w:val="000000"/>
                <w:sz w:val="24"/>
              </w:rPr>
              <w:t xml:space="preserve"> 1</w:t>
            </w:r>
            <w:r w:rsidR="000E0F33">
              <w:rPr>
                <w:rFonts w:ascii="宋体" w:hAnsi="宋体" w:cs="宋体"/>
                <w:bCs/>
                <w:iCs/>
                <w:color w:val="000000"/>
                <w:sz w:val="24"/>
              </w:rPr>
              <w:t>5</w:t>
            </w:r>
            <w:r>
              <w:rPr>
                <w:rFonts w:ascii="宋体" w:hAnsi="宋体" w:cs="宋体" w:hint="eastAsia"/>
                <w:bCs/>
                <w:iCs/>
                <w:color w:val="000000"/>
                <w:sz w:val="24"/>
              </w:rPr>
              <w:t>:00-1</w:t>
            </w:r>
            <w:r w:rsidR="000E0F33">
              <w:rPr>
                <w:rFonts w:ascii="宋体" w:hAnsi="宋体" w:cs="宋体"/>
                <w:bCs/>
                <w:iCs/>
                <w:color w:val="000000"/>
                <w:sz w:val="24"/>
              </w:rPr>
              <w:t>7</w:t>
            </w:r>
            <w:r>
              <w:rPr>
                <w:rFonts w:ascii="宋体" w:hAnsi="宋体" w:cs="宋体" w:hint="eastAsia"/>
                <w:bCs/>
                <w:iCs/>
                <w:color w:val="000000"/>
                <w:sz w:val="24"/>
              </w:rPr>
              <w:t>:00</w:t>
            </w:r>
          </w:p>
        </w:tc>
      </w:tr>
      <w:tr w:rsidR="00FA12DD">
        <w:trPr>
          <w:trHeight w:val="799"/>
        </w:trPr>
        <w:tc>
          <w:tcPr>
            <w:tcW w:w="1526" w:type="dxa"/>
            <w:vAlign w:val="center"/>
          </w:tcPr>
          <w:p w:rsidR="00FA12DD" w:rsidRPr="001C7F56" w:rsidRDefault="00FA12DD">
            <w:pPr>
              <w:rPr>
                <w:b/>
                <w:sz w:val="24"/>
                <w:szCs w:val="24"/>
              </w:rPr>
            </w:pPr>
            <w:r w:rsidRPr="001C7F56">
              <w:rPr>
                <w:rFonts w:hint="eastAsia"/>
                <w:b/>
                <w:sz w:val="24"/>
                <w:szCs w:val="24"/>
              </w:rPr>
              <w:t>地点</w:t>
            </w:r>
          </w:p>
        </w:tc>
        <w:tc>
          <w:tcPr>
            <w:tcW w:w="7191" w:type="dxa"/>
            <w:vAlign w:val="center"/>
          </w:tcPr>
          <w:p w:rsidR="00FA12DD" w:rsidRDefault="00FA12DD" w:rsidP="00F975CD">
            <w:pPr>
              <w:rPr>
                <w:rFonts w:ascii="宋体" w:hAnsi="宋体" w:cs="宋体"/>
                <w:bCs/>
                <w:iCs/>
                <w:color w:val="000000"/>
                <w:sz w:val="24"/>
              </w:rPr>
            </w:pPr>
            <w:r>
              <w:rPr>
                <w:rFonts w:ascii="宋体" w:hAnsi="宋体" w:cs="宋体" w:hint="eastAsia"/>
                <w:bCs/>
                <w:iCs/>
                <w:color w:val="000000"/>
                <w:sz w:val="24"/>
              </w:rPr>
              <w:t>南通江山农药化工股份有限公司</w:t>
            </w:r>
            <w:bookmarkStart w:id="0" w:name="_GoBack"/>
            <w:bookmarkEnd w:id="0"/>
          </w:p>
        </w:tc>
      </w:tr>
      <w:tr w:rsidR="00D83ACE">
        <w:trPr>
          <w:trHeight w:val="838"/>
        </w:trPr>
        <w:tc>
          <w:tcPr>
            <w:tcW w:w="1526" w:type="dxa"/>
            <w:vAlign w:val="center"/>
          </w:tcPr>
          <w:p w:rsidR="00D83ACE" w:rsidRPr="001C7F56" w:rsidRDefault="00310C56">
            <w:pPr>
              <w:rPr>
                <w:b/>
                <w:sz w:val="24"/>
                <w:szCs w:val="24"/>
              </w:rPr>
            </w:pPr>
            <w:r w:rsidRPr="001C7F56">
              <w:rPr>
                <w:rFonts w:hint="eastAsia"/>
                <w:b/>
                <w:sz w:val="24"/>
                <w:szCs w:val="24"/>
              </w:rPr>
              <w:t>上市公司接待人员姓名</w:t>
            </w:r>
          </w:p>
        </w:tc>
        <w:tc>
          <w:tcPr>
            <w:tcW w:w="7191" w:type="dxa"/>
            <w:vAlign w:val="center"/>
          </w:tcPr>
          <w:p w:rsidR="001C7F56" w:rsidRDefault="00D06675" w:rsidP="001C7F56">
            <w:pPr>
              <w:spacing w:line="360" w:lineRule="auto"/>
              <w:rPr>
                <w:rFonts w:ascii="宋体" w:hAnsi="宋体" w:cs="宋体"/>
                <w:sz w:val="24"/>
                <w:szCs w:val="24"/>
              </w:rPr>
            </w:pPr>
            <w:r>
              <w:rPr>
                <w:rFonts w:ascii="宋体" w:hAnsi="宋体" w:cs="宋体" w:hint="eastAsia"/>
                <w:sz w:val="24"/>
                <w:szCs w:val="24"/>
              </w:rPr>
              <w:t>董事长</w:t>
            </w:r>
            <w:r w:rsidR="001C7F56">
              <w:rPr>
                <w:rFonts w:ascii="宋体" w:hAnsi="宋体" w:cs="宋体" w:hint="eastAsia"/>
                <w:sz w:val="24"/>
                <w:szCs w:val="24"/>
              </w:rPr>
              <w:t xml:space="preserve"> </w:t>
            </w:r>
            <w:r w:rsidR="001C7F56">
              <w:rPr>
                <w:rFonts w:ascii="宋体" w:hAnsi="宋体" w:cs="宋体"/>
                <w:sz w:val="24"/>
                <w:szCs w:val="24"/>
              </w:rPr>
              <w:t xml:space="preserve">   </w:t>
            </w:r>
            <w:r>
              <w:rPr>
                <w:rFonts w:ascii="宋体" w:hAnsi="宋体" w:cs="宋体" w:hint="eastAsia"/>
                <w:sz w:val="24"/>
                <w:szCs w:val="24"/>
              </w:rPr>
              <w:t>王利</w:t>
            </w:r>
          </w:p>
          <w:p w:rsidR="001C7F56" w:rsidRDefault="000E0F33" w:rsidP="001C7F56">
            <w:pPr>
              <w:spacing w:line="360" w:lineRule="auto"/>
              <w:rPr>
                <w:rFonts w:ascii="宋体" w:hAnsi="宋体" w:cs="宋体"/>
                <w:sz w:val="24"/>
                <w:szCs w:val="24"/>
              </w:rPr>
            </w:pPr>
            <w:r>
              <w:rPr>
                <w:rFonts w:ascii="宋体" w:hAnsi="宋体" w:cs="宋体" w:hint="eastAsia"/>
                <w:sz w:val="24"/>
                <w:szCs w:val="24"/>
              </w:rPr>
              <w:t>副董事长</w:t>
            </w:r>
            <w:r w:rsidR="001C7F56">
              <w:rPr>
                <w:rFonts w:ascii="宋体" w:hAnsi="宋体" w:cs="宋体" w:hint="eastAsia"/>
                <w:sz w:val="24"/>
                <w:szCs w:val="24"/>
              </w:rPr>
              <w:t xml:space="preserve"> </w:t>
            </w:r>
            <w:r w:rsidR="001C7F56">
              <w:rPr>
                <w:rFonts w:ascii="宋体" w:hAnsi="宋体" w:cs="宋体"/>
                <w:sz w:val="24"/>
                <w:szCs w:val="24"/>
              </w:rPr>
              <w:t xml:space="preserve"> </w:t>
            </w:r>
            <w:r>
              <w:rPr>
                <w:rFonts w:ascii="宋体" w:hAnsi="宋体" w:cs="宋体" w:hint="eastAsia"/>
                <w:sz w:val="24"/>
                <w:szCs w:val="24"/>
              </w:rPr>
              <w:t>刘为东</w:t>
            </w:r>
          </w:p>
          <w:p w:rsidR="001C7F56" w:rsidRDefault="000E0F33" w:rsidP="001C7F56">
            <w:pPr>
              <w:spacing w:line="360" w:lineRule="auto"/>
              <w:rPr>
                <w:rFonts w:ascii="宋体" w:hAnsi="宋体" w:cs="宋体"/>
                <w:sz w:val="24"/>
                <w:szCs w:val="24"/>
              </w:rPr>
            </w:pPr>
            <w:r>
              <w:rPr>
                <w:rFonts w:ascii="宋体" w:hAnsi="宋体" w:cs="宋体" w:hint="eastAsia"/>
                <w:sz w:val="24"/>
                <w:szCs w:val="24"/>
              </w:rPr>
              <w:t>董事、总经理</w:t>
            </w:r>
            <w:r w:rsidR="001C7F56">
              <w:rPr>
                <w:rFonts w:ascii="宋体" w:hAnsi="宋体" w:cs="宋体" w:hint="eastAsia"/>
                <w:sz w:val="24"/>
                <w:szCs w:val="24"/>
              </w:rPr>
              <w:t xml:space="preserve"> </w:t>
            </w:r>
            <w:r w:rsidR="001C7F56">
              <w:rPr>
                <w:rFonts w:ascii="宋体" w:hAnsi="宋体" w:cs="宋体"/>
                <w:sz w:val="24"/>
                <w:szCs w:val="24"/>
              </w:rPr>
              <w:t xml:space="preserve"> </w:t>
            </w:r>
            <w:r>
              <w:rPr>
                <w:rFonts w:ascii="宋体" w:hAnsi="宋体" w:cs="宋体" w:hint="eastAsia"/>
                <w:sz w:val="24"/>
                <w:szCs w:val="24"/>
              </w:rPr>
              <w:t>孟长春</w:t>
            </w:r>
          </w:p>
          <w:p w:rsidR="001C7F56" w:rsidRDefault="00310C56" w:rsidP="001C7F56">
            <w:pPr>
              <w:spacing w:line="360" w:lineRule="auto"/>
              <w:rPr>
                <w:rFonts w:ascii="宋体" w:hAnsi="宋体" w:cs="宋体"/>
                <w:sz w:val="24"/>
                <w:szCs w:val="24"/>
              </w:rPr>
            </w:pPr>
            <w:r>
              <w:rPr>
                <w:rFonts w:ascii="宋体" w:hAnsi="宋体" w:cs="宋体" w:hint="eastAsia"/>
                <w:sz w:val="24"/>
                <w:szCs w:val="24"/>
              </w:rPr>
              <w:t>副总经理、</w:t>
            </w:r>
            <w:r w:rsidR="00D06675">
              <w:rPr>
                <w:rFonts w:ascii="宋体" w:hAnsi="宋体" w:cs="宋体" w:hint="eastAsia"/>
                <w:sz w:val="24"/>
                <w:szCs w:val="24"/>
              </w:rPr>
              <w:t>董事会秘书</w:t>
            </w:r>
            <w:r w:rsidR="001C7F56">
              <w:rPr>
                <w:rFonts w:ascii="宋体" w:hAnsi="宋体" w:cs="宋体" w:hint="eastAsia"/>
                <w:sz w:val="24"/>
                <w:szCs w:val="24"/>
              </w:rPr>
              <w:t xml:space="preserve"> </w:t>
            </w:r>
            <w:r w:rsidR="001C7F56">
              <w:rPr>
                <w:rFonts w:ascii="宋体" w:hAnsi="宋体" w:cs="宋体"/>
                <w:sz w:val="24"/>
                <w:szCs w:val="24"/>
              </w:rPr>
              <w:t xml:space="preserve"> </w:t>
            </w:r>
            <w:r w:rsidR="00D06675">
              <w:rPr>
                <w:rFonts w:ascii="宋体" w:hAnsi="宋体" w:cs="宋体" w:hint="eastAsia"/>
                <w:sz w:val="24"/>
                <w:szCs w:val="24"/>
              </w:rPr>
              <w:t>宋金华</w:t>
            </w:r>
          </w:p>
          <w:p w:rsidR="001C7F56" w:rsidRDefault="00D06675" w:rsidP="001C7F56">
            <w:pPr>
              <w:spacing w:line="360" w:lineRule="auto"/>
              <w:rPr>
                <w:rFonts w:ascii="宋体" w:hAnsi="宋体" w:cs="宋体"/>
                <w:sz w:val="24"/>
                <w:szCs w:val="24"/>
              </w:rPr>
            </w:pPr>
            <w:r>
              <w:rPr>
                <w:rFonts w:ascii="宋体" w:hAnsi="宋体" w:cs="宋体" w:hint="eastAsia"/>
                <w:sz w:val="24"/>
                <w:szCs w:val="24"/>
              </w:rPr>
              <w:t>副总经理、财务总监兼财务负责人</w:t>
            </w:r>
            <w:r w:rsidR="001C7F56">
              <w:rPr>
                <w:rFonts w:ascii="宋体" w:hAnsi="宋体" w:cs="宋体" w:hint="eastAsia"/>
                <w:sz w:val="24"/>
                <w:szCs w:val="24"/>
              </w:rPr>
              <w:t xml:space="preserve"> </w:t>
            </w:r>
            <w:r w:rsidR="001C7F56">
              <w:rPr>
                <w:rFonts w:ascii="宋体" w:hAnsi="宋体" w:cs="宋体"/>
                <w:sz w:val="24"/>
                <w:szCs w:val="24"/>
              </w:rPr>
              <w:t xml:space="preserve"> </w:t>
            </w:r>
            <w:r>
              <w:rPr>
                <w:rFonts w:ascii="宋体" w:hAnsi="宋体" w:cs="宋体" w:hint="eastAsia"/>
                <w:sz w:val="24"/>
                <w:szCs w:val="24"/>
              </w:rPr>
              <w:t>黄海</w:t>
            </w:r>
          </w:p>
          <w:p w:rsidR="001C7F56" w:rsidRDefault="000E0F33" w:rsidP="001C7F56">
            <w:pPr>
              <w:spacing w:line="360" w:lineRule="auto"/>
              <w:rPr>
                <w:rFonts w:ascii="宋体" w:hAnsi="宋体" w:cs="宋体"/>
                <w:sz w:val="24"/>
                <w:szCs w:val="24"/>
              </w:rPr>
            </w:pPr>
            <w:r>
              <w:rPr>
                <w:rFonts w:ascii="宋体" w:hAnsi="宋体" w:cs="宋体" w:hint="eastAsia"/>
                <w:sz w:val="24"/>
                <w:szCs w:val="24"/>
              </w:rPr>
              <w:t>副总经理</w:t>
            </w:r>
            <w:r w:rsidR="001C7F56">
              <w:rPr>
                <w:rFonts w:ascii="宋体" w:hAnsi="宋体" w:cs="宋体" w:hint="eastAsia"/>
                <w:sz w:val="24"/>
                <w:szCs w:val="24"/>
              </w:rPr>
              <w:t xml:space="preserve"> </w:t>
            </w:r>
            <w:r w:rsidR="001C7F56">
              <w:rPr>
                <w:rFonts w:ascii="宋体" w:hAnsi="宋体" w:cs="宋体"/>
                <w:sz w:val="24"/>
                <w:szCs w:val="24"/>
              </w:rPr>
              <w:t xml:space="preserve"> </w:t>
            </w:r>
            <w:r>
              <w:rPr>
                <w:rFonts w:ascii="宋体" w:hAnsi="宋体" w:cs="宋体" w:hint="eastAsia"/>
                <w:sz w:val="24"/>
                <w:szCs w:val="24"/>
              </w:rPr>
              <w:t>吉伟</w:t>
            </w:r>
          </w:p>
          <w:p w:rsidR="00D83ACE" w:rsidRDefault="000E0F33" w:rsidP="001C7F56">
            <w:pPr>
              <w:spacing w:line="360" w:lineRule="auto"/>
              <w:rPr>
                <w:sz w:val="24"/>
                <w:szCs w:val="24"/>
              </w:rPr>
            </w:pPr>
            <w:r>
              <w:rPr>
                <w:rFonts w:ascii="宋体" w:hAnsi="宋体" w:cs="宋体" w:hint="eastAsia"/>
                <w:sz w:val="24"/>
                <w:szCs w:val="24"/>
              </w:rPr>
              <w:t>首席研发官、总工程师</w:t>
            </w:r>
            <w:r w:rsidR="001C7F56">
              <w:rPr>
                <w:rFonts w:ascii="宋体" w:hAnsi="宋体" w:cs="宋体" w:hint="eastAsia"/>
                <w:sz w:val="24"/>
                <w:szCs w:val="24"/>
              </w:rPr>
              <w:t xml:space="preserve"> </w:t>
            </w:r>
            <w:r w:rsidR="001C7F56">
              <w:rPr>
                <w:rFonts w:ascii="宋体" w:hAnsi="宋体" w:cs="宋体"/>
                <w:sz w:val="24"/>
                <w:szCs w:val="24"/>
              </w:rPr>
              <w:t xml:space="preserve">  </w:t>
            </w:r>
            <w:r>
              <w:rPr>
                <w:rFonts w:ascii="宋体" w:hAnsi="宋体" w:cs="宋体" w:hint="eastAsia"/>
                <w:sz w:val="24"/>
                <w:szCs w:val="24"/>
              </w:rPr>
              <w:t>杜辉</w:t>
            </w:r>
          </w:p>
        </w:tc>
      </w:tr>
      <w:tr w:rsidR="00D83ACE">
        <w:trPr>
          <w:trHeight w:val="557"/>
        </w:trPr>
        <w:tc>
          <w:tcPr>
            <w:tcW w:w="1526" w:type="dxa"/>
            <w:vAlign w:val="center"/>
          </w:tcPr>
          <w:p w:rsidR="00D83ACE" w:rsidRPr="001C7F56" w:rsidRDefault="00D06675">
            <w:pPr>
              <w:rPr>
                <w:b/>
                <w:sz w:val="24"/>
                <w:szCs w:val="24"/>
              </w:rPr>
            </w:pPr>
            <w:r w:rsidRPr="001C7F56">
              <w:rPr>
                <w:rFonts w:hint="eastAsia"/>
                <w:b/>
                <w:sz w:val="24"/>
                <w:szCs w:val="24"/>
              </w:rPr>
              <w:t>投资者关系活动主要</w:t>
            </w:r>
            <w:r w:rsidR="003C7195" w:rsidRPr="001C7F56">
              <w:rPr>
                <w:rFonts w:hint="eastAsia"/>
                <w:b/>
                <w:sz w:val="24"/>
                <w:szCs w:val="24"/>
              </w:rPr>
              <w:t>内容介绍</w:t>
            </w:r>
          </w:p>
        </w:tc>
        <w:tc>
          <w:tcPr>
            <w:tcW w:w="7191" w:type="dxa"/>
          </w:tcPr>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（一）关于草甘膦</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1.草甘膦行业当前处于什么阶段？美国双反风险怎么看，公司如何应对？</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草甘膦是全球农化行业重要大单品，未来较长时间内仍有充足需求支撑。公司对美国“双反”相关事项已有一定预期及准备，公司将积极配合行业协会开展应诉等工作，同时关注短期客户提前备货等市场变化，做好生产、经营和交付安排。中长期看，公司将继续推进</w:t>
            </w:r>
            <w:r w:rsidR="0090588E">
              <w:rPr>
                <w:rFonts w:ascii="宋体" w:hAnsi="宋体" w:hint="eastAsia"/>
                <w:szCs w:val="21"/>
              </w:rPr>
              <w:t>海外重点</w:t>
            </w:r>
            <w:r w:rsidRPr="001E0714">
              <w:rPr>
                <w:rFonts w:ascii="宋体" w:hAnsi="宋体" w:hint="eastAsia"/>
                <w:szCs w:val="21"/>
              </w:rPr>
              <w:t>市场登记和销售，并</w:t>
            </w:r>
            <w:r w:rsidRPr="001E0714">
              <w:rPr>
                <w:rFonts w:ascii="宋体" w:hAnsi="宋体" w:hint="eastAsia"/>
                <w:szCs w:val="21"/>
              </w:rPr>
              <w:lastRenderedPageBreak/>
              <w:t>加强渠道伙伴合作，对冲外部贸易壁垒风险。</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2.草甘膦、草铵膦与苯嘧草唑之间是什么关系？</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草甘膦、草铵膦、精草铵膦并非完全替代关系，在作物、区域、应用场景以及作用机理上各有差异。苯嘧草唑的定位是以抗性杂草为切入点，可与草甘膦、草铵膦或精草铵膦复配增效，能较好解决传统灭生性除草剂难以解决的抗性问题，进一步丰富公司除草剂产品组合。</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（二）关于苯嘧草唑</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1.苯嘧草唑目前推广、订单交付和销售节奏如何？</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苯嘧草唑是公司面向全球市场的全新创制产品。在国内市场推广过程中，公司前期样品示范、田间验证等基础工作充分，目前国内市场推广进度符合预期，反馈良好。公司不会简单依靠短期压货放量，而是重点做好应用技术、渠道建设、终端复购和品牌口碑工作，为后续加快市场拓展筑牢基础。</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2.苯嘧草唑海外市场如何推进，与先正达合作后还需要多长周期？</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按照海外市场登记和OECD等数据要求，以及全球农药创制产品商业化的通行规律，在主要使用国家和地区登记上市通常需要3-5年时间。公司将积极推进海外市场策略，一方面推进与先正达的海外市场合作，同时在部分可使用国内数据登记的国家和地区先行开展相关工作，提前打通登记、客户选择、市场定位和供应链体系。</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3.苯嘧草唑市场空间和后续销量如何判断？</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当前抗性杂草问题比较突出，且未来仍有扩大趋势，苯嘧草唑可以从抗性杂草市场切入，并随着应用技术完善、登记证件增加、渠道伙伴合作和终端认知提升等促进销售放量。公司更注重市场拓展循序渐进，而非简单压货放大短期数据。相关市场和财务等数据，以公司后续预算安排和正式披露为准。</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（三）关于制剂业务</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1.小包装制剂业务未来空间如何，能否成为新的增长点？</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制剂业务是公司“3+1”战略的重要组成部分，现有业务已具备一定规模，并配备完善的销售、技术和生产体系，未来将积极打造覆盖除草、杀虫、杀菌、植物营养等多品类的制剂产品矩阵，成为国内领先、国际知名的作</w:t>
            </w:r>
            <w:r w:rsidRPr="001E0714">
              <w:rPr>
                <w:rFonts w:ascii="宋体" w:hAnsi="宋体" w:hint="eastAsia"/>
                <w:szCs w:val="21"/>
              </w:rPr>
              <w:lastRenderedPageBreak/>
              <w:t>物科学解决方案提供商。后续增长将更多依靠新产品导入、品牌建设、终端服务和渠道能力提升，特别是苯嘧草唑等创制产品导入将有效提升制剂业务规模和盈利水平。具体规模目标仍需结合登记、市场推广和行业周期等情况持续修正完善。</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（四）关于贵州项目及磷资源</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1.贵州项目目前运行情况如何，资源优势如何体现？</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贵州项目已初步实现靠近原料资源和提升成本竞争力的目标。公司与瓮福集团合作，核心在于发挥其磷矿资源、采矿选矿和全品位矿高效利用等优势，同时通过股权合作和协议安排保障资源获取和价格机制实现。随着黄磷等资源价格变化，资源端优势将进一步向公司产业链成本端传导。项目协同效益将在二期及后续一体化项目投产后逐步体现。</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2.贵州基地后续原料配套、二期项目和新增指标有哪些考虑？</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随着项目一期、二期推进，原料配套需求会增加，公司正在与合作方沟通论证，遵循“高端化、绿色化、智能化、耦合化”发展要求，健全“磷矿采选-基础化工-精细化工-电子新材料”全产业链条。目标是进一步锁定核心原料、增强成本控制能力，推动产业链闭环和资源综合利用。后续公司将继续加强沟通，在充分评估国家政策、资源配置规则和审批要求同时，积极争取更大发展资源。</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3.黄磷相关收益和瓮福江山经营情况，在上市公司报表中如何体现？</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答：公司对相关合作项目派驻财务人员，参与财务管理和经营跟踪。从阶段性情况看，贵州项目相关公司经营情况</w:t>
            </w:r>
            <w:r w:rsidR="00AF1439">
              <w:rPr>
                <w:rFonts w:ascii="宋体" w:hAnsi="宋体" w:hint="eastAsia"/>
                <w:szCs w:val="21"/>
              </w:rPr>
              <w:t>已</w:t>
            </w:r>
            <w:r w:rsidRPr="001E0714">
              <w:rPr>
                <w:rFonts w:ascii="宋体" w:hAnsi="宋体" w:hint="eastAsia"/>
                <w:szCs w:val="21"/>
              </w:rPr>
              <w:t>逐步改善</w:t>
            </w:r>
            <w:r w:rsidR="00AF1439">
              <w:rPr>
                <w:rFonts w:ascii="宋体" w:hAnsi="宋体" w:hint="eastAsia"/>
                <w:szCs w:val="21"/>
              </w:rPr>
              <w:t>并</w:t>
            </w:r>
            <w:r w:rsidRPr="001E0714">
              <w:rPr>
                <w:rFonts w:ascii="宋体" w:hAnsi="宋体" w:hint="eastAsia"/>
                <w:szCs w:val="21"/>
              </w:rPr>
              <w:t>形成利润贡献。上市公司层面主要按企业会计准则通过投资收益等方式体现，具体数据和口径以财务核算、审计和正式披露为准。</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（五）关于新材料和电子化学品</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1.DOPO衍生阻燃剂、新材料和电子化学品有什么进展？</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w:t>
            </w:r>
            <w:r w:rsidR="004F3EF3">
              <w:rPr>
                <w:rFonts w:ascii="宋体" w:hAnsi="宋体" w:hint="eastAsia"/>
                <w:szCs w:val="21"/>
              </w:rPr>
              <w:t>公司</w:t>
            </w:r>
            <w:r w:rsidRPr="001E0714">
              <w:rPr>
                <w:rFonts w:ascii="宋体" w:hAnsi="宋体" w:hint="eastAsia"/>
                <w:szCs w:val="21"/>
              </w:rPr>
              <w:t>DOPO衍生阻燃剂已完成小试并进入中试验证，在中试数据、产品品质、应用效果和产业化评价达到要求后考虑立项建设。</w:t>
            </w:r>
            <w:r w:rsidR="000A019F">
              <w:rPr>
                <w:rFonts w:ascii="宋体" w:hAnsi="宋体" w:hint="eastAsia"/>
                <w:szCs w:val="21"/>
              </w:rPr>
              <w:t>公司2</w:t>
            </w:r>
            <w:r w:rsidR="000A019F">
              <w:rPr>
                <w:rFonts w:ascii="宋体" w:hAnsi="宋体"/>
                <w:szCs w:val="21"/>
              </w:rPr>
              <w:t>023年与</w:t>
            </w:r>
            <w:r w:rsidR="000A019F" w:rsidRPr="000A019F">
              <w:rPr>
                <w:rFonts w:ascii="宋体" w:hAnsi="宋体" w:hint="eastAsia"/>
                <w:szCs w:val="21"/>
              </w:rPr>
              <w:t>瓮福集团</w:t>
            </w:r>
            <w:r w:rsidR="000A019F">
              <w:rPr>
                <w:rFonts w:ascii="宋体" w:hAnsi="宋体" w:hint="eastAsia"/>
                <w:szCs w:val="21"/>
              </w:rPr>
              <w:t>签订</w:t>
            </w:r>
            <w:r w:rsidR="002A2BD1">
              <w:rPr>
                <w:rFonts w:ascii="宋体" w:hAnsi="宋体" w:hint="eastAsia"/>
                <w:szCs w:val="21"/>
              </w:rPr>
              <w:t>了</w:t>
            </w:r>
            <w:r w:rsidR="000A019F" w:rsidRPr="000A019F">
              <w:rPr>
                <w:rFonts w:ascii="宋体" w:hAnsi="宋体" w:hint="eastAsia"/>
                <w:szCs w:val="21"/>
              </w:rPr>
              <w:t>《关于瓮安县新材料及电子化学品项目的投资框架协议》</w:t>
            </w:r>
            <w:r w:rsidR="002A2BD1">
              <w:rPr>
                <w:rFonts w:ascii="宋体" w:hAnsi="宋体" w:hint="eastAsia"/>
                <w:szCs w:val="21"/>
              </w:rPr>
              <w:t>，其</w:t>
            </w:r>
            <w:r w:rsidR="000A019F">
              <w:rPr>
                <w:rFonts w:ascii="宋体" w:hAnsi="宋体" w:hint="eastAsia"/>
                <w:szCs w:val="21"/>
              </w:rPr>
              <w:t>中拟规划建设的</w:t>
            </w:r>
            <w:r w:rsidR="000A019F" w:rsidRPr="000A019F">
              <w:rPr>
                <w:rFonts w:ascii="宋体" w:hAnsi="宋体" w:hint="eastAsia"/>
                <w:szCs w:val="21"/>
              </w:rPr>
              <w:t>新材料和电子化学品</w:t>
            </w:r>
            <w:r w:rsidR="00CA561C">
              <w:rPr>
                <w:rFonts w:ascii="宋体" w:hAnsi="宋体" w:hint="eastAsia"/>
                <w:szCs w:val="21"/>
              </w:rPr>
              <w:t>，</w:t>
            </w:r>
            <w:r w:rsidR="00AF1439">
              <w:rPr>
                <w:rFonts w:ascii="宋体" w:hAnsi="宋体" w:hint="eastAsia"/>
                <w:szCs w:val="21"/>
              </w:rPr>
              <w:t>后续</w:t>
            </w:r>
            <w:r w:rsidR="004F3EF3">
              <w:rPr>
                <w:rFonts w:ascii="宋体" w:hAnsi="宋体" w:hint="eastAsia"/>
                <w:szCs w:val="21"/>
              </w:rPr>
              <w:t>合作双方</w:t>
            </w:r>
            <w:r w:rsidR="000A019F">
              <w:rPr>
                <w:rFonts w:ascii="宋体" w:hAnsi="宋体" w:hint="eastAsia"/>
                <w:szCs w:val="21"/>
              </w:rPr>
              <w:t>将</w:t>
            </w:r>
            <w:r w:rsidRPr="001E0714">
              <w:rPr>
                <w:rFonts w:ascii="宋体" w:hAnsi="宋体" w:hint="eastAsia"/>
                <w:szCs w:val="21"/>
              </w:rPr>
              <w:t>结合技术成熟度、市场需求、项目优先级和资金安排分步推进。以上项目推进情况请关注</w:t>
            </w:r>
            <w:r w:rsidR="004F3EF3">
              <w:rPr>
                <w:rFonts w:ascii="宋体" w:hAnsi="宋体" w:hint="eastAsia"/>
                <w:szCs w:val="21"/>
              </w:rPr>
              <w:t>相关</w:t>
            </w:r>
            <w:r w:rsidRPr="001E0714">
              <w:rPr>
                <w:rFonts w:ascii="宋体" w:hAnsi="宋体" w:hint="eastAsia"/>
                <w:szCs w:val="21"/>
              </w:rPr>
              <w:t>公告。</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lastRenderedPageBreak/>
              <w:t>（六）关于资本运作与股东回报</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1.公司未来分红、可转债募集资金和资金压力如何平衡？</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答：公司一直十分重视股东回报，定期制定股东回报规划，前期实际分红比例总体高于业内同行平均水平和规则要求。当前公司处于重点项目建设和产能投放阶段，贵州、宜昌等基地投产后会带来营运资金需求和偿债压力。公司将统筹项目建设、现金流安全和股东回报等方面情况，努力保持合理分红水平。可转债募集资金将按照募集说明书披露的使用范围用于募投项目建设、补充流动资金等。</w:t>
            </w:r>
          </w:p>
          <w:p w:rsidR="001E0714" w:rsidRPr="001E0714" w:rsidRDefault="001E0714" w:rsidP="001E0714">
            <w:pPr>
              <w:pStyle w:val="Style6"/>
              <w:spacing w:line="460" w:lineRule="exact"/>
              <w:rPr>
                <w:rFonts w:ascii="宋体" w:hAnsi="宋体"/>
                <w:szCs w:val="21"/>
              </w:rPr>
            </w:pPr>
            <w:r w:rsidRPr="001E0714">
              <w:rPr>
                <w:rFonts w:ascii="宋体" w:hAnsi="宋体" w:hint="eastAsia"/>
                <w:szCs w:val="21"/>
              </w:rPr>
              <w:t>2.大股东增持、可转债认购和市场信心传递方面有什么安排？</w:t>
            </w:r>
          </w:p>
          <w:p w:rsidR="001C00C1" w:rsidRDefault="001E0714" w:rsidP="001C00C1">
            <w:pPr>
              <w:pStyle w:val="Style6"/>
              <w:spacing w:line="460" w:lineRule="exact"/>
              <w:rPr>
                <w:rFonts w:ascii="宋体" w:hAnsi="宋体"/>
                <w:szCs w:val="21"/>
              </w:rPr>
            </w:pPr>
            <w:r w:rsidRPr="001E0714">
              <w:rPr>
                <w:rFonts w:ascii="宋体" w:hAnsi="宋体" w:hint="eastAsia"/>
                <w:szCs w:val="21"/>
              </w:rPr>
              <w:t>答：</w:t>
            </w:r>
            <w:r w:rsidR="00AF1439">
              <w:rPr>
                <w:rFonts w:ascii="宋体" w:hAnsi="宋体" w:hint="eastAsia"/>
                <w:szCs w:val="21"/>
              </w:rPr>
              <w:t>公司</w:t>
            </w:r>
            <w:r w:rsidR="00AF1439" w:rsidRPr="00AF1439">
              <w:rPr>
                <w:rFonts w:ascii="宋体" w:hAnsi="宋体" w:hint="eastAsia"/>
                <w:szCs w:val="21"/>
              </w:rPr>
              <w:t>关于向不特定对象发行可转换公司债券申请</w:t>
            </w:r>
            <w:r w:rsidR="00AF1439">
              <w:rPr>
                <w:rFonts w:ascii="宋体" w:hAnsi="宋体" w:hint="eastAsia"/>
                <w:szCs w:val="21"/>
              </w:rPr>
              <w:t>已</w:t>
            </w:r>
            <w:r w:rsidR="00AF1439" w:rsidRPr="00AF1439">
              <w:rPr>
                <w:rFonts w:ascii="宋体" w:hAnsi="宋体" w:hint="eastAsia"/>
                <w:szCs w:val="21"/>
              </w:rPr>
              <w:t>获中国证</w:t>
            </w:r>
            <w:r w:rsidR="00EF7B64">
              <w:rPr>
                <w:rFonts w:ascii="宋体" w:hAnsi="宋体" w:hint="eastAsia"/>
                <w:szCs w:val="21"/>
              </w:rPr>
              <w:t>监</w:t>
            </w:r>
            <w:r w:rsidR="00AF1439" w:rsidRPr="00AF1439">
              <w:rPr>
                <w:rFonts w:ascii="宋体" w:hAnsi="宋体" w:hint="eastAsia"/>
                <w:szCs w:val="21"/>
              </w:rPr>
              <w:t>会同意注册</w:t>
            </w:r>
            <w:r w:rsidR="00AF1439">
              <w:rPr>
                <w:rFonts w:ascii="宋体" w:hAnsi="宋体" w:hint="eastAsia"/>
                <w:szCs w:val="21"/>
              </w:rPr>
              <w:t>的</w:t>
            </w:r>
            <w:r w:rsidR="00AF1439" w:rsidRPr="00AF1439">
              <w:rPr>
                <w:rFonts w:ascii="宋体" w:hAnsi="宋体" w:hint="eastAsia"/>
                <w:szCs w:val="21"/>
              </w:rPr>
              <w:t>批复</w:t>
            </w:r>
            <w:r w:rsidR="00AF1439">
              <w:rPr>
                <w:rFonts w:ascii="宋体" w:hAnsi="宋体" w:hint="eastAsia"/>
                <w:szCs w:val="21"/>
              </w:rPr>
              <w:t>，</w:t>
            </w:r>
            <w:r w:rsidR="00AF1439" w:rsidRPr="00AF1439">
              <w:rPr>
                <w:rFonts w:ascii="宋体" w:hAnsi="宋体" w:hint="eastAsia"/>
                <w:szCs w:val="21"/>
              </w:rPr>
              <w:t>公司董事会将根据相关法律法规及上述批复文件的要求，在公司股东会的授权范围内办理本次向不特定对象发行可转换公司债券的相关事宜。</w:t>
            </w:r>
          </w:p>
          <w:p w:rsidR="00D83ACE" w:rsidRPr="001E0714" w:rsidRDefault="001C00C1" w:rsidP="001C00C1">
            <w:pPr>
              <w:pStyle w:val="Style6"/>
              <w:spacing w:line="460" w:lineRule="exact"/>
              <w:rPr>
                <w:rFonts w:ascii="宋体" w:hAnsi="宋体"/>
                <w:szCs w:val="21"/>
              </w:rPr>
            </w:pPr>
            <w:r>
              <w:rPr>
                <w:rFonts w:ascii="宋体" w:hAnsi="宋体" w:hint="eastAsia"/>
                <w:szCs w:val="21"/>
              </w:rPr>
              <w:t>未来公司将继续</w:t>
            </w:r>
            <w:r w:rsidRPr="001C00C1">
              <w:rPr>
                <w:rFonts w:ascii="宋体" w:hAnsi="宋体" w:hint="eastAsia"/>
                <w:szCs w:val="21"/>
              </w:rPr>
              <w:t>聚焦主业经营</w:t>
            </w:r>
            <w:r>
              <w:rPr>
                <w:rFonts w:ascii="宋体" w:hAnsi="宋体" w:hint="eastAsia"/>
                <w:szCs w:val="21"/>
              </w:rPr>
              <w:t>，</w:t>
            </w:r>
            <w:r w:rsidRPr="001C00C1">
              <w:rPr>
                <w:rFonts w:ascii="宋体" w:hAnsi="宋体" w:hint="eastAsia"/>
                <w:szCs w:val="21"/>
              </w:rPr>
              <w:t>坚持创新驱动</w:t>
            </w:r>
            <w:r>
              <w:rPr>
                <w:rFonts w:ascii="宋体" w:hAnsi="宋体" w:hint="eastAsia"/>
                <w:szCs w:val="21"/>
              </w:rPr>
              <w:t>，</w:t>
            </w:r>
            <w:r w:rsidRPr="001C00C1">
              <w:rPr>
                <w:rFonts w:ascii="宋体" w:hAnsi="宋体" w:hint="eastAsia"/>
                <w:szCs w:val="21"/>
              </w:rPr>
              <w:t>提升经营质</w:t>
            </w:r>
            <w:r>
              <w:rPr>
                <w:rFonts w:ascii="宋体" w:hAnsi="宋体" w:hint="eastAsia"/>
                <w:szCs w:val="21"/>
              </w:rPr>
              <w:t>效</w:t>
            </w:r>
            <w:r w:rsidRPr="001C00C1">
              <w:rPr>
                <w:rFonts w:ascii="宋体" w:hAnsi="宋体" w:hint="eastAsia"/>
                <w:szCs w:val="21"/>
              </w:rPr>
              <w:t>，以良好的经营业绩回报广大投资者</w:t>
            </w:r>
            <w:r>
              <w:rPr>
                <w:rFonts w:ascii="宋体" w:hAnsi="宋体" w:hint="eastAsia"/>
                <w:szCs w:val="21"/>
              </w:rPr>
              <w:t>。</w:t>
            </w:r>
          </w:p>
        </w:tc>
      </w:tr>
      <w:tr w:rsidR="001C7F56" w:rsidTr="00F25F8D">
        <w:trPr>
          <w:trHeight w:val="557"/>
        </w:trPr>
        <w:tc>
          <w:tcPr>
            <w:tcW w:w="1526" w:type="dxa"/>
            <w:vAlign w:val="center"/>
          </w:tcPr>
          <w:p w:rsidR="001C7F56" w:rsidRDefault="001C7F56" w:rsidP="001C7F56">
            <w:pPr>
              <w:snapToGrid w:val="0"/>
              <w:jc w:val="center"/>
              <w:rPr>
                <w:rFonts w:ascii="宋体" w:hAnsi="宋体"/>
                <w:b/>
                <w:bCs/>
                <w:iCs/>
                <w:sz w:val="24"/>
                <w:szCs w:val="24"/>
              </w:rPr>
            </w:pPr>
            <w:r>
              <w:rPr>
                <w:rFonts w:ascii="宋体" w:hAnsi="宋体" w:hint="eastAsia"/>
                <w:b/>
                <w:bCs/>
                <w:iCs/>
                <w:sz w:val="24"/>
                <w:szCs w:val="24"/>
              </w:rPr>
              <w:lastRenderedPageBreak/>
              <w:t>关于本次活动是否涉及应披露重大信息的说明</w:t>
            </w:r>
          </w:p>
        </w:tc>
        <w:tc>
          <w:tcPr>
            <w:tcW w:w="7191" w:type="dxa"/>
            <w:vAlign w:val="center"/>
          </w:tcPr>
          <w:p w:rsidR="001C7F56" w:rsidRPr="00AA4BEC" w:rsidRDefault="001C7F56" w:rsidP="001C7F56">
            <w:pPr>
              <w:snapToGrid w:val="0"/>
              <w:rPr>
                <w:rFonts w:ascii="宋体" w:hAnsi="宋体"/>
                <w:sz w:val="24"/>
                <w:szCs w:val="24"/>
              </w:rPr>
            </w:pPr>
            <w:r w:rsidRPr="00AA4BEC">
              <w:rPr>
                <w:rFonts w:ascii="宋体" w:hAnsi="宋体" w:hint="eastAsia"/>
                <w:sz w:val="24"/>
                <w:szCs w:val="24"/>
              </w:rPr>
              <w:t>本次活动不涉及未公开披露的重大信息</w:t>
            </w:r>
          </w:p>
        </w:tc>
      </w:tr>
      <w:tr w:rsidR="001C7F56" w:rsidTr="00F25F8D">
        <w:trPr>
          <w:trHeight w:val="557"/>
        </w:trPr>
        <w:tc>
          <w:tcPr>
            <w:tcW w:w="1526" w:type="dxa"/>
            <w:vAlign w:val="center"/>
          </w:tcPr>
          <w:p w:rsidR="001C7F56" w:rsidRDefault="001C7F56" w:rsidP="001C7F56">
            <w:pPr>
              <w:snapToGrid w:val="0"/>
              <w:jc w:val="center"/>
              <w:rPr>
                <w:rFonts w:ascii="宋体" w:hAnsi="宋体"/>
                <w:b/>
                <w:bCs/>
                <w:iCs/>
                <w:sz w:val="24"/>
                <w:szCs w:val="24"/>
              </w:rPr>
            </w:pPr>
            <w:r>
              <w:rPr>
                <w:rFonts w:ascii="宋体" w:hAnsi="宋体" w:hint="eastAsia"/>
                <w:b/>
                <w:bCs/>
                <w:iCs/>
                <w:sz w:val="24"/>
                <w:szCs w:val="24"/>
              </w:rPr>
              <w:t>附件清单（如有）</w:t>
            </w:r>
          </w:p>
        </w:tc>
        <w:tc>
          <w:tcPr>
            <w:tcW w:w="7191" w:type="dxa"/>
            <w:vAlign w:val="center"/>
          </w:tcPr>
          <w:p w:rsidR="001C7F56" w:rsidRPr="00AA4BEC" w:rsidRDefault="001C7F56" w:rsidP="001C7F56">
            <w:pPr>
              <w:snapToGrid w:val="0"/>
              <w:rPr>
                <w:rFonts w:ascii="宋体" w:hAnsi="宋体"/>
                <w:sz w:val="24"/>
                <w:szCs w:val="24"/>
              </w:rPr>
            </w:pPr>
            <w:r w:rsidRPr="00AA4BEC">
              <w:rPr>
                <w:rFonts w:ascii="宋体" w:hAnsi="宋体" w:hint="eastAsia"/>
                <w:sz w:val="24"/>
                <w:szCs w:val="24"/>
              </w:rPr>
              <w:t>无</w:t>
            </w:r>
          </w:p>
        </w:tc>
      </w:tr>
    </w:tbl>
    <w:p w:rsidR="00D83ACE" w:rsidRDefault="00D83ACE"/>
    <w:p w:rsidR="00D83ACE" w:rsidRDefault="00D83ACE"/>
    <w:sectPr w:rsidR="00D83AC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F84" w:rsidRDefault="00687F84">
      <w:r>
        <w:separator/>
      </w:r>
    </w:p>
  </w:endnote>
  <w:endnote w:type="continuationSeparator" w:id="0">
    <w:p w:rsidR="00687F84" w:rsidRDefault="0068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F84" w:rsidRDefault="00687F84">
      <w:r>
        <w:separator/>
      </w:r>
    </w:p>
  </w:footnote>
  <w:footnote w:type="continuationSeparator" w:id="0">
    <w:p w:rsidR="00687F84" w:rsidRDefault="00687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D83ACE"/>
    <w:rsid w:val="000A019F"/>
    <w:rsid w:val="000E0F33"/>
    <w:rsid w:val="000E2C55"/>
    <w:rsid w:val="001C00C1"/>
    <w:rsid w:val="001C7F56"/>
    <w:rsid w:val="001E0714"/>
    <w:rsid w:val="00246E49"/>
    <w:rsid w:val="002A2BD1"/>
    <w:rsid w:val="002C567C"/>
    <w:rsid w:val="00310C56"/>
    <w:rsid w:val="003C7195"/>
    <w:rsid w:val="00483CD8"/>
    <w:rsid w:val="004F165D"/>
    <w:rsid w:val="004F3EF3"/>
    <w:rsid w:val="00687F84"/>
    <w:rsid w:val="007369FC"/>
    <w:rsid w:val="00781F5C"/>
    <w:rsid w:val="00880E9E"/>
    <w:rsid w:val="008D0224"/>
    <w:rsid w:val="0090588E"/>
    <w:rsid w:val="00AF1439"/>
    <w:rsid w:val="00C51C96"/>
    <w:rsid w:val="00CA561C"/>
    <w:rsid w:val="00D06675"/>
    <w:rsid w:val="00D348C6"/>
    <w:rsid w:val="00D83ACE"/>
    <w:rsid w:val="00DF1855"/>
    <w:rsid w:val="00ED5878"/>
    <w:rsid w:val="00EF7B64"/>
    <w:rsid w:val="00F975CD"/>
    <w:rsid w:val="00FA12DD"/>
    <w:rsid w:val="00FF420B"/>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401D11-9915-4A13-BA02-9175301D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8D0224"/>
    <w:pPr>
      <w:tabs>
        <w:tab w:val="center" w:pos="4153"/>
        <w:tab w:val="right" w:pos="8306"/>
      </w:tabs>
      <w:snapToGrid w:val="0"/>
      <w:jc w:val="left"/>
    </w:pPr>
    <w:rPr>
      <w:sz w:val="18"/>
      <w:szCs w:val="18"/>
    </w:rPr>
  </w:style>
  <w:style w:type="character" w:customStyle="1" w:styleId="Char">
    <w:name w:val="页脚 Char"/>
    <w:basedOn w:val="a0"/>
    <w:link w:val="a6"/>
    <w:rsid w:val="008D0224"/>
    <w:rPr>
      <w:kern w:val="2"/>
      <w:sz w:val="18"/>
      <w:szCs w:val="18"/>
    </w:rPr>
  </w:style>
  <w:style w:type="paragraph" w:styleId="a7">
    <w:name w:val="Balloon Text"/>
    <w:basedOn w:val="a"/>
    <w:link w:val="Char0"/>
    <w:rsid w:val="00AF1439"/>
    <w:rPr>
      <w:sz w:val="18"/>
      <w:szCs w:val="18"/>
    </w:rPr>
  </w:style>
  <w:style w:type="character" w:customStyle="1" w:styleId="Char0">
    <w:name w:val="批注框文本 Char"/>
    <w:basedOn w:val="a0"/>
    <w:link w:val="a7"/>
    <w:rsid w:val="00AF143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黄燕</cp:lastModifiedBy>
  <cp:revision>24</cp:revision>
  <dcterms:created xsi:type="dcterms:W3CDTF">2026-07-06T02:05:00Z</dcterms:created>
  <dcterms:modified xsi:type="dcterms:W3CDTF">2026-07-06T08:31:00Z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