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CD9AE">
      <w:pPr>
        <w:rPr>
          <w:rFonts w:asciiTheme="minorEastAsia" w:hAnsiTheme="minorEastAsia"/>
          <w:b/>
        </w:rPr>
      </w:pPr>
      <w:r>
        <w:rPr>
          <w:rFonts w:hint="eastAsia" w:asciiTheme="minorEastAsia" w:hAnsiTheme="minorEastAsia"/>
          <w:b/>
        </w:rPr>
        <w:t>证券代码：605580                                             证券简称：恒盛能源</w:t>
      </w:r>
    </w:p>
    <w:p w14:paraId="3D2C8A1E">
      <w:pPr>
        <w:jc w:val="center"/>
        <w:rPr>
          <w:rFonts w:asciiTheme="minorEastAsia" w:hAnsiTheme="minorEastAsia"/>
          <w:b/>
          <w:sz w:val="36"/>
          <w:szCs w:val="36"/>
        </w:rPr>
      </w:pPr>
    </w:p>
    <w:p w14:paraId="008F2B1C">
      <w:pPr>
        <w:jc w:val="center"/>
        <w:rPr>
          <w:rFonts w:asciiTheme="minorEastAsia" w:hAnsiTheme="minorEastAsia"/>
          <w:b/>
          <w:sz w:val="36"/>
          <w:szCs w:val="36"/>
        </w:rPr>
      </w:pPr>
      <w:r>
        <w:rPr>
          <w:rFonts w:hint="eastAsia" w:asciiTheme="minorEastAsia" w:hAnsiTheme="minorEastAsia"/>
          <w:b/>
          <w:sz w:val="36"/>
          <w:szCs w:val="36"/>
        </w:rPr>
        <w:t>恒盛能源股份有限公司投资者关系活动记录表</w:t>
      </w:r>
    </w:p>
    <w:p w14:paraId="3680B64C">
      <w:pPr>
        <w:jc w:val="center"/>
        <w:rPr>
          <w:rFonts w:asciiTheme="minorEastAsia" w:hAnsiTheme="minorEastAsia"/>
          <w:b/>
          <w:sz w:val="36"/>
          <w:szCs w:val="36"/>
        </w:rPr>
      </w:pPr>
    </w:p>
    <w:p w14:paraId="5E2B2711">
      <w:pPr>
        <w:spacing w:before="156" w:beforeLines="50" w:after="156" w:afterLines="50"/>
        <w:jc w:val="right"/>
        <w:rPr>
          <w:rFonts w:hint="eastAsia" w:asciiTheme="minorEastAsia" w:hAnsiTheme="minorEastAsia" w:eastAsiaTheme="minorEastAsia"/>
          <w:sz w:val="24"/>
          <w:szCs w:val="24"/>
          <w:lang w:eastAsia="zh-CN"/>
        </w:rPr>
      </w:pPr>
      <w:r>
        <w:rPr>
          <w:rFonts w:hint="eastAsia" w:asciiTheme="minorEastAsia" w:hAnsiTheme="minorEastAsia"/>
          <w:sz w:val="24"/>
          <w:szCs w:val="24"/>
        </w:rPr>
        <w:t>编号:202</w:t>
      </w:r>
      <w:r>
        <w:rPr>
          <w:rFonts w:hint="eastAsia" w:asciiTheme="minorEastAsia" w:hAnsiTheme="minorEastAsia"/>
          <w:sz w:val="24"/>
          <w:szCs w:val="24"/>
          <w:lang w:val="en-US" w:eastAsia="zh-CN"/>
        </w:rPr>
        <w:t>6</w:t>
      </w:r>
      <w:r>
        <w:rPr>
          <w:rFonts w:hint="eastAsia" w:asciiTheme="minorEastAsia" w:hAnsiTheme="minorEastAsia"/>
          <w:sz w:val="24"/>
          <w:szCs w:val="24"/>
        </w:rPr>
        <w:t>-00</w:t>
      </w:r>
      <w:r>
        <w:rPr>
          <w:rFonts w:hint="eastAsia" w:asciiTheme="minorEastAsia" w:hAnsiTheme="minorEastAsia"/>
          <w:sz w:val="24"/>
          <w:szCs w:val="24"/>
          <w:lang w:val="en-US" w:eastAsia="zh-CN"/>
        </w:rPr>
        <w:t>1</w:t>
      </w:r>
    </w:p>
    <w:tbl>
      <w:tblPr>
        <w:tblStyle w:val="6"/>
        <w:tblW w:w="8987"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6519"/>
      </w:tblGrid>
      <w:tr w14:paraId="6A8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16A36612">
            <w:pPr>
              <w:jc w:val="center"/>
              <w:rPr>
                <w:rFonts w:asciiTheme="minorEastAsia" w:hAnsiTheme="minorEastAsia"/>
                <w:b/>
                <w:sz w:val="24"/>
                <w:szCs w:val="24"/>
              </w:rPr>
            </w:pPr>
            <w:r>
              <w:rPr>
                <w:rFonts w:hint="eastAsia" w:asciiTheme="minorEastAsia" w:hAnsiTheme="minorEastAsia"/>
                <w:b/>
                <w:sz w:val="24"/>
                <w:szCs w:val="24"/>
              </w:rPr>
              <w:t>投资者关系活动类别</w:t>
            </w:r>
          </w:p>
        </w:tc>
        <w:tc>
          <w:tcPr>
            <w:tcW w:w="6519" w:type="dxa"/>
          </w:tcPr>
          <w:p w14:paraId="334C1941">
            <w:pPr>
              <w:spacing w:line="360" w:lineRule="auto"/>
              <w:jc w:val="left"/>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特定对象调研</w:t>
            </w:r>
            <w:r>
              <w:rPr>
                <w:rFonts w:asciiTheme="minorEastAsia" w:hAnsiTheme="minorEastAsia"/>
                <w:sz w:val="24"/>
                <w:szCs w:val="24"/>
              </w:rPr>
              <w:t xml:space="preserve">  </w:t>
            </w:r>
            <w:r>
              <w:rPr>
                <w:rFonts w:hint="eastAsia" w:asciiTheme="minorEastAsia" w:hAnsiTheme="minorEastAsia"/>
                <w:sz w:val="24"/>
                <w:szCs w:val="24"/>
                <w:lang w:val="en-US" w:eastAsia="zh-CN"/>
              </w:rPr>
              <w:t>□</w:t>
            </w:r>
            <w:r>
              <w:rPr>
                <w:rFonts w:hint="eastAsia" w:asciiTheme="minorEastAsia" w:hAnsiTheme="minorEastAsia"/>
                <w:sz w:val="24"/>
                <w:szCs w:val="24"/>
              </w:rPr>
              <w:t>分析师会议</w:t>
            </w:r>
          </w:p>
          <w:p w14:paraId="05337B3D">
            <w:pPr>
              <w:spacing w:line="360" w:lineRule="auto"/>
              <w:jc w:val="left"/>
              <w:rPr>
                <w:rFonts w:asciiTheme="minorEastAsia" w:hAnsiTheme="minorEastAsia"/>
                <w:sz w:val="24"/>
                <w:szCs w:val="24"/>
              </w:rPr>
            </w:pPr>
            <w:r>
              <w:rPr>
                <w:rFonts w:hint="default" w:asciiTheme="minorEastAsia" w:hAnsiTheme="minorEastAsia"/>
                <w:sz w:val="24"/>
                <w:szCs w:val="24"/>
                <w:lang w:val="en-US" w:eastAsia="zh-CN"/>
              </w:rPr>
              <w:t>□</w:t>
            </w:r>
            <w:r>
              <w:rPr>
                <w:rFonts w:hint="eastAsia" w:asciiTheme="minorEastAsia" w:hAnsiTheme="minorEastAsia"/>
                <w:sz w:val="24"/>
                <w:szCs w:val="24"/>
              </w:rPr>
              <w:t>媒体采访        □业绩说明会</w:t>
            </w:r>
          </w:p>
          <w:p w14:paraId="13708B73">
            <w:pPr>
              <w:spacing w:line="360" w:lineRule="auto"/>
              <w:jc w:val="left"/>
              <w:rPr>
                <w:rFonts w:asciiTheme="minorEastAsia" w:hAnsiTheme="minorEastAsia"/>
                <w:sz w:val="24"/>
                <w:szCs w:val="24"/>
              </w:rPr>
            </w:pPr>
            <w:r>
              <w:rPr>
                <w:rFonts w:hint="eastAsia" w:asciiTheme="minorEastAsia" w:hAnsiTheme="minorEastAsia"/>
                <w:sz w:val="24"/>
                <w:szCs w:val="24"/>
              </w:rPr>
              <w:t xml:space="preserve">□新闻发布会      </w:t>
            </w:r>
            <w:r>
              <w:rPr>
                <w:rFonts w:hint="eastAsia" w:asciiTheme="minorEastAsia" w:hAnsiTheme="minorEastAsia"/>
                <w:sz w:val="24"/>
                <w:szCs w:val="24"/>
                <w:lang w:eastAsia="zh-CN"/>
              </w:rPr>
              <w:t>☑</w:t>
            </w:r>
            <w:r>
              <w:rPr>
                <w:rFonts w:hint="eastAsia" w:asciiTheme="minorEastAsia" w:hAnsiTheme="minorEastAsia"/>
                <w:sz w:val="24"/>
                <w:szCs w:val="24"/>
              </w:rPr>
              <w:t>路演活动</w:t>
            </w:r>
          </w:p>
          <w:p w14:paraId="2ECFCAA5">
            <w:pPr>
              <w:spacing w:line="360" w:lineRule="auto"/>
              <w:jc w:val="left"/>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现场参观</w:t>
            </w:r>
            <w:r>
              <w:rPr>
                <w:rFonts w:asciiTheme="minorEastAsia" w:hAnsiTheme="minorEastAsia"/>
                <w:sz w:val="24"/>
                <w:szCs w:val="24"/>
              </w:rPr>
              <w:t xml:space="preserve">  </w:t>
            </w:r>
            <w:r>
              <w:rPr>
                <w:rFonts w:hint="eastAsia" w:asciiTheme="minorEastAsia" w:hAnsiTheme="minorEastAsia"/>
                <w:sz w:val="24"/>
                <w:szCs w:val="24"/>
              </w:rPr>
              <w:t xml:space="preserve">    </w:t>
            </w:r>
            <w:r>
              <w:rPr>
                <w:rFonts w:hint="eastAsia" w:asciiTheme="minorEastAsia" w:hAnsiTheme="minorEastAsia"/>
                <w:sz w:val="24"/>
                <w:szCs w:val="24"/>
                <w:lang w:eastAsia="zh-CN"/>
              </w:rPr>
              <w:t>☑</w:t>
            </w:r>
            <w:r>
              <w:rPr>
                <w:rFonts w:hint="eastAsia" w:asciiTheme="minorEastAsia" w:hAnsiTheme="minorEastAsia"/>
                <w:sz w:val="24"/>
                <w:szCs w:val="24"/>
              </w:rPr>
              <w:t>电话会议</w:t>
            </w:r>
          </w:p>
          <w:p w14:paraId="57D664DC">
            <w:pPr>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rPr>
              <w:t>其他</w:t>
            </w:r>
          </w:p>
        </w:tc>
      </w:tr>
      <w:tr w14:paraId="2799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26BA1D9E">
            <w:pPr>
              <w:jc w:val="center"/>
              <w:rPr>
                <w:rFonts w:asciiTheme="minorEastAsia" w:hAnsiTheme="minorEastAsia"/>
                <w:b/>
                <w:sz w:val="24"/>
                <w:szCs w:val="24"/>
              </w:rPr>
            </w:pPr>
            <w:r>
              <w:rPr>
                <w:rFonts w:hint="eastAsia" w:asciiTheme="minorEastAsia" w:hAnsiTheme="minorEastAsia"/>
                <w:b/>
                <w:sz w:val="24"/>
                <w:szCs w:val="24"/>
              </w:rPr>
              <w:t>参与单位名称</w:t>
            </w:r>
          </w:p>
        </w:tc>
        <w:tc>
          <w:tcPr>
            <w:tcW w:w="6519" w:type="dxa"/>
          </w:tcPr>
          <w:p w14:paraId="00700EFF">
            <w:pPr>
              <w:spacing w:line="360" w:lineRule="auto"/>
              <w:jc w:val="both"/>
              <w:rPr>
                <w:rFonts w:hint="default" w:asciiTheme="minorEastAsia" w:hAnsiTheme="minorEastAsia" w:eastAsiaTheme="minorEastAsia"/>
                <w:sz w:val="24"/>
                <w:szCs w:val="24"/>
                <w:lang w:val="en-US" w:eastAsia="zh-CN"/>
              </w:rPr>
            </w:pPr>
            <w:r>
              <w:rPr>
                <w:rFonts w:hint="eastAsia" w:asciiTheme="minorEastAsia" w:hAnsiTheme="minorEastAsia"/>
                <w:sz w:val="21"/>
                <w:szCs w:val="21"/>
                <w:lang w:val="en-US" w:eastAsia="zh-CN"/>
              </w:rPr>
              <w:t>瑞众人寿保险有限责任公司、交银理财有限责任公司、工银安盛资产管理有限公司、上银基金管理有限公司、富国基金管理有限公司、圆信永丰基金管理有限公司、交银施罗德基金管理有限公司、南方基金管理股份有限公司、巨杉(上海)资产管理有限公司、深圳市鲲鹏恒隆投资有限公司、华宝信托有限责任公司、长城基金管理有限公司、上海恒穗资产管理中心(有限合伙)、富安达基金管理有限公司等投资经理、研究员、基金经理共42人。</w:t>
            </w:r>
          </w:p>
        </w:tc>
      </w:tr>
      <w:tr w14:paraId="215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20FE786E">
            <w:pPr>
              <w:jc w:val="center"/>
              <w:rPr>
                <w:rFonts w:asciiTheme="minorEastAsia" w:hAnsiTheme="minorEastAsia"/>
                <w:b/>
                <w:sz w:val="24"/>
                <w:szCs w:val="24"/>
              </w:rPr>
            </w:pPr>
            <w:r>
              <w:rPr>
                <w:rFonts w:hint="eastAsia" w:asciiTheme="minorEastAsia" w:hAnsiTheme="minorEastAsia"/>
                <w:b/>
                <w:sz w:val="24"/>
                <w:szCs w:val="24"/>
              </w:rPr>
              <w:t>会议时间</w:t>
            </w:r>
          </w:p>
        </w:tc>
        <w:tc>
          <w:tcPr>
            <w:tcW w:w="6519" w:type="dxa"/>
          </w:tcPr>
          <w:p w14:paraId="4CFA0CDA">
            <w:pPr>
              <w:spacing w:before="156" w:beforeLines="50" w:after="156" w:afterLines="50"/>
              <w:jc w:val="left"/>
              <w:rPr>
                <w:rFonts w:hint="default" w:asciiTheme="minorEastAsia" w:hAnsiTheme="minorEastAsia"/>
                <w:sz w:val="24"/>
                <w:szCs w:val="24"/>
                <w:lang w:val="en-US"/>
              </w:rPr>
            </w:pPr>
            <w:r>
              <w:rPr>
                <w:rFonts w:hint="eastAsia" w:asciiTheme="minorEastAsia" w:hAnsiTheme="minorEastAsia"/>
                <w:sz w:val="24"/>
                <w:szCs w:val="24"/>
                <w:highlight w:val="none"/>
                <w:lang w:val="en-US" w:eastAsia="zh-CN"/>
              </w:rPr>
              <w:t>2026年7月3日15:30-16:30</w:t>
            </w:r>
          </w:p>
        </w:tc>
      </w:tr>
      <w:tr w14:paraId="324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623D834B">
            <w:pPr>
              <w:jc w:val="center"/>
              <w:rPr>
                <w:rFonts w:asciiTheme="minorEastAsia" w:hAnsiTheme="minorEastAsia"/>
                <w:b/>
                <w:sz w:val="24"/>
                <w:szCs w:val="24"/>
              </w:rPr>
            </w:pPr>
            <w:r>
              <w:rPr>
                <w:rFonts w:hint="eastAsia" w:asciiTheme="minorEastAsia" w:hAnsiTheme="minorEastAsia"/>
                <w:b/>
                <w:sz w:val="24"/>
                <w:szCs w:val="24"/>
              </w:rPr>
              <w:t>会议地点</w:t>
            </w:r>
          </w:p>
        </w:tc>
        <w:tc>
          <w:tcPr>
            <w:tcW w:w="6519" w:type="dxa"/>
          </w:tcPr>
          <w:p w14:paraId="6A797C04">
            <w:pPr>
              <w:spacing w:before="156" w:beforeLines="50" w:after="156" w:afterLine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浙江桦茂科技有限公司三楼会议室</w:t>
            </w:r>
          </w:p>
        </w:tc>
      </w:tr>
      <w:tr w14:paraId="0650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3402BDF2">
            <w:pPr>
              <w:jc w:val="center"/>
              <w:rPr>
                <w:rFonts w:asciiTheme="minorEastAsia" w:hAnsiTheme="minorEastAsia"/>
                <w:b/>
                <w:sz w:val="24"/>
                <w:szCs w:val="24"/>
              </w:rPr>
            </w:pPr>
            <w:r>
              <w:rPr>
                <w:rFonts w:hint="eastAsia" w:asciiTheme="minorEastAsia" w:hAnsiTheme="minorEastAsia"/>
                <w:b/>
                <w:sz w:val="24"/>
                <w:szCs w:val="24"/>
              </w:rPr>
              <w:t>上市公司接待人员姓名</w:t>
            </w:r>
          </w:p>
        </w:tc>
        <w:tc>
          <w:tcPr>
            <w:tcW w:w="6519" w:type="dxa"/>
            <w:vAlign w:val="center"/>
          </w:tcPr>
          <w:p w14:paraId="7AB7DD04">
            <w:pPr>
              <w:spacing w:line="360" w:lineRule="auto"/>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董事会秘书金海</w:t>
            </w:r>
          </w:p>
        </w:tc>
      </w:tr>
      <w:tr w14:paraId="6BF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79CEF949">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519" w:type="dxa"/>
          </w:tcPr>
          <w:p w14:paraId="3BF70B54">
            <w:pPr>
              <w:spacing w:line="360" w:lineRule="auto"/>
              <w:jc w:val="both"/>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一、公司基本情况介绍</w:t>
            </w:r>
          </w:p>
          <w:p w14:paraId="2FFAEDCE">
            <w:pPr>
              <w:spacing w:line="360" w:lineRule="auto"/>
              <w:ind w:firstLine="480" w:firstLineChars="200"/>
              <w:jc w:val="both"/>
              <w:rPr>
                <w:rFonts w:hint="default" w:asciiTheme="minorEastAsia" w:hAnsiTheme="minorEastAsia"/>
                <w:sz w:val="24"/>
                <w:szCs w:val="24"/>
                <w:lang w:val="en-US" w:eastAsia="zh-CN"/>
              </w:rPr>
            </w:pPr>
            <w:r>
              <w:rPr>
                <w:rFonts w:hint="default" w:asciiTheme="minorEastAsia" w:hAnsiTheme="minorEastAsia"/>
                <w:sz w:val="24"/>
                <w:szCs w:val="24"/>
                <w:lang w:val="en-US" w:eastAsia="zh-CN"/>
              </w:rPr>
              <w:t>恒盛能源股份有限公司成立于2007年，于2021年8月成功登陆上海证券交易所主板，实现资本运作与实体发展的双向突破。作为浙江省大型区域性公用热电及节能环保型骨干企业，公司同时入选浙江省第一批制造业“云上企业”，凭借稳健的经营管理与突出的创新能力，先后荣获省市电力局先进集体、浙江省优秀创新型企业等多项荣誉，彰显了行业标杆地位与综合实力。</w:t>
            </w:r>
          </w:p>
          <w:p w14:paraId="6247646E">
            <w:pPr>
              <w:spacing w:line="360" w:lineRule="auto"/>
              <w:ind w:firstLine="480" w:firstLineChars="200"/>
              <w:jc w:val="both"/>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2025年，公司实现营业收入10.21亿元，同比增长25.39%；归属于上市公司股东的净利润1.56亿元，同比增长14.20%；扣除非经常性损益后归属于上市公司股东的净利润1.40亿元，同比大幅增长37.68%；各项核心财务指标均实现稳步提升。2026年一季度，公司延续良好发展态势，实现营业收入3.13亿元，较上年同期增长39.75%；归属于上市公司股东的净利润4</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860.18万元，同比增长14.67%；扣除非经常性损益后净利润4</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860.98万元，同比激增78.88%，为全年经营目标的顺利实现奠定了坚实基础。</w:t>
            </w:r>
          </w:p>
          <w:p w14:paraId="41FCD01F">
            <w:pPr>
              <w:spacing w:line="360" w:lineRule="auto"/>
              <w:ind w:firstLine="480" w:firstLineChars="200"/>
              <w:jc w:val="both"/>
              <w:rPr>
                <w:rFonts w:hint="default" w:asciiTheme="minorEastAsia" w:hAnsiTheme="minorEastAsia"/>
                <w:sz w:val="24"/>
                <w:szCs w:val="24"/>
                <w:lang w:val="en-US" w:eastAsia="zh-CN"/>
              </w:rPr>
            </w:pPr>
            <w:r>
              <w:rPr>
                <w:rFonts w:hint="default" w:asciiTheme="minorEastAsia" w:hAnsiTheme="minorEastAsia"/>
                <w:sz w:val="24"/>
                <w:szCs w:val="24"/>
                <w:lang w:val="en-US" w:eastAsia="zh-CN"/>
              </w:rPr>
              <w:t>公司始终坚决贯彻国家能源安全与新材料发展战略，锚定高质量发展方向，坚定推行“一体两翼”发展战略——以热电联产为发展主体，以固废综合利用、CVD金刚石高端制造为两大增长翼，构建多元协同、可持续发展的产业格局。</w:t>
            </w:r>
          </w:p>
          <w:p w14:paraId="22F8B35D">
            <w:pPr>
              <w:spacing w:line="360" w:lineRule="auto"/>
              <w:jc w:val="both"/>
              <w:rPr>
                <w:rFonts w:asciiTheme="minorEastAsia" w:hAnsiTheme="minorEastAsia"/>
                <w:b/>
                <w:bCs/>
                <w:sz w:val="24"/>
                <w:szCs w:val="24"/>
              </w:rPr>
            </w:pPr>
            <w:r>
              <w:rPr>
                <w:rFonts w:hint="eastAsia" w:asciiTheme="minorEastAsia" w:hAnsiTheme="minorEastAsia"/>
                <w:b/>
                <w:bCs/>
                <w:sz w:val="24"/>
                <w:szCs w:val="24"/>
                <w:lang w:val="en-US" w:eastAsia="zh-CN"/>
              </w:rPr>
              <w:t>二、问答交流</w:t>
            </w:r>
            <w:r>
              <w:rPr>
                <w:rFonts w:hint="eastAsia" w:asciiTheme="minorEastAsia" w:hAnsiTheme="minorEastAsia"/>
                <w:b/>
                <w:bCs/>
                <w:sz w:val="24"/>
                <w:szCs w:val="24"/>
              </w:rPr>
              <w:t>：</w:t>
            </w:r>
          </w:p>
          <w:p w14:paraId="7B3BD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 目前公司采用金刚石散热片制作的技术路线和工艺是哪个？是MPCVD方案吗？为什么选用这个方案？能否对比一下其他金刚石散热技术方案的优劣势？</w:t>
            </w:r>
          </w:p>
          <w:p w14:paraId="79A22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司控股子公司浙江桦茂科技有限公司（以下简称“桦茂科技”）选择微波等离子化学气相沉积法（MPCVD）作为核心生产工艺，系结合行业技术迭代趋势、产品差异化竞争布局及下游高端市场未来需求综合研判的结果，核心考量因素如下：</w:t>
            </w:r>
          </w:p>
          <w:p w14:paraId="22A80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工艺技术先进，产品品质与绿色环保优势显著。相较于行业传统的高温高压法（HTHP），MPCVD是目前行业内制备高品质金刚石的主流优选技术路线。该工艺采用高纯甲烷、氢气作为碳源，生产全过程无需添加金属催化剂，从根源上规避了金属杂质残留问题，可有效提升金刚石成品的纯度、平整度与一致性，实现产品质量、生长规格、薄膜面积的精细化可控。同时，工艺生产过程无重金属污染、固废废液排放少，生产模式更为绿色低碳、合规环保。</w:t>
            </w:r>
          </w:p>
          <w:p w14:paraId="4DE17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突破产能规格瓶颈，构建差异化竞争壁垒。传统HTHP工艺受高压设备腔体、承压工艺等固有技术缺陷限制，产品规格存在明显上限。而MPCVD工艺彻底突破了传统工艺的尺寸桎梏，可稳定生产大规格金刚石产品，能够精准错位传统小克拉培育钻石市场，助力公司形成独特的产品竞争优势与市场差异化布局。</w:t>
            </w:r>
          </w:p>
          <w:p w14:paraId="37E52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第三，适配高端下游赛道，打开长期成长空间。从行业发展趋势及下游应用场景来看，MPCVD工艺制备的高品质金刚石，凭借高纯度、高导热、高稳定性、低缺陷等优异性能。</w:t>
            </w:r>
          </w:p>
          <w:p w14:paraId="2BD26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当然，基于目前MPCVD方案整体技术的先进性，目前其生产成本也较高，这是一个比较大的劣势。</w:t>
            </w:r>
          </w:p>
          <w:p w14:paraId="72B862CA">
            <w:pPr>
              <w:rPr>
                <w:rFonts w:hint="eastAsia" w:ascii="宋体" w:hAnsi="宋体" w:eastAsia="宋体" w:cs="宋体"/>
                <w:b w:val="0"/>
                <w:bCs w:val="0"/>
                <w:sz w:val="24"/>
                <w:szCs w:val="24"/>
              </w:rPr>
            </w:pPr>
          </w:p>
          <w:p w14:paraId="450A81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 目前公司金刚石培育这块的良率是多少？以及功能性金刚石散热良品率是多少？</w:t>
            </w:r>
          </w:p>
          <w:p w14:paraId="06878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根据桦茂科技目前MPCVD生产工艺体系与标准化生产管控流程来看，目前培育钻石良率保持在80%左右，功能性金刚石良率在90%左右。</w:t>
            </w:r>
          </w:p>
          <w:p w14:paraId="7D1DF5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highlight w:val="none"/>
                <w:lang w:val="en-US" w:eastAsia="zh-CN"/>
              </w:rPr>
            </w:pPr>
          </w:p>
          <w:p w14:paraId="77D3C0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 针对金刚石散热片贴合AI芯片这个贴合的难度有多大？难点在哪里？</w:t>
            </w:r>
          </w:p>
          <w:p w14:paraId="46E3A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目前行业发展来看，金刚石散热片贴合AI芯片这个贴合的难度还是非常高的，相关的技术和工艺也极为复杂，从目前来看主要痛点存在以下几个方面：首先是材料适配性壁垒突出，金刚石与芯片表面的硅、氮化镓等材料几乎“零互溶”，无法像常规金属那样自然润湿或形成化学键，贴合不完美将直接摧毁掉金刚石本身的导热优势，使得其整体的散热效果大打折扣；其次是它对超精密加工以及表面平整度也非常高，为实现无缝衔接金刚石表面的粗糙度（Ra）必须控制在1nm以下（单晶甚至要求在Ra0.5nm以下），这对加工设备、工艺管控等都提出了很高的要求；最后是热应力设计难度大，金刚石的热膨胀系数与硅芯片等基材差异显著，如何在保持高导热的同时，设计出能缓冲热应力的中间层架构也是一个巨大的挑战。</w:t>
            </w:r>
          </w:p>
          <w:p w14:paraId="080DE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p>
          <w:p w14:paraId="285BD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4</w:t>
            </w:r>
            <w:r>
              <w:rPr>
                <w:rFonts w:hint="eastAsia" w:ascii="宋体" w:hAnsi="宋体" w:eastAsia="宋体" w:cs="宋体"/>
                <w:b w:val="0"/>
                <w:bCs w:val="0"/>
                <w:sz w:val="24"/>
                <w:szCs w:val="32"/>
              </w:rPr>
              <w:t>.热电主业可提供低成本蒸汽、电力配套支撑金刚石产线，能源协同能降低散热片单位生产成本多少？</w:t>
            </w:r>
          </w:p>
          <w:p w14:paraId="5C07B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依据现行电力行业法律法规及监管制度，公司热电主业所发电量无法直接供给桦茂科技用于金刚石项目生产所需电力。</w:t>
            </w:r>
          </w:p>
          <w:p w14:paraId="10888984">
            <w:pPr>
              <w:rPr>
                <w:rFonts w:hint="default"/>
                <w:b w:val="0"/>
                <w:bCs w:val="0"/>
                <w:lang w:val="en-US" w:eastAsia="zh-CN"/>
              </w:rPr>
            </w:pPr>
          </w:p>
          <w:p w14:paraId="383343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5</w:t>
            </w:r>
            <w:r>
              <w:rPr>
                <w:rFonts w:hint="eastAsia" w:ascii="宋体" w:hAnsi="宋体" w:eastAsia="宋体" w:cs="宋体"/>
                <w:b w:val="0"/>
                <w:bCs w:val="0"/>
                <w:sz w:val="24"/>
                <w:szCs w:val="32"/>
              </w:rPr>
              <w:t>.海外Element Six、Coherent垄断高端金刚石散热市场，对比同</w:t>
            </w:r>
            <w:r>
              <w:rPr>
                <w:rFonts w:hint="eastAsia" w:ascii="宋体" w:hAnsi="宋体" w:eastAsia="宋体" w:cs="宋体"/>
                <w:b w:val="0"/>
                <w:bCs w:val="0"/>
                <w:sz w:val="24"/>
                <w:szCs w:val="32"/>
                <w:lang w:val="en-US" w:eastAsia="zh-CN"/>
              </w:rPr>
              <w:t>行</w:t>
            </w:r>
            <w:r>
              <w:rPr>
                <w:rFonts w:hint="eastAsia" w:ascii="宋体" w:hAnsi="宋体" w:eastAsia="宋体" w:cs="宋体"/>
                <w:b w:val="0"/>
                <w:bCs w:val="0"/>
                <w:sz w:val="24"/>
                <w:szCs w:val="32"/>
              </w:rPr>
              <w:t>业，公司在设备自研、能源成本、良率、交付周期四大维度差异化竞争优势是什么？目前是否已对接哪些算力、功率芯片客户，认证进度与同业相比快慢如何？</w:t>
            </w:r>
          </w:p>
          <w:p w14:paraId="2D520A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b w:val="0"/>
                <w:bCs w:val="0"/>
                <w:kern w:val="0"/>
                <w:sz w:val="24"/>
                <w:szCs w:val="24"/>
                <w:lang w:val="en-US" w:eastAsia="zh-CN" w:bidi="ar"/>
              </w:rPr>
            </w:pPr>
            <w:r>
              <w:rPr>
                <w:rStyle w:val="8"/>
                <w:rFonts w:ascii="宋体" w:hAnsi="宋体" w:eastAsia="宋体" w:cs="宋体"/>
                <w:b w:val="0"/>
                <w:bCs w:val="0"/>
                <w:kern w:val="0"/>
                <w:sz w:val="24"/>
                <w:szCs w:val="24"/>
                <w:lang w:val="en-US" w:eastAsia="zh-CN" w:bidi="ar"/>
              </w:rPr>
              <w:t>一、</w:t>
            </w:r>
            <w:r>
              <w:rPr>
                <w:rStyle w:val="8"/>
                <w:rFonts w:hint="eastAsia" w:ascii="宋体" w:hAnsi="宋体" w:eastAsia="宋体" w:cs="宋体"/>
                <w:b w:val="0"/>
                <w:bCs w:val="0"/>
                <w:kern w:val="0"/>
                <w:sz w:val="24"/>
                <w:szCs w:val="24"/>
                <w:lang w:val="en-US" w:eastAsia="zh-CN" w:bidi="ar"/>
              </w:rPr>
              <w:t>全产业链一体化壁垒。公司是国内少数同时具备MPCVD设备自研—单晶沉积生长—精密后加工完整闭环的企业。通过多年技术积累，</w:t>
            </w:r>
            <w:r>
              <w:rPr>
                <w:rFonts w:ascii="宋体" w:hAnsi="宋体" w:eastAsia="宋体" w:cs="宋体"/>
                <w:b w:val="0"/>
                <w:bCs w:val="0"/>
                <w:kern w:val="0"/>
                <w:sz w:val="24"/>
                <w:szCs w:val="24"/>
                <w:lang w:val="en-US" w:eastAsia="zh-CN" w:bidi="ar"/>
              </w:rPr>
              <w:t>公司可根据半导体金刚石、培育钻石的不同生产需求，灵活定制设备微波功率、腔型结构等核心参数，既能适配半导体高精度掺杂工艺，也可满足大尺寸金刚石生长需求。</w:t>
            </w:r>
          </w:p>
          <w:p w14:paraId="48B428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b w:val="0"/>
                <w:bCs w:val="0"/>
                <w:kern w:val="0"/>
                <w:sz w:val="24"/>
                <w:szCs w:val="24"/>
                <w:lang w:val="en-US" w:eastAsia="zh-CN" w:bidi="ar"/>
              </w:rPr>
            </w:pPr>
            <w:r>
              <w:rPr>
                <w:rStyle w:val="8"/>
                <w:rFonts w:ascii="宋体" w:hAnsi="宋体" w:eastAsia="宋体" w:cs="宋体"/>
                <w:b w:val="0"/>
                <w:bCs w:val="0"/>
                <w:kern w:val="0"/>
                <w:sz w:val="24"/>
                <w:szCs w:val="24"/>
                <w:lang w:val="en-US" w:eastAsia="zh-CN" w:bidi="ar"/>
              </w:rPr>
              <w:t>二、双赛道协同布局，</w:t>
            </w:r>
            <w:r>
              <w:rPr>
                <w:rStyle w:val="8"/>
                <w:rFonts w:hint="eastAsia" w:ascii="宋体" w:hAnsi="宋体" w:eastAsia="宋体" w:cs="宋体"/>
                <w:b w:val="0"/>
                <w:bCs w:val="0"/>
                <w:kern w:val="0"/>
                <w:sz w:val="24"/>
                <w:szCs w:val="24"/>
                <w:lang w:val="en-US" w:eastAsia="zh-CN" w:bidi="ar"/>
              </w:rPr>
              <w:t>提高</w:t>
            </w:r>
            <w:r>
              <w:rPr>
                <w:rStyle w:val="8"/>
                <w:rFonts w:ascii="宋体" w:hAnsi="宋体" w:eastAsia="宋体" w:cs="宋体"/>
                <w:b w:val="0"/>
                <w:bCs w:val="0"/>
                <w:kern w:val="0"/>
                <w:sz w:val="24"/>
                <w:szCs w:val="24"/>
                <w:lang w:val="en-US" w:eastAsia="zh-CN" w:bidi="ar"/>
              </w:rPr>
              <w:t>抗风险能力</w:t>
            </w:r>
            <w:r>
              <w:rPr>
                <w:rStyle w:val="8"/>
                <w:rFonts w:hint="eastAsia" w:ascii="宋体" w:hAnsi="宋体" w:eastAsia="宋体" w:cs="宋体"/>
                <w:b w:val="0"/>
                <w:bCs w:val="0"/>
                <w:kern w:val="0"/>
                <w:sz w:val="24"/>
                <w:szCs w:val="24"/>
                <w:lang w:val="en-US" w:eastAsia="zh-CN" w:bidi="ar"/>
              </w:rPr>
              <w:t>。</w:t>
            </w:r>
            <w:r>
              <w:rPr>
                <w:rFonts w:ascii="宋体" w:hAnsi="宋体" w:eastAsia="宋体" w:cs="宋体"/>
                <w:b w:val="0"/>
                <w:bCs w:val="0"/>
                <w:kern w:val="0"/>
                <w:sz w:val="24"/>
                <w:szCs w:val="24"/>
                <w:lang w:val="en-US" w:eastAsia="zh-CN" w:bidi="ar"/>
              </w:rPr>
              <w:t>公司差异化布局工业高端制造与消费珠宝双大赛道，有效规避单一行业周期波动风险。工业端聚焦半导体金刚石热沉片产品。消费端布局培育钻石毛坯业务，面向主流珠宝品牌、首饰加工企业，切入高附加值的消费赛道。</w:t>
            </w:r>
          </w:p>
          <w:p w14:paraId="4683FA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b w:val="0"/>
                <w:bCs w:val="0"/>
                <w:sz w:val="24"/>
                <w:szCs w:val="24"/>
              </w:rPr>
            </w:pPr>
            <w:r>
              <w:rPr>
                <w:rStyle w:val="8"/>
                <w:rFonts w:ascii="宋体" w:hAnsi="宋体" w:eastAsia="宋体" w:cs="宋体"/>
                <w:b w:val="0"/>
                <w:bCs w:val="0"/>
                <w:kern w:val="0"/>
                <w:sz w:val="24"/>
                <w:szCs w:val="24"/>
                <w:lang w:val="en-US" w:eastAsia="zh-CN" w:bidi="ar"/>
              </w:rPr>
              <w:t>三、产品良率与性能指标行业领先</w:t>
            </w:r>
            <w:r>
              <w:rPr>
                <w:rStyle w:val="8"/>
                <w:rFonts w:hint="eastAsia" w:ascii="宋体" w:hAnsi="宋体" w:eastAsia="宋体" w:cs="宋体"/>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桦茂科技近年来累计投入了4000余万元的研发，积累了近百种生产工艺，</w:t>
            </w:r>
            <w:r>
              <w:rPr>
                <w:rFonts w:ascii="宋体" w:hAnsi="宋体" w:eastAsia="宋体" w:cs="宋体"/>
                <w:b w:val="0"/>
                <w:bCs w:val="0"/>
                <w:kern w:val="0"/>
                <w:sz w:val="24"/>
                <w:szCs w:val="24"/>
                <w:lang w:val="en-US" w:eastAsia="zh-CN" w:bidi="ar"/>
              </w:rPr>
              <w:t>经过长期工艺迭代与产线优化，</w:t>
            </w:r>
            <w:r>
              <w:rPr>
                <w:rFonts w:hint="eastAsia" w:ascii="宋体" w:hAnsi="宋体" w:eastAsia="宋体" w:cs="宋体"/>
                <w:b w:val="0"/>
                <w:bCs w:val="0"/>
                <w:kern w:val="0"/>
                <w:sz w:val="24"/>
                <w:szCs w:val="24"/>
                <w:lang w:val="en-US" w:eastAsia="zh-CN" w:bidi="ar"/>
              </w:rPr>
              <w:t>目前产品在工业端</w:t>
            </w:r>
            <w:r>
              <w:rPr>
                <w:rFonts w:ascii="宋体" w:hAnsi="宋体" w:eastAsia="宋体" w:cs="宋体"/>
                <w:b w:val="0"/>
                <w:bCs w:val="0"/>
                <w:kern w:val="0"/>
                <w:sz w:val="24"/>
                <w:szCs w:val="24"/>
                <w:lang w:val="en-US" w:eastAsia="zh-CN" w:bidi="ar"/>
              </w:rPr>
              <w:t>领域，</w:t>
            </w:r>
            <w:r>
              <w:rPr>
                <w:rFonts w:hint="eastAsia" w:ascii="宋体" w:hAnsi="宋体" w:eastAsia="宋体" w:cs="宋体"/>
                <w:b w:val="0"/>
                <w:bCs w:val="0"/>
                <w:kern w:val="0"/>
                <w:sz w:val="24"/>
                <w:szCs w:val="24"/>
                <w:lang w:val="en-US" w:eastAsia="zh-CN" w:bidi="ar"/>
              </w:rPr>
              <w:t>桦茂科技</w:t>
            </w:r>
            <w:r>
              <w:rPr>
                <w:rFonts w:ascii="宋体" w:hAnsi="宋体" w:eastAsia="宋体" w:cs="宋体"/>
                <w:b w:val="0"/>
                <w:bCs w:val="0"/>
                <w:kern w:val="0"/>
                <w:sz w:val="24"/>
                <w:szCs w:val="24"/>
                <w:lang w:val="en-US" w:eastAsia="zh-CN" w:bidi="ar"/>
              </w:rPr>
              <w:t>良品率稳定维持在90%左右，已实现2-4英寸大尺寸多晶热沉片稳定量产。在培育钻石领域，毛坯产品综合良品率约80%，可稳定批量产出G色及以上、VS-VS1净度的中高端产品，同时高端产线可实现DEF色、VVS高净度高品质单晶钻石量产，产品矩阵覆盖中高端市场，市场适配性极强。</w:t>
            </w:r>
          </w:p>
          <w:p w14:paraId="49DCAD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sz w:val="24"/>
                <w:szCs w:val="24"/>
                <w:lang w:val="en-US"/>
              </w:rPr>
            </w:pPr>
            <w:r>
              <w:rPr>
                <w:rStyle w:val="8"/>
                <w:rFonts w:ascii="宋体" w:hAnsi="宋体" w:eastAsia="宋体" w:cs="宋体"/>
                <w:b w:val="0"/>
                <w:bCs w:val="0"/>
                <w:kern w:val="0"/>
                <w:sz w:val="24"/>
                <w:szCs w:val="24"/>
                <w:lang w:val="en-US" w:eastAsia="zh-CN" w:bidi="ar"/>
              </w:rPr>
              <w:t>四、专属高压能源配套，构筑行业独有成本与品质双重优势</w:t>
            </w:r>
            <w:r>
              <w:rPr>
                <w:rStyle w:val="8"/>
                <w:rFonts w:hint="eastAsia" w:ascii="宋体" w:hAnsi="宋体" w:eastAsia="宋体" w:cs="宋体"/>
                <w:b w:val="0"/>
                <w:bCs w:val="0"/>
                <w:kern w:val="0"/>
                <w:sz w:val="24"/>
                <w:szCs w:val="24"/>
                <w:lang w:val="en-US" w:eastAsia="zh-CN" w:bidi="ar"/>
              </w:rPr>
              <w:t>。</w:t>
            </w:r>
            <w:r>
              <w:rPr>
                <w:rFonts w:ascii="宋体" w:hAnsi="宋体" w:eastAsia="宋体" w:cs="宋体"/>
                <w:b w:val="0"/>
                <w:bCs w:val="0"/>
                <w:kern w:val="0"/>
                <w:sz w:val="24"/>
                <w:szCs w:val="24"/>
                <w:lang w:val="en-US" w:eastAsia="zh-CN" w:bidi="ar"/>
              </w:rPr>
              <w:t>作为行业少数配套自建110kV专用变电站的金刚石生产企业，</w:t>
            </w:r>
            <w:r>
              <w:rPr>
                <w:rFonts w:hint="eastAsia" w:ascii="宋体" w:hAnsi="宋体" w:eastAsia="宋体" w:cs="宋体"/>
                <w:b w:val="0"/>
                <w:bCs w:val="0"/>
                <w:kern w:val="0"/>
                <w:sz w:val="24"/>
                <w:szCs w:val="24"/>
                <w:lang w:val="en-US" w:eastAsia="zh-CN" w:bidi="ar"/>
              </w:rPr>
              <w:t>桦茂科技</w:t>
            </w:r>
            <w:r>
              <w:rPr>
                <w:rFonts w:ascii="宋体" w:hAnsi="宋体" w:eastAsia="宋体" w:cs="宋体"/>
                <w:b w:val="0"/>
                <w:bCs w:val="0"/>
                <w:kern w:val="0"/>
                <w:sz w:val="24"/>
                <w:szCs w:val="24"/>
                <w:lang w:val="en-US" w:eastAsia="zh-CN" w:bidi="ar"/>
              </w:rPr>
              <w:t>具备独特的能源配套壁垒优势。MPCVD设备对供电电压稳定性、精度要求极高，自建专属高压供电系统可精准保障设备运行电压稳定，为大尺寸单晶金刚石均匀沉积提供核心条件，大幅降低产品瑕疵率、提升成品品质与良品率</w:t>
            </w:r>
            <w:r>
              <w:rPr>
                <w:rFonts w:hint="eastAsia" w:ascii="宋体" w:hAnsi="宋体" w:eastAsia="宋体" w:cs="宋体"/>
                <w:b w:val="0"/>
                <w:bCs w:val="0"/>
                <w:kern w:val="0"/>
                <w:sz w:val="24"/>
                <w:szCs w:val="24"/>
                <w:lang w:val="en-US" w:eastAsia="zh-CN" w:bidi="ar"/>
              </w:rPr>
              <w:t>，随着良品率的提高也能从侧面降低产品的成本。</w:t>
            </w:r>
          </w:p>
          <w:p w14:paraId="772A3A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b w:val="0"/>
                <w:bCs w:val="0"/>
                <w:sz w:val="24"/>
                <w:szCs w:val="24"/>
              </w:rPr>
            </w:pPr>
            <w:r>
              <w:rPr>
                <w:rStyle w:val="8"/>
                <w:rFonts w:ascii="宋体" w:hAnsi="宋体" w:eastAsia="宋体" w:cs="宋体"/>
                <w:b w:val="0"/>
                <w:bCs w:val="0"/>
                <w:kern w:val="0"/>
                <w:sz w:val="24"/>
                <w:szCs w:val="24"/>
                <w:lang w:val="en-US" w:eastAsia="zh-CN" w:bidi="ar"/>
              </w:rPr>
              <w:t>五、绿色低碳工艺差异化，契合高端供应链准入标准</w:t>
            </w:r>
            <w:r>
              <w:rPr>
                <w:rStyle w:val="8"/>
                <w:rFonts w:hint="eastAsia" w:ascii="宋体" w:hAnsi="宋体" w:eastAsia="宋体" w:cs="宋体"/>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桦茂科技</w:t>
            </w:r>
            <w:r>
              <w:rPr>
                <w:rFonts w:ascii="宋体" w:hAnsi="宋体" w:eastAsia="宋体" w:cs="宋体"/>
                <w:b w:val="0"/>
                <w:bCs w:val="0"/>
                <w:kern w:val="0"/>
                <w:sz w:val="24"/>
                <w:szCs w:val="24"/>
                <w:lang w:val="en-US" w:eastAsia="zh-CN" w:bidi="ar"/>
              </w:rPr>
              <w:t>采用MPCVD微波气相沉积工艺路线，相较于传统高温高压HPHT工艺具备显著的绿色环保优势。该工艺无需金属触媒参与生产，从根源上杜绝金属触媒污染，无重金属废弃物产生，全程气相合成、污染物近乎零排放，生产工艺绿色、清洁、低碳。</w:t>
            </w:r>
          </w:p>
          <w:p w14:paraId="03A24661">
            <w:pPr>
              <w:jc w:val="both"/>
              <w:rPr>
                <w:rFonts w:hint="default"/>
                <w:b w:val="0"/>
                <w:bCs w:val="0"/>
                <w:lang w:val="en-US" w:eastAsia="zh-CN"/>
              </w:rPr>
            </w:pPr>
          </w:p>
          <w:p w14:paraId="737320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6</w:t>
            </w:r>
            <w:r>
              <w:rPr>
                <w:rFonts w:hint="eastAsia" w:ascii="宋体" w:hAnsi="宋体" w:eastAsia="宋体" w:cs="宋体"/>
                <w:b w:val="0"/>
                <w:bCs w:val="0"/>
                <w:sz w:val="24"/>
                <w:szCs w:val="32"/>
              </w:rPr>
              <w:t>.行业2026年集中扩产MPCVD设备，未来2–3年是否会出现产能过剩、价格战；公司如何锁定长期订单、绑定下游客户规避周期风险？</w:t>
            </w:r>
          </w:p>
          <w:p w14:paraId="08D09E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虽然目前国内头部企业均在集中规划MPCVD设备扩产，但</w:t>
            </w:r>
            <w:r>
              <w:rPr>
                <w:rFonts w:hint="eastAsia" w:ascii="宋体" w:hAnsi="宋体" w:eastAsia="宋体" w:cs="宋体"/>
                <w:b w:val="0"/>
                <w:bCs w:val="0"/>
                <w:sz w:val="24"/>
                <w:szCs w:val="32"/>
                <w:lang w:val="en-US" w:eastAsia="zh-CN"/>
              </w:rPr>
              <w:t>该</w:t>
            </w:r>
            <w:r>
              <w:rPr>
                <w:rFonts w:hint="eastAsia" w:ascii="宋体" w:hAnsi="宋体" w:eastAsia="宋体" w:cs="宋体"/>
                <w:b w:val="0"/>
                <w:bCs w:val="0"/>
                <w:sz w:val="24"/>
                <w:szCs w:val="32"/>
              </w:rPr>
              <w:t>行业具备显著的长周期、高门槛、慢兑现特征，短期产能无法快速释放。从实际投产节奏来看，MPCVD属于新兴技术路线，行业成熟工艺体系、标准化人才储备相对匮乏，单批次产能落地周期极长。以</w:t>
            </w:r>
            <w:r>
              <w:rPr>
                <w:rFonts w:hint="eastAsia" w:ascii="宋体" w:hAnsi="宋体" w:eastAsia="宋体" w:cs="宋体"/>
                <w:b w:val="0"/>
                <w:bCs w:val="0"/>
                <w:sz w:val="24"/>
                <w:szCs w:val="32"/>
                <w:lang w:val="en-US" w:eastAsia="zh-CN"/>
              </w:rPr>
              <w:t>桦茂科技</w:t>
            </w:r>
            <w:r>
              <w:rPr>
                <w:rFonts w:hint="eastAsia" w:ascii="宋体" w:hAnsi="宋体" w:eastAsia="宋体" w:cs="宋体"/>
                <w:b w:val="0"/>
                <w:bCs w:val="0"/>
                <w:sz w:val="24"/>
                <w:szCs w:val="32"/>
              </w:rPr>
              <w:t>扩产经验为例，从设备定制采购、交付、产线搭建，到设备调试、小批量试产、工艺磨合、良率爬坡，全流程周期普遍在一年以上；</w:t>
            </w:r>
            <w:r>
              <w:rPr>
                <w:rFonts w:hint="eastAsia" w:ascii="宋体" w:hAnsi="宋体" w:eastAsia="宋体" w:cs="宋体"/>
                <w:b w:val="0"/>
                <w:bCs w:val="0"/>
                <w:sz w:val="24"/>
                <w:szCs w:val="32"/>
                <w:lang w:val="en-US" w:eastAsia="zh-CN"/>
              </w:rPr>
              <w:t>此外，</w:t>
            </w:r>
            <w:r>
              <w:rPr>
                <w:rFonts w:hint="eastAsia" w:ascii="宋体" w:hAnsi="宋体" w:eastAsia="宋体" w:cs="宋体"/>
                <w:b w:val="0"/>
                <w:bCs w:val="0"/>
                <w:sz w:val="24"/>
                <w:szCs w:val="32"/>
              </w:rPr>
              <w:t>叠加金刚石本身的生长制备周期，一台新增设备从投产到产出稳定合格、可批量出货的产品，需要经历长期的人机磨合、参数迭代与工艺优化。</w:t>
            </w:r>
          </w:p>
          <w:p w14:paraId="7A97C9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sz w:val="24"/>
                <w:szCs w:val="24"/>
              </w:rPr>
            </w:pPr>
            <w:r>
              <w:rPr>
                <w:rFonts w:hint="eastAsia" w:ascii="宋体" w:hAnsi="宋体" w:eastAsia="宋体" w:cs="宋体"/>
                <w:b w:val="0"/>
                <w:bCs w:val="0"/>
                <w:sz w:val="24"/>
                <w:szCs w:val="32"/>
                <w:lang w:val="en-US" w:eastAsia="zh-CN"/>
              </w:rPr>
              <w:t>因此，</w:t>
            </w:r>
            <w:r>
              <w:rPr>
                <w:rFonts w:hint="eastAsia" w:ascii="宋体" w:hAnsi="宋体" w:eastAsia="宋体" w:cs="宋体"/>
                <w:b w:val="0"/>
                <w:bCs w:val="0"/>
                <w:sz w:val="24"/>
                <w:szCs w:val="32"/>
              </w:rPr>
              <w:t>基于行业客观扩产周期判断，2026年行业集中规划的新增产能，大概率要到2027年底甚至2028年才能逐步实现稳定释放与有效量产。因此结合下游需求持续扩容+产能释放</w:t>
            </w:r>
            <w:r>
              <w:rPr>
                <w:rFonts w:hint="eastAsia" w:ascii="宋体" w:hAnsi="宋体" w:eastAsia="宋体" w:cs="宋体"/>
                <w:sz w:val="24"/>
                <w:szCs w:val="32"/>
              </w:rPr>
              <w:t>周期长+工艺爬坡难度大三大核心因素，未来两到三年内，行业基本不存在产能过剩的情况，也难以出现大规模价格战。</w:t>
            </w:r>
          </w:p>
        </w:tc>
      </w:tr>
      <w:tr w14:paraId="2DAF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11D84889">
            <w:pPr>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风险提示</w:t>
            </w:r>
          </w:p>
        </w:tc>
        <w:tc>
          <w:tcPr>
            <w:tcW w:w="6519" w:type="dxa"/>
            <w:vAlign w:val="center"/>
          </w:tcPr>
          <w:p w14:paraId="2BD6BD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公司严格遵守信息披露相关规则与投资者进行交流，如涉及公司战略规划等意向性目标、对行业展望等讨论，不视为公司或管理层对公司业绩的保证或承诺，敬请广大投资者注意投资风险。</w:t>
            </w:r>
          </w:p>
        </w:tc>
      </w:tr>
      <w:tr w14:paraId="4858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6BB33F11">
            <w:pPr>
              <w:jc w:val="center"/>
              <w:rPr>
                <w:rFonts w:hint="eastAsia" w:asciiTheme="minorEastAsia" w:hAnsiTheme="minorEastAsia"/>
                <w:b/>
                <w:sz w:val="24"/>
                <w:szCs w:val="24"/>
              </w:rPr>
            </w:pPr>
            <w:r>
              <w:rPr>
                <w:rFonts w:hint="eastAsia" w:asciiTheme="minorEastAsia" w:hAnsiTheme="minorEastAsia"/>
                <w:b/>
                <w:sz w:val="24"/>
                <w:szCs w:val="24"/>
              </w:rPr>
              <w:t>是否涉及应当披露的重大信息</w:t>
            </w:r>
          </w:p>
        </w:tc>
        <w:tc>
          <w:tcPr>
            <w:tcW w:w="6519" w:type="dxa"/>
            <w:vAlign w:val="center"/>
          </w:tcPr>
          <w:p w14:paraId="2576C877">
            <w:pPr>
              <w:rPr>
                <w:rFonts w:hint="eastAsia" w:asciiTheme="minorEastAsia" w:hAnsiTheme="minorEastAsia"/>
                <w:sz w:val="24"/>
                <w:szCs w:val="24"/>
              </w:rPr>
            </w:pPr>
            <w:r>
              <w:rPr>
                <w:rFonts w:hint="eastAsia" w:asciiTheme="minorEastAsia" w:hAnsiTheme="minorEastAsia"/>
                <w:sz w:val="24"/>
                <w:szCs w:val="24"/>
              </w:rPr>
              <w:t>无</w:t>
            </w:r>
          </w:p>
        </w:tc>
      </w:tr>
      <w:tr w14:paraId="5E1E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706532BC">
            <w:pPr>
              <w:jc w:val="center"/>
              <w:rPr>
                <w:rFonts w:asciiTheme="minorEastAsia" w:hAnsiTheme="minorEastAsia"/>
                <w:b/>
                <w:sz w:val="24"/>
                <w:szCs w:val="24"/>
              </w:rPr>
            </w:pPr>
            <w:r>
              <w:rPr>
                <w:rFonts w:hint="eastAsia" w:asciiTheme="minorEastAsia" w:hAnsiTheme="minorEastAsia"/>
                <w:b/>
                <w:sz w:val="24"/>
                <w:szCs w:val="24"/>
              </w:rPr>
              <w:t>附件清单（如有）</w:t>
            </w:r>
          </w:p>
        </w:tc>
        <w:tc>
          <w:tcPr>
            <w:tcW w:w="6519" w:type="dxa"/>
          </w:tcPr>
          <w:p w14:paraId="0026D11A">
            <w:pPr>
              <w:spacing w:before="156" w:beforeLines="50" w:after="156" w:afterLines="50"/>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无</w:t>
            </w:r>
          </w:p>
        </w:tc>
      </w:tr>
      <w:tr w14:paraId="29F7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vAlign w:val="center"/>
          </w:tcPr>
          <w:p w14:paraId="3A0D12D6">
            <w:pPr>
              <w:jc w:val="center"/>
              <w:rPr>
                <w:rFonts w:asciiTheme="minorEastAsia" w:hAnsiTheme="minorEastAsia"/>
                <w:b/>
                <w:sz w:val="24"/>
                <w:szCs w:val="24"/>
              </w:rPr>
            </w:pPr>
            <w:r>
              <w:rPr>
                <w:rFonts w:hint="eastAsia" w:asciiTheme="minorEastAsia" w:hAnsiTheme="minorEastAsia"/>
                <w:b/>
                <w:sz w:val="24"/>
                <w:szCs w:val="24"/>
              </w:rPr>
              <w:t>日期</w:t>
            </w:r>
          </w:p>
        </w:tc>
        <w:tc>
          <w:tcPr>
            <w:tcW w:w="6519" w:type="dxa"/>
          </w:tcPr>
          <w:p w14:paraId="5F59E7A2">
            <w:pPr>
              <w:spacing w:before="156" w:beforeLines="50" w:after="156" w:afterLines="50"/>
              <w:jc w:val="left"/>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3</w:t>
            </w:r>
            <w:r>
              <w:rPr>
                <w:rFonts w:hint="eastAsia" w:asciiTheme="minorEastAsia" w:hAnsiTheme="minorEastAsia"/>
                <w:sz w:val="24"/>
                <w:szCs w:val="24"/>
              </w:rPr>
              <w:t>日</w:t>
            </w:r>
          </w:p>
        </w:tc>
      </w:tr>
    </w:tbl>
    <w:p w14:paraId="1E0BC3B3">
      <w:pPr>
        <w:jc w:val="center"/>
        <w:rPr>
          <w:rFonts w:asciiTheme="minorEastAsia" w:hAnsi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3F"/>
    <w:rsid w:val="00005702"/>
    <w:rsid w:val="00006482"/>
    <w:rsid w:val="00015BC7"/>
    <w:rsid w:val="000240B9"/>
    <w:rsid w:val="00026F9B"/>
    <w:rsid w:val="0004356C"/>
    <w:rsid w:val="00043683"/>
    <w:rsid w:val="00050EE7"/>
    <w:rsid w:val="000734CF"/>
    <w:rsid w:val="00073CF5"/>
    <w:rsid w:val="00074F9B"/>
    <w:rsid w:val="00076525"/>
    <w:rsid w:val="00076C3D"/>
    <w:rsid w:val="00077A55"/>
    <w:rsid w:val="00087CC1"/>
    <w:rsid w:val="000A5E8A"/>
    <w:rsid w:val="000B4414"/>
    <w:rsid w:val="000C2196"/>
    <w:rsid w:val="000C2299"/>
    <w:rsid w:val="000D7203"/>
    <w:rsid w:val="000F29DA"/>
    <w:rsid w:val="000F34CC"/>
    <w:rsid w:val="000F4DFE"/>
    <w:rsid w:val="000F75DE"/>
    <w:rsid w:val="001062DA"/>
    <w:rsid w:val="00111124"/>
    <w:rsid w:val="0011691A"/>
    <w:rsid w:val="0012457E"/>
    <w:rsid w:val="00136B6F"/>
    <w:rsid w:val="00150B0E"/>
    <w:rsid w:val="00151169"/>
    <w:rsid w:val="0015497A"/>
    <w:rsid w:val="00155A02"/>
    <w:rsid w:val="00156049"/>
    <w:rsid w:val="001631AB"/>
    <w:rsid w:val="00175949"/>
    <w:rsid w:val="00176DFC"/>
    <w:rsid w:val="001911F9"/>
    <w:rsid w:val="00197304"/>
    <w:rsid w:val="001A02D5"/>
    <w:rsid w:val="001A1CB0"/>
    <w:rsid w:val="001A2A5E"/>
    <w:rsid w:val="001A41B4"/>
    <w:rsid w:val="001B08EB"/>
    <w:rsid w:val="001B24CE"/>
    <w:rsid w:val="001B3DC1"/>
    <w:rsid w:val="001D6034"/>
    <w:rsid w:val="001E1E69"/>
    <w:rsid w:val="001E44EE"/>
    <w:rsid w:val="001E6709"/>
    <w:rsid w:val="001F1242"/>
    <w:rsid w:val="001F15ED"/>
    <w:rsid w:val="00207F85"/>
    <w:rsid w:val="002101B5"/>
    <w:rsid w:val="0021209C"/>
    <w:rsid w:val="00216661"/>
    <w:rsid w:val="002248A8"/>
    <w:rsid w:val="00231C58"/>
    <w:rsid w:val="002357EE"/>
    <w:rsid w:val="002445EE"/>
    <w:rsid w:val="00244AF3"/>
    <w:rsid w:val="0024743E"/>
    <w:rsid w:val="0027001C"/>
    <w:rsid w:val="00273FAB"/>
    <w:rsid w:val="002745A5"/>
    <w:rsid w:val="002906CA"/>
    <w:rsid w:val="002929EB"/>
    <w:rsid w:val="002B354C"/>
    <w:rsid w:val="002C12FF"/>
    <w:rsid w:val="002D08EF"/>
    <w:rsid w:val="002D6935"/>
    <w:rsid w:val="002E5A9D"/>
    <w:rsid w:val="002E67AA"/>
    <w:rsid w:val="002E6CEA"/>
    <w:rsid w:val="002F2E13"/>
    <w:rsid w:val="00303E1F"/>
    <w:rsid w:val="0030505D"/>
    <w:rsid w:val="00307DC0"/>
    <w:rsid w:val="00312F74"/>
    <w:rsid w:val="00315285"/>
    <w:rsid w:val="00316ABF"/>
    <w:rsid w:val="003247C3"/>
    <w:rsid w:val="0032738D"/>
    <w:rsid w:val="0032777E"/>
    <w:rsid w:val="0033203B"/>
    <w:rsid w:val="00333C1F"/>
    <w:rsid w:val="003406B0"/>
    <w:rsid w:val="00352F87"/>
    <w:rsid w:val="003546C5"/>
    <w:rsid w:val="00354856"/>
    <w:rsid w:val="00354F89"/>
    <w:rsid w:val="00356429"/>
    <w:rsid w:val="00357858"/>
    <w:rsid w:val="0035792C"/>
    <w:rsid w:val="00361050"/>
    <w:rsid w:val="00367425"/>
    <w:rsid w:val="0038534C"/>
    <w:rsid w:val="00385CAE"/>
    <w:rsid w:val="00397931"/>
    <w:rsid w:val="003A2B3F"/>
    <w:rsid w:val="003B125D"/>
    <w:rsid w:val="003B4B6A"/>
    <w:rsid w:val="003D49EB"/>
    <w:rsid w:val="003D74C9"/>
    <w:rsid w:val="003D7F9E"/>
    <w:rsid w:val="003E64F0"/>
    <w:rsid w:val="003F29B0"/>
    <w:rsid w:val="003F35D0"/>
    <w:rsid w:val="004230D5"/>
    <w:rsid w:val="00424479"/>
    <w:rsid w:val="00424848"/>
    <w:rsid w:val="00432EF8"/>
    <w:rsid w:val="004378B2"/>
    <w:rsid w:val="004557D1"/>
    <w:rsid w:val="00456562"/>
    <w:rsid w:val="00463B34"/>
    <w:rsid w:val="004679DB"/>
    <w:rsid w:val="00474592"/>
    <w:rsid w:val="00475140"/>
    <w:rsid w:val="004879FC"/>
    <w:rsid w:val="00490308"/>
    <w:rsid w:val="004A29EB"/>
    <w:rsid w:val="004A4A93"/>
    <w:rsid w:val="004A4E66"/>
    <w:rsid w:val="004B3CD5"/>
    <w:rsid w:val="004C0A77"/>
    <w:rsid w:val="004C5485"/>
    <w:rsid w:val="004D2853"/>
    <w:rsid w:val="004E092C"/>
    <w:rsid w:val="004E2C09"/>
    <w:rsid w:val="004E2C37"/>
    <w:rsid w:val="004E310B"/>
    <w:rsid w:val="004F5DA9"/>
    <w:rsid w:val="00512AC4"/>
    <w:rsid w:val="00516709"/>
    <w:rsid w:val="0052206F"/>
    <w:rsid w:val="0053202A"/>
    <w:rsid w:val="005329E3"/>
    <w:rsid w:val="00536767"/>
    <w:rsid w:val="00537CD4"/>
    <w:rsid w:val="00540CC1"/>
    <w:rsid w:val="005457CF"/>
    <w:rsid w:val="005613C6"/>
    <w:rsid w:val="005640A2"/>
    <w:rsid w:val="005644B3"/>
    <w:rsid w:val="00564770"/>
    <w:rsid w:val="00567DE7"/>
    <w:rsid w:val="00575719"/>
    <w:rsid w:val="0057764B"/>
    <w:rsid w:val="00580F55"/>
    <w:rsid w:val="00592047"/>
    <w:rsid w:val="0059270B"/>
    <w:rsid w:val="00594220"/>
    <w:rsid w:val="005A1D92"/>
    <w:rsid w:val="005B05F6"/>
    <w:rsid w:val="005B68F6"/>
    <w:rsid w:val="005C0171"/>
    <w:rsid w:val="005C349C"/>
    <w:rsid w:val="005D1A1C"/>
    <w:rsid w:val="005D2607"/>
    <w:rsid w:val="005E6A87"/>
    <w:rsid w:val="005E7796"/>
    <w:rsid w:val="005F07F7"/>
    <w:rsid w:val="005F0943"/>
    <w:rsid w:val="005F1525"/>
    <w:rsid w:val="005F558C"/>
    <w:rsid w:val="005F728A"/>
    <w:rsid w:val="00614736"/>
    <w:rsid w:val="0064034E"/>
    <w:rsid w:val="006465C8"/>
    <w:rsid w:val="00650636"/>
    <w:rsid w:val="0065528B"/>
    <w:rsid w:val="006568DA"/>
    <w:rsid w:val="00671986"/>
    <w:rsid w:val="0067562A"/>
    <w:rsid w:val="00684E84"/>
    <w:rsid w:val="006A3344"/>
    <w:rsid w:val="006A3751"/>
    <w:rsid w:val="006A5E55"/>
    <w:rsid w:val="006A7299"/>
    <w:rsid w:val="006C4A1E"/>
    <w:rsid w:val="006D2779"/>
    <w:rsid w:val="006D68F8"/>
    <w:rsid w:val="006E35EC"/>
    <w:rsid w:val="006E689A"/>
    <w:rsid w:val="006F5444"/>
    <w:rsid w:val="00705E69"/>
    <w:rsid w:val="00720254"/>
    <w:rsid w:val="0074412D"/>
    <w:rsid w:val="007462E9"/>
    <w:rsid w:val="00755928"/>
    <w:rsid w:val="007571D3"/>
    <w:rsid w:val="00757CD0"/>
    <w:rsid w:val="00773226"/>
    <w:rsid w:val="00775973"/>
    <w:rsid w:val="00790598"/>
    <w:rsid w:val="00794386"/>
    <w:rsid w:val="0079460A"/>
    <w:rsid w:val="007A4E5D"/>
    <w:rsid w:val="007B07B7"/>
    <w:rsid w:val="007C43C4"/>
    <w:rsid w:val="007C6DD7"/>
    <w:rsid w:val="007D1EAA"/>
    <w:rsid w:val="007D6813"/>
    <w:rsid w:val="007E4446"/>
    <w:rsid w:val="00804D24"/>
    <w:rsid w:val="008139F5"/>
    <w:rsid w:val="008169DE"/>
    <w:rsid w:val="0082163F"/>
    <w:rsid w:val="00825368"/>
    <w:rsid w:val="008424AB"/>
    <w:rsid w:val="0084643B"/>
    <w:rsid w:val="008535FF"/>
    <w:rsid w:val="00862A82"/>
    <w:rsid w:val="00864453"/>
    <w:rsid w:val="00870F0E"/>
    <w:rsid w:val="00876CBF"/>
    <w:rsid w:val="00876E40"/>
    <w:rsid w:val="00894A54"/>
    <w:rsid w:val="008A1DDF"/>
    <w:rsid w:val="008A7787"/>
    <w:rsid w:val="008B4B67"/>
    <w:rsid w:val="008B67A9"/>
    <w:rsid w:val="008C29C1"/>
    <w:rsid w:val="008C4206"/>
    <w:rsid w:val="008D2295"/>
    <w:rsid w:val="008D4588"/>
    <w:rsid w:val="008D49BA"/>
    <w:rsid w:val="008D531B"/>
    <w:rsid w:val="008E3D60"/>
    <w:rsid w:val="008E4C8A"/>
    <w:rsid w:val="008E6179"/>
    <w:rsid w:val="008F2B41"/>
    <w:rsid w:val="008F3499"/>
    <w:rsid w:val="00904862"/>
    <w:rsid w:val="0091181B"/>
    <w:rsid w:val="00922143"/>
    <w:rsid w:val="009235F4"/>
    <w:rsid w:val="0092688B"/>
    <w:rsid w:val="00927C7B"/>
    <w:rsid w:val="00937F72"/>
    <w:rsid w:val="00944881"/>
    <w:rsid w:val="00950F32"/>
    <w:rsid w:val="00966C7E"/>
    <w:rsid w:val="0097195A"/>
    <w:rsid w:val="0097356C"/>
    <w:rsid w:val="00992B47"/>
    <w:rsid w:val="009B2EEE"/>
    <w:rsid w:val="009B3103"/>
    <w:rsid w:val="009C236F"/>
    <w:rsid w:val="009C5344"/>
    <w:rsid w:val="009C6A20"/>
    <w:rsid w:val="009C7751"/>
    <w:rsid w:val="009D0B07"/>
    <w:rsid w:val="009D10E8"/>
    <w:rsid w:val="009E3F5A"/>
    <w:rsid w:val="009E647B"/>
    <w:rsid w:val="009F3455"/>
    <w:rsid w:val="009F5C63"/>
    <w:rsid w:val="009F7710"/>
    <w:rsid w:val="00A0255F"/>
    <w:rsid w:val="00A029FC"/>
    <w:rsid w:val="00A0582E"/>
    <w:rsid w:val="00A130DA"/>
    <w:rsid w:val="00A25421"/>
    <w:rsid w:val="00A2553A"/>
    <w:rsid w:val="00A2588E"/>
    <w:rsid w:val="00A26DD3"/>
    <w:rsid w:val="00A411F3"/>
    <w:rsid w:val="00A4544C"/>
    <w:rsid w:val="00A51ECF"/>
    <w:rsid w:val="00A74F4F"/>
    <w:rsid w:val="00A751CD"/>
    <w:rsid w:val="00A75CFE"/>
    <w:rsid w:val="00A80FE0"/>
    <w:rsid w:val="00A84399"/>
    <w:rsid w:val="00A95AF5"/>
    <w:rsid w:val="00AA45B0"/>
    <w:rsid w:val="00AB1E4A"/>
    <w:rsid w:val="00AB5364"/>
    <w:rsid w:val="00AB667C"/>
    <w:rsid w:val="00AC1D53"/>
    <w:rsid w:val="00AE1EFA"/>
    <w:rsid w:val="00AF2EAF"/>
    <w:rsid w:val="00AF4561"/>
    <w:rsid w:val="00AF459C"/>
    <w:rsid w:val="00B428EB"/>
    <w:rsid w:val="00B57D82"/>
    <w:rsid w:val="00B609C1"/>
    <w:rsid w:val="00B6160C"/>
    <w:rsid w:val="00B64B6C"/>
    <w:rsid w:val="00B74774"/>
    <w:rsid w:val="00B750CE"/>
    <w:rsid w:val="00B80A01"/>
    <w:rsid w:val="00B8306D"/>
    <w:rsid w:val="00B8534A"/>
    <w:rsid w:val="00B97D02"/>
    <w:rsid w:val="00B97DCE"/>
    <w:rsid w:val="00BB3ECA"/>
    <w:rsid w:val="00BC4668"/>
    <w:rsid w:val="00BC46B3"/>
    <w:rsid w:val="00BD0836"/>
    <w:rsid w:val="00BD43FD"/>
    <w:rsid w:val="00BD6693"/>
    <w:rsid w:val="00BD7C88"/>
    <w:rsid w:val="00BE201C"/>
    <w:rsid w:val="00BE42A5"/>
    <w:rsid w:val="00C061D7"/>
    <w:rsid w:val="00C12866"/>
    <w:rsid w:val="00C15100"/>
    <w:rsid w:val="00C20C3E"/>
    <w:rsid w:val="00C26B13"/>
    <w:rsid w:val="00C27D00"/>
    <w:rsid w:val="00C32A3E"/>
    <w:rsid w:val="00C32A6C"/>
    <w:rsid w:val="00C417A1"/>
    <w:rsid w:val="00C45A9E"/>
    <w:rsid w:val="00C465E6"/>
    <w:rsid w:val="00C50BF7"/>
    <w:rsid w:val="00C56F34"/>
    <w:rsid w:val="00C577FB"/>
    <w:rsid w:val="00C841D9"/>
    <w:rsid w:val="00C877BF"/>
    <w:rsid w:val="00C87C47"/>
    <w:rsid w:val="00C91406"/>
    <w:rsid w:val="00C93CC3"/>
    <w:rsid w:val="00C9421E"/>
    <w:rsid w:val="00C94636"/>
    <w:rsid w:val="00CB56AD"/>
    <w:rsid w:val="00CB56E4"/>
    <w:rsid w:val="00CC6034"/>
    <w:rsid w:val="00CD7CDA"/>
    <w:rsid w:val="00CE257C"/>
    <w:rsid w:val="00CE5600"/>
    <w:rsid w:val="00CF1135"/>
    <w:rsid w:val="00D0301B"/>
    <w:rsid w:val="00D036C4"/>
    <w:rsid w:val="00D05091"/>
    <w:rsid w:val="00D054AF"/>
    <w:rsid w:val="00D055C6"/>
    <w:rsid w:val="00D06015"/>
    <w:rsid w:val="00D335DF"/>
    <w:rsid w:val="00D35554"/>
    <w:rsid w:val="00D3610A"/>
    <w:rsid w:val="00D37398"/>
    <w:rsid w:val="00D5133D"/>
    <w:rsid w:val="00D541BA"/>
    <w:rsid w:val="00D606EF"/>
    <w:rsid w:val="00D66710"/>
    <w:rsid w:val="00D81CA8"/>
    <w:rsid w:val="00D85EE3"/>
    <w:rsid w:val="00D87D4E"/>
    <w:rsid w:val="00D962A7"/>
    <w:rsid w:val="00DA095A"/>
    <w:rsid w:val="00DA67B9"/>
    <w:rsid w:val="00DB1028"/>
    <w:rsid w:val="00DB27AE"/>
    <w:rsid w:val="00DB7B9C"/>
    <w:rsid w:val="00DC013D"/>
    <w:rsid w:val="00DD1878"/>
    <w:rsid w:val="00DD3B8A"/>
    <w:rsid w:val="00DE1448"/>
    <w:rsid w:val="00DE2459"/>
    <w:rsid w:val="00DE333A"/>
    <w:rsid w:val="00DF799A"/>
    <w:rsid w:val="00E12263"/>
    <w:rsid w:val="00E13E1E"/>
    <w:rsid w:val="00E14383"/>
    <w:rsid w:val="00E224E6"/>
    <w:rsid w:val="00E236B0"/>
    <w:rsid w:val="00E25711"/>
    <w:rsid w:val="00E53A67"/>
    <w:rsid w:val="00E619AC"/>
    <w:rsid w:val="00E62018"/>
    <w:rsid w:val="00E6586E"/>
    <w:rsid w:val="00E70DC1"/>
    <w:rsid w:val="00E74F3E"/>
    <w:rsid w:val="00E75923"/>
    <w:rsid w:val="00E77790"/>
    <w:rsid w:val="00E778FA"/>
    <w:rsid w:val="00E85A33"/>
    <w:rsid w:val="00E9133C"/>
    <w:rsid w:val="00EA1929"/>
    <w:rsid w:val="00EA1C28"/>
    <w:rsid w:val="00EA3F0F"/>
    <w:rsid w:val="00EB4CAE"/>
    <w:rsid w:val="00EB52FF"/>
    <w:rsid w:val="00EC42DC"/>
    <w:rsid w:val="00ED10C3"/>
    <w:rsid w:val="00EE7505"/>
    <w:rsid w:val="00EF0B4F"/>
    <w:rsid w:val="00EF4F8A"/>
    <w:rsid w:val="00F01805"/>
    <w:rsid w:val="00F23D34"/>
    <w:rsid w:val="00F3210E"/>
    <w:rsid w:val="00F455BA"/>
    <w:rsid w:val="00F46998"/>
    <w:rsid w:val="00F46ED7"/>
    <w:rsid w:val="00F55F17"/>
    <w:rsid w:val="00F61E4D"/>
    <w:rsid w:val="00F648B4"/>
    <w:rsid w:val="00F6656B"/>
    <w:rsid w:val="00F7285D"/>
    <w:rsid w:val="00F85441"/>
    <w:rsid w:val="00F952C7"/>
    <w:rsid w:val="00FC01E8"/>
    <w:rsid w:val="00FC072A"/>
    <w:rsid w:val="00FC6FE9"/>
    <w:rsid w:val="00FD3AED"/>
    <w:rsid w:val="00FE2847"/>
    <w:rsid w:val="00FF6664"/>
    <w:rsid w:val="04F217BD"/>
    <w:rsid w:val="06FB6C80"/>
    <w:rsid w:val="084C026A"/>
    <w:rsid w:val="086F1377"/>
    <w:rsid w:val="08F24F20"/>
    <w:rsid w:val="10237A50"/>
    <w:rsid w:val="10945158"/>
    <w:rsid w:val="14060DE1"/>
    <w:rsid w:val="18756535"/>
    <w:rsid w:val="1C1B5646"/>
    <w:rsid w:val="1D19261E"/>
    <w:rsid w:val="23733E0A"/>
    <w:rsid w:val="26E7071F"/>
    <w:rsid w:val="28065483"/>
    <w:rsid w:val="2A126D61"/>
    <w:rsid w:val="2A545CCF"/>
    <w:rsid w:val="2B8E1990"/>
    <w:rsid w:val="2C695F59"/>
    <w:rsid w:val="2F285D28"/>
    <w:rsid w:val="30377AF3"/>
    <w:rsid w:val="31354E89"/>
    <w:rsid w:val="32917FB8"/>
    <w:rsid w:val="332806B8"/>
    <w:rsid w:val="335334BF"/>
    <w:rsid w:val="3AD60AE7"/>
    <w:rsid w:val="3CB925E5"/>
    <w:rsid w:val="3CE15956"/>
    <w:rsid w:val="3DBF00CF"/>
    <w:rsid w:val="3F9966FE"/>
    <w:rsid w:val="45E306D3"/>
    <w:rsid w:val="470903B2"/>
    <w:rsid w:val="47400E76"/>
    <w:rsid w:val="4824455F"/>
    <w:rsid w:val="48D554A2"/>
    <w:rsid w:val="48DD765B"/>
    <w:rsid w:val="49F7474D"/>
    <w:rsid w:val="4DC94652"/>
    <w:rsid w:val="4F934F18"/>
    <w:rsid w:val="516C3EA3"/>
    <w:rsid w:val="53186ED1"/>
    <w:rsid w:val="548E5CAE"/>
    <w:rsid w:val="55EA540F"/>
    <w:rsid w:val="568A2F1A"/>
    <w:rsid w:val="59DB7355"/>
    <w:rsid w:val="5A9D2736"/>
    <w:rsid w:val="5CF92150"/>
    <w:rsid w:val="5E4B26E7"/>
    <w:rsid w:val="643C1282"/>
    <w:rsid w:val="668629E3"/>
    <w:rsid w:val="6A9839C0"/>
    <w:rsid w:val="70C16E68"/>
    <w:rsid w:val="72B76128"/>
    <w:rsid w:val="72E82B69"/>
    <w:rsid w:val="77BA09E4"/>
    <w:rsid w:val="7A7E219D"/>
    <w:rsid w:val="7ABE6A3D"/>
    <w:rsid w:val="7C1C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cc6528b3-c1ed-404b-9259-397d38ac044f</errorID>
      <errorWord>:</errorWord>
      <group>L1_Format</group>
      <groupName>格式问题</groupName>
      <ability>L2_HalfPunc_CN</ability>
      <abilityName>全半角问题</abilityName>
      <candidateList>
        <item>：</item>
      </candidateList>
      <explain>文本全半角错误。</explain>
      <paraID>5E2B2711</paraID>
      <start>2</start>
      <end>3</end>
      <status>unmodified</status>
      <modifiedWord/>
      <trackRevisions>false</trackRevisions>
    </reviewItem>
    <reviewItem>
      <errorID>41c3a6fa-b487-416b-b3e6-fd96f45302cc</errorID>
      <errorWord>(</errorWord>
      <group>L1_Format</group>
      <groupName>格式问题</groupName>
      <ability>L2_HalfPunc_CN</ability>
      <abilityName>全半角问题</abilityName>
      <candidateList>
        <item>（</item>
      </candidateList>
      <explain>文本全半角错误。</explain>
      <paraID>  700EFF</paraID>
      <start>101</start>
      <end>102</end>
      <status>unmodified</status>
      <modifiedWord/>
      <trackRevisions>false</trackRevisions>
    </reviewItem>
    <reviewItem>
      <errorID>3b356ce6-81c6-48dc-8235-4bf21d040e74</errorID>
      <errorWord>)</errorWord>
      <group>L1_Format</group>
      <groupName>格式问题</groupName>
      <ability>L2_HalfPunc_CN</ability>
      <abilityName>全半角问题</abilityName>
      <candidateList>
        <item>）</item>
      </candidateList>
      <explain>文本全半角错误。</explain>
      <paraID>  700EFF</paraID>
      <start>104</start>
      <end>105</end>
      <status>unmodified</status>
      <modifiedWord/>
      <trackRevisions>false</trackRevisions>
    </reviewItem>
    <reviewItem>
      <errorID>52842d14-3ea8-455f-8bf6-b92824ff3758</errorID>
      <errorWord>(</errorWord>
      <group>L1_Format</group>
      <groupName>格式问题</groupName>
      <ability>L2_HalfPunc_CN</ability>
      <abilityName>全半角问题</abilityName>
      <candidateList>
        <item>（</item>
      </candidateList>
      <explain>文本全半角错误。</explain>
      <paraID>  700EFF</paraID>
      <start>160</start>
      <end>161</end>
      <status>unmodified</status>
      <modifiedWord/>
      <trackRevisions>false</trackRevisions>
    </reviewItem>
    <reviewItem>
      <errorID>0d441ebf-f1e9-4c7c-b5d7-88263b63a292</errorID>
      <errorWord>)</errorWord>
      <group>L1_Format</group>
      <groupName>格式问题</groupName>
      <ability>L2_HalfPunc_CN</ability>
      <abilityName>全半角问题</abilityName>
      <candidateList>
        <item>）</item>
      </candidateList>
      <explain>文本全半角错误。</explain>
      <paraID>  700EFF</paraID>
      <start>165</start>
      <end>166</end>
      <status>unmodified</status>
      <modifiedWord/>
      <trackRevisions>false</trackRevisions>
    </reviewItem>
    <reviewItem>
      <errorID>8bcb9d47-3f13-4491-aab1-7f4c89dac69b</errorID>
      <errorWord>发电量是</errorWord>
      <group>L1_Word</group>
      <groupName>字词问题</groupName>
      <ability>L2_Typo</ability>
      <abilityName>字词错误</abilityName>
      <candidateList>
        <item>发电量</item>
      </candidateList>
      <explain/>
      <paraID>5C07B723</paraID>
      <start>25</start>
      <end>28</end>
      <status>modified</status>
      <modifiedWord>发电量</modifiedWord>
      <trackRevisions>false</trackRevisions>
    </reviewItem>
    <reviewItem>
      <errorID>de917891-bbf9-4d6b-a4e7-d69968a910de</errorID>
      <errorWord>百余</errorWord>
      <group>L1_Grammar</group>
      <groupName>语法问题</groupName>
      <ability>L2_Illogical</ability>
      <abilityName>不合逻辑</abilityName>
      <candidateList>
        <item>百</item>
      </candidateList>
      <explain>句子中可能存在因果关系错误、自相矛盾、概念误用、主客倒置、否定不当、前后缺乏呼应等问题。</explain>
      <paraID>4683FAE2</paraID>
      <start>43</start>
      <end>44</end>
      <status>modified</status>
      <modifiedWord>百</modifiedWord>
      <trackRevisions>false</trackRevisions>
    </reviewItem>
  </reviewItems>
  <config/>
</contractReview>
</file>

<file path=customXml/itemProps1.xml><?xml version="1.0" encoding="utf-8"?>
<ds:datastoreItem xmlns:ds="http://schemas.openxmlformats.org/officeDocument/2006/customXml" ds:itemID="{6bcadaaf-5cbf-48aa-a217-64016359dd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3373</Words>
  <Characters>3603</Characters>
  <Lines>17</Lines>
  <Paragraphs>4</Paragraphs>
  <TotalTime>14</TotalTime>
  <ScaleCrop>false</ScaleCrop>
  <LinksUpToDate>false</LinksUpToDate>
  <CharactersWithSpaces>3674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2024-09-13T04:47:00Z</dcterms:created>
  <dc:creator>Windows 用户</dc:creator>
  <cp:lastModifiedBy>金海</cp:lastModifiedBy>
  <dcterms:modified xsi:type="dcterms:W3CDTF">2026-07-06T11:12:30Z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eyJoZGlkIjoiMDViOTcyMmU5YmVkNjFhODM0YzYwZDE5OTMwMGZkZTYiLCJ1c2VySWQiOiI3OTY0OTc1MTEifQ==</vt:lpwstr>
  </property>
  <property fmtid="{D5CDD505-2E9C-101B-9397-08002B2CF9AE}" pid="3" name="KSOProductBuildVer">
    <vt:lpwstr>2052-12.1.0.26895</vt:lpwstr>
  </property>
  <property fmtid="{D5CDD505-2E9C-101B-9397-08002B2CF9AE}" pid="4" name="ICV">
    <vt:lpwstr>941FF025E9ED427FA4CD8BE65126C4CD_12</vt:lpwstr>
  </property>
</Properties>
</file>