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DE33D">
      <w:pPr>
        <w:widowControl/>
        <w:jc w:val="center"/>
        <w:rPr>
          <w:rFonts w:hint="eastAsia" w:ascii="宋体" w:hAnsi="宋体"/>
          <w:bCs/>
          <w:iCs/>
          <w:color w:val="000000"/>
          <w:sz w:val="24"/>
        </w:rPr>
      </w:pPr>
      <w:bookmarkStart w:id="0" w:name="_Toc515462335"/>
      <w:r>
        <w:rPr>
          <w:rFonts w:hint="eastAsia" w:ascii="宋体" w:hAnsi="宋体"/>
          <w:bCs/>
          <w:iCs/>
          <w:color w:val="000000"/>
          <w:sz w:val="24"/>
        </w:rPr>
        <w:t xml:space="preserve">证券代码：600392  </w:t>
      </w:r>
      <w:r>
        <w:rPr>
          <w:rFonts w:ascii="宋体" w:hAnsi="宋体"/>
          <w:bCs/>
          <w:iCs/>
          <w:color w:val="000000"/>
          <w:sz w:val="24"/>
        </w:rPr>
        <w:t xml:space="preserve">         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证券简称：盛和资源</w:t>
      </w:r>
    </w:p>
    <w:p w14:paraId="28F34A71">
      <w:pPr>
        <w:widowControl/>
        <w:jc w:val="center"/>
        <w:rPr>
          <w:rFonts w:hint="eastAsia" w:ascii="宋体" w:hAnsi="宋体"/>
          <w:bCs/>
          <w:iCs/>
          <w:color w:val="000000"/>
          <w:sz w:val="24"/>
        </w:rPr>
      </w:pPr>
    </w:p>
    <w:p w14:paraId="187B9C22">
      <w:pPr>
        <w:widowControl/>
        <w:spacing w:before="312" w:beforeLines="100"/>
        <w:jc w:val="center"/>
        <w:rPr>
          <w:rFonts w:hint="eastAsia" w:ascii="宋体" w:hAnsi="宋体"/>
          <w:bCs/>
          <w:iCs/>
          <w:color w:val="000000"/>
          <w:sz w:val="36"/>
          <w:szCs w:val="36"/>
        </w:rPr>
      </w:pPr>
      <w:r>
        <w:rPr>
          <w:rFonts w:hint="eastAsia" w:ascii="宋体" w:hAnsi="宋体"/>
          <w:bCs/>
          <w:iCs/>
          <w:color w:val="000000"/>
          <w:sz w:val="36"/>
          <w:szCs w:val="36"/>
        </w:rPr>
        <w:t>盛和资源控股股份有限公司</w:t>
      </w:r>
    </w:p>
    <w:p w14:paraId="592177FA">
      <w:pPr>
        <w:widowControl/>
        <w:spacing w:after="312" w:afterLines="100"/>
        <w:jc w:val="center"/>
        <w:rPr>
          <w:rFonts w:hint="eastAsia"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bCs/>
          <w:iCs/>
          <w:color w:val="000000"/>
          <w:sz w:val="36"/>
          <w:szCs w:val="36"/>
        </w:rPr>
        <w:t>投资者关系活动记录表</w:t>
      </w:r>
    </w:p>
    <w:p w14:paraId="7404916D">
      <w:pPr>
        <w:spacing w:line="360" w:lineRule="auto"/>
        <w:rPr>
          <w:rFonts w:hint="default" w:ascii="宋体" w:hAnsi="宋体" w:eastAsia="宋体"/>
          <w:bCs/>
          <w:iCs/>
          <w:color w:val="000000"/>
          <w:szCs w:val="21"/>
          <w:highlight w:val="none"/>
          <w:lang w:val="en-US" w:eastAsia="zh-CN"/>
        </w:rPr>
      </w:pPr>
      <w:r>
        <w:rPr>
          <w:rFonts w:ascii="宋体" w:hAnsi="宋体"/>
          <w:bCs/>
          <w:iCs/>
          <w:color w:val="000000"/>
          <w:szCs w:val="21"/>
        </w:rPr>
        <w:t xml:space="preserve">                                                     </w:t>
      </w:r>
      <w:r>
        <w:rPr>
          <w:rFonts w:hint="eastAsia" w:ascii="宋体" w:hAnsi="宋体"/>
          <w:bCs/>
          <w:iCs/>
          <w:color w:val="000000"/>
          <w:szCs w:val="21"/>
        </w:rPr>
        <w:t xml:space="preserve">            </w:t>
      </w:r>
      <w:r>
        <w:rPr>
          <w:rFonts w:ascii="宋体" w:hAnsi="宋体"/>
          <w:bCs/>
          <w:iCs/>
          <w:color w:val="000000"/>
          <w:szCs w:val="21"/>
        </w:rPr>
        <w:t>编号：</w:t>
      </w:r>
      <w:r>
        <w:rPr>
          <w:rFonts w:hint="eastAsia" w:ascii="宋体" w:hAnsi="宋体"/>
          <w:bCs/>
          <w:iCs/>
          <w:color w:val="000000"/>
          <w:szCs w:val="21"/>
        </w:rPr>
        <w:t>2</w:t>
      </w:r>
      <w:r>
        <w:rPr>
          <w:rFonts w:ascii="宋体" w:hAnsi="宋体"/>
          <w:bCs/>
          <w:iCs/>
          <w:color w:val="000000"/>
          <w:szCs w:val="21"/>
        </w:rPr>
        <w:t>02</w:t>
      </w:r>
      <w:r>
        <w:rPr>
          <w:rFonts w:hint="eastAsia" w:ascii="宋体" w:hAnsi="宋体"/>
          <w:bCs/>
          <w:iCs/>
          <w:color w:val="000000"/>
          <w:szCs w:val="21"/>
          <w:lang w:val="en-US" w:eastAsia="zh-CN"/>
        </w:rPr>
        <w:t>6</w:t>
      </w:r>
      <w:r>
        <w:rPr>
          <w:rFonts w:ascii="宋体" w:hAnsi="宋体"/>
          <w:bCs/>
          <w:iCs/>
          <w:color w:val="000000"/>
          <w:szCs w:val="21"/>
        </w:rPr>
        <w:t>-</w:t>
      </w:r>
      <w:r>
        <w:rPr>
          <w:rFonts w:hint="eastAsia" w:ascii="宋体" w:hAnsi="宋体"/>
          <w:bCs/>
          <w:iCs/>
          <w:color w:val="000000"/>
          <w:szCs w:val="21"/>
          <w:highlight w:val="none"/>
          <w:lang w:val="en-US" w:eastAsia="zh-CN"/>
        </w:rPr>
        <w:t>03</w:t>
      </w:r>
    </w:p>
    <w:tbl>
      <w:tblPr>
        <w:tblStyle w:val="10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7088"/>
      </w:tblGrid>
      <w:tr w14:paraId="2DA1F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 w14:paraId="6E4BFA1B">
            <w:pPr>
              <w:spacing w:line="360" w:lineRule="auto"/>
              <w:rPr>
                <w:rFonts w:hint="eastAsia" w:ascii="宋体" w:hAnsi="宋体"/>
                <w:b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iCs/>
                <w:color w:val="000000"/>
                <w:szCs w:val="21"/>
              </w:rPr>
              <w:t>投资者关系活动类别</w:t>
            </w:r>
            <w:r>
              <w:rPr>
                <w:rFonts w:hint="eastAsia" w:ascii="宋体" w:hAnsi="宋体"/>
                <w:b/>
                <w:bCs/>
                <w:iCs/>
                <w:color w:val="000000"/>
                <w:szCs w:val="21"/>
              </w:rPr>
              <w:t>“选中项请打√”</w:t>
            </w:r>
          </w:p>
        </w:tc>
        <w:tc>
          <w:tcPr>
            <w:tcW w:w="7088" w:type="dxa"/>
          </w:tcPr>
          <w:p w14:paraId="73C6D338">
            <w:pPr>
              <w:spacing w:line="360" w:lineRule="auto"/>
              <w:jc w:val="lef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  <w:lang w:eastAsia="zh-CN"/>
              </w:rPr>
              <w:t>☑</w:t>
            </w:r>
            <w:r>
              <w:rPr>
                <w:rFonts w:ascii="宋体" w:hAnsi="宋体"/>
                <w:color w:val="000000"/>
                <w:szCs w:val="21"/>
              </w:rPr>
              <w:t xml:space="preserve">特定对象调研   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sym w:font="Wingdings 2" w:char="00A3"/>
            </w:r>
            <w:r>
              <w:rPr>
                <w:rFonts w:ascii="宋体" w:hAnsi="宋体"/>
                <w:color w:val="000000"/>
                <w:szCs w:val="21"/>
              </w:rPr>
              <w:t>分析师会议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 xml:space="preserve">    </w:t>
            </w:r>
            <w:bookmarkStart w:id="1" w:name="OLE_LINK1"/>
            <w:r>
              <w:rPr>
                <w:rFonts w:ascii="宋体" w:hAnsi="宋体"/>
                <w:bCs/>
                <w:iCs/>
                <w:color w:val="000000"/>
                <w:szCs w:val="21"/>
              </w:rPr>
              <w:t>□</w:t>
            </w:r>
            <w:bookmarkEnd w:id="1"/>
            <w:r>
              <w:rPr>
                <w:rFonts w:ascii="宋体" w:hAnsi="宋体"/>
                <w:color w:val="000000"/>
                <w:szCs w:val="21"/>
              </w:rPr>
              <w:t xml:space="preserve">媒体采访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业绩说明会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 xml:space="preserve">          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 xml:space="preserve">新闻发布会     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路演活动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 xml:space="preserve">      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现场参观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tab/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sym w:font="Wingdings 2" w:char="00A3"/>
            </w:r>
            <w:r>
              <w:rPr>
                <w:rFonts w:ascii="宋体" w:hAnsi="宋体"/>
                <w:color w:val="000000"/>
                <w:szCs w:val="21"/>
              </w:rPr>
              <w:t>其他</w:t>
            </w:r>
            <w:r>
              <w:rPr>
                <w:rFonts w:hint="eastAsia" w:ascii="宋体" w:hAnsi="宋体"/>
                <w:color w:val="000000"/>
                <w:szCs w:val="21"/>
              </w:rPr>
              <w:t>（电话</w:t>
            </w:r>
            <w:r>
              <w:rPr>
                <w:rFonts w:ascii="宋体" w:hAnsi="宋体"/>
                <w:color w:val="000000"/>
                <w:szCs w:val="21"/>
              </w:rPr>
              <w:t>会议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</w:tr>
      <w:tr w14:paraId="69FC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547" w:type="dxa"/>
            <w:vAlign w:val="center"/>
          </w:tcPr>
          <w:p w14:paraId="3A8563EC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7088" w:type="dxa"/>
            <w:vAlign w:val="center"/>
          </w:tcPr>
          <w:p w14:paraId="7BD554DA">
            <w:pPr>
              <w:spacing w:line="276" w:lineRule="auto"/>
              <w:rPr>
                <w:rFonts w:hint="default" w:ascii="宋体" w:hAnsi="宋体"/>
                <w:bCs/>
                <w:i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  <w:lang w:val="en-US" w:eastAsia="zh-CN"/>
              </w:rPr>
              <w:t>华源证券、广发证券、华创证券、长江证券、国盛证券、长城证券、国开证券、浙商证券、东方财富证券、麦高证券、国联民生证券、银河证券、中泰证券、泰康资产、南方基金、汇添富基金、平安基金、华夏基金、易方达基金、华安基金、长城基金、上善如是基金、飞马投资、百年保险、博道基金、国联基金、星石投资、融通基金、华能贵诚信托、旭日盛德、紫金保险、伟星资本、百泉汇中、广东金能资本、尚善资产、宽裕资产</w:t>
            </w:r>
          </w:p>
        </w:tc>
      </w:tr>
      <w:tr w14:paraId="3EED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 w14:paraId="10F336D4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7088" w:type="dxa"/>
            <w:vAlign w:val="center"/>
          </w:tcPr>
          <w:p w14:paraId="5D8B2A92">
            <w:pPr>
              <w:spacing w:line="276" w:lineRule="auto"/>
              <w:rPr>
                <w:rFonts w:hint="default" w:ascii="宋体" w:hAnsi="宋体" w:eastAsia="宋体"/>
                <w:bCs/>
                <w:iCs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/>
                <w:bCs/>
                <w:iCs/>
                <w:color w:val="000000"/>
                <w:szCs w:val="21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  <w:lang w:val="en-US" w:eastAsia="zh-CN"/>
              </w:rPr>
              <w:t>6年6月</w:t>
            </w:r>
          </w:p>
        </w:tc>
      </w:tr>
      <w:tr w14:paraId="440F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 w14:paraId="275D1681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7088" w:type="dxa"/>
            <w:vAlign w:val="center"/>
          </w:tcPr>
          <w:p w14:paraId="39351267">
            <w:pPr>
              <w:spacing w:line="276" w:lineRule="auto"/>
              <w:rPr>
                <w:rFonts w:hint="default" w:ascii="宋体" w:hAnsi="宋体" w:eastAsia="宋体"/>
                <w:bCs/>
                <w:i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  <w:lang w:val="en-US" w:eastAsia="zh-CN"/>
              </w:rPr>
              <w:t>公司会议室</w:t>
            </w:r>
          </w:p>
        </w:tc>
      </w:tr>
      <w:tr w14:paraId="73B2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 w14:paraId="2E565A95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iCs/>
                <w:color w:val="000000"/>
                <w:szCs w:val="21"/>
              </w:rPr>
              <w:t>上市公司接待人员姓名</w:t>
            </w:r>
          </w:p>
        </w:tc>
        <w:tc>
          <w:tcPr>
            <w:tcW w:w="7088" w:type="dxa"/>
            <w:vAlign w:val="center"/>
          </w:tcPr>
          <w:p w14:paraId="697FFD06"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董事、副总经理、董事会秘书：郭晓雷 </w:t>
            </w:r>
          </w:p>
          <w:p w14:paraId="0E5F3186"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投资者关系总监：孙宇翔</w:t>
            </w:r>
          </w:p>
          <w:p w14:paraId="41DDC3F2"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证券部经理、证券事务代表：陈冬梅</w:t>
            </w:r>
          </w:p>
          <w:p w14:paraId="03078682">
            <w:pPr>
              <w:spacing w:line="276" w:lineRule="auto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证券部副经理：王尧</w:t>
            </w:r>
          </w:p>
        </w:tc>
      </w:tr>
      <w:tr w14:paraId="2D41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 w14:paraId="328CCB7C">
            <w:pPr>
              <w:spacing w:before="156" w:beforeLines="50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调研</w:t>
            </w:r>
            <w:r>
              <w:rPr>
                <w:rFonts w:ascii="宋体" w:hAnsi="宋体"/>
              </w:rPr>
              <w:t>主要内容介绍</w:t>
            </w:r>
          </w:p>
          <w:p w14:paraId="5E672FAF">
            <w:pPr>
              <w:spacing w:before="156" w:beforeLines="50"/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7088" w:type="dxa"/>
          </w:tcPr>
          <w:p w14:paraId="2DD5B5AE">
            <w:pPr>
              <w:spacing w:before="156" w:beforeLines="50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1、如何看待稀土产业政策的新变化？</w:t>
            </w:r>
          </w:p>
          <w:p w14:paraId="2DB9768E">
            <w:pPr>
              <w:spacing w:before="156" w:beforeLines="50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答：随着《稀土管理条例》和《稀土开采和稀土冶炼分离总量调控管理办法》等配套制度生效实施，我国稀土行业进入了全口径管控和全流程追溯的精细化调控新阶段。严格的稀土开采和冶炼分离总量调控制度，以及首次将进口稀土矿冶炼分离纳入总量调控体系的制度安排，使得国内稀土产业的供给端更加有序、规范、刚性，并助推稀土及相关产业链高质量、可持续发展。</w:t>
            </w:r>
          </w:p>
          <w:p w14:paraId="6DD49164">
            <w:pPr>
              <w:spacing w:before="156" w:beforeLines="50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公司稀土产品在战略新兴领域的应用情况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？</w:t>
            </w:r>
          </w:p>
          <w:p w14:paraId="07FD94C0">
            <w:pPr>
              <w:spacing w:before="156" w:beforeLines="50"/>
              <w:ind w:firstLine="420" w:firstLineChars="200"/>
              <w:rPr>
                <w:rFonts w:hint="default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答：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稀土是重要的战略矿产资源，稀土功能材料是列入国家《战略性新兴产业重点产品和服务指导目录（2016年版）》的战略性新兴行业。因稀土元素具有丰富的磁、光、电等特性，可用于永磁、催化、储氢、抛光、精密陶瓷、荧光、激光、光导纤维等新材料，稀土在新能源、新材料、节能环保、航空航天、军工、电子信息等领域的应用日益广泛。公司具备生产多种规格单一稀土氧化物、稀土化合物及稀土金属产品的能力，并根据市场需求开发、供应个性化产品。</w:t>
            </w:r>
          </w:p>
          <w:p w14:paraId="3F02432D">
            <w:pPr>
              <w:spacing w:before="156" w:beforeLines="50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坦桑尼亚Fungoni锆钛矿项目的资源禀赋及运行情况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？</w:t>
            </w:r>
          </w:p>
          <w:p w14:paraId="67348576">
            <w:pPr>
              <w:spacing w:before="156" w:beforeLines="50"/>
              <w:ind w:firstLine="420" w:firstLineChars="200"/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答：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Fungoni锆钛矿项目保有矿石资源量2200万吨，矿石储量1230万吨、重矿物平均品位3.9%；经过建设，该项目运行产能已提升至15万吨重矿物/年，重砂矿已实现稳定产出。</w:t>
            </w:r>
          </w:p>
          <w:p w14:paraId="5F2059EF">
            <w:pPr>
              <w:spacing w:before="156" w:beforeLines="50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锆英砂产品的市场行情如何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？</w:t>
            </w:r>
          </w:p>
          <w:p w14:paraId="0A8034D6">
            <w:pPr>
              <w:spacing w:before="156" w:beforeLines="50"/>
              <w:ind w:firstLine="420" w:firstLineChars="200"/>
              <w:rPr>
                <w:rFonts w:hint="default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答：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今年以来，受供需格局边际改善等积极因素影响，锆英砂价格运行呈现底部企稳回升特征（根据亚洲金属网统计数据，截至6月末，锆英砂(Zr(Hf)O</w:t>
            </w:r>
            <w:r>
              <w:rPr>
                <w:rFonts w:hint="eastAsia" w:ascii="宋体" w:hAnsi="宋体" w:cs="宋体"/>
                <w:b w:val="0"/>
                <w:bCs w:val="0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 xml:space="preserve"> 60%)国内出厂价较年初上涨8.4%、较上半年低点上涨11.0%，预计将对公司业绩产生一定的积极影响。</w:t>
            </w:r>
          </w:p>
          <w:p w14:paraId="39932515">
            <w:pPr>
              <w:spacing w:before="156" w:beforeLines="50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、公司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锆钛业务的后续发展规划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？</w:t>
            </w:r>
          </w:p>
          <w:p w14:paraId="018A032F">
            <w:pPr>
              <w:spacing w:before="156" w:beforeLines="50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答：根据公司发布的《2026-2028年发展规划》，锆钛业务板块作为第二大核心业务，将坚持“国内提质、海外拓量、下游延伸”发展战略。海外重点推进两大项目：坦桑尼亚尼亚提重砂矿项目，2026年扩产至30万吨/年重矿物精矿产能，2028年达到50万吨/年重矿物精矿产能；马达加斯加重砂矿，2026年完成首采区建设准备，2027年实现首批重矿物精矿出产，2028年达到100万吨/年重矿物精矿产能。此外，探索锆钛深加工，拓展国内外销售渠道，下游聚焦陶瓷、核电、新能源等场景，重点布局核级海绵锆、锆基合金，挖掘航空航天、新能源电池等新兴应用潜力，培育增长新动力。</w:t>
            </w:r>
          </w:p>
          <w:p w14:paraId="44A793D4">
            <w:pPr>
              <w:spacing w:before="156" w:beforeLines="50"/>
              <w:ind w:firstLine="420" w:firstLineChars="200"/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6、公司后续对于创新研发的规划是怎样的？</w:t>
            </w:r>
          </w:p>
          <w:p w14:paraId="6F757416">
            <w:pPr>
              <w:spacing w:before="156" w:beforeLines="50"/>
              <w:ind w:firstLine="420" w:firstLineChars="2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根据公司发布的《2026-2028年发展规划》，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公司将以技术突破引领产业升级，构建高端化、高纯化、绿色化、智能化的科技创新体系。聚焦6N级超高纯氧化钇等超高纯稀土及纳米级材料研发，突破高端超高纯稀土氧化物制备“卡脖子”关键技术，实现高纯稀土材料规模化生产。攻坚传统稀土冶炼工艺难题，研发并形成新一代轻稀土混合精矿绿色高效冶炼技术，大幅降低能耗与污染物排放，显著提升稀土及伴生非稀土资源综合回收率，实现绿色低碳与经济效益双赢。推进智能制造与数字化升级，在冶炼分离、选矿、深加工环节推广智能装备与在线管控系统，提升生产稳定性、产品一致性与运营效率。通过全链条技术赋能，推动公司从资源型企业向技术引领型资源企业转型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。</w:t>
            </w:r>
          </w:p>
        </w:tc>
      </w:tr>
      <w:tr w14:paraId="63FA0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 w14:paraId="3E908EEA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iCs/>
                <w:color w:val="000000"/>
                <w:szCs w:val="21"/>
              </w:rPr>
              <w:t>附件清单（如有）</w:t>
            </w:r>
          </w:p>
        </w:tc>
        <w:tc>
          <w:tcPr>
            <w:tcW w:w="7088" w:type="dxa"/>
          </w:tcPr>
          <w:p w14:paraId="4AC789B0">
            <w:pPr>
              <w:spacing w:line="360" w:lineRule="auto"/>
              <w:ind w:firstLine="105" w:firstLineChars="50"/>
              <w:jc w:val="center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无</w:t>
            </w:r>
          </w:p>
        </w:tc>
      </w:tr>
      <w:tr w14:paraId="5FCF1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 w14:paraId="09F4BB5B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088" w:type="dxa"/>
          </w:tcPr>
          <w:p w14:paraId="0CC43FC5">
            <w:pPr>
              <w:spacing w:line="360" w:lineRule="auto"/>
              <w:jc w:val="center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szCs w:val="21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日</w:t>
            </w:r>
          </w:p>
        </w:tc>
      </w:tr>
      <w:bookmarkEnd w:id="0"/>
    </w:tbl>
    <w:p w14:paraId="264E70DC">
      <w:pPr>
        <w:widowControl/>
        <w:jc w:val="left"/>
        <w:rPr>
          <w:rFonts w:hint="eastAsia" w:ascii="仿宋" w:hAnsi="仿宋" w:eastAsia="仿宋"/>
          <w:sz w:val="28"/>
          <w:szCs w:val="28"/>
        </w:rPr>
      </w:pPr>
      <w:bookmarkStart w:id="2" w:name="_GoBack"/>
      <w:bookmarkEnd w:id="2"/>
    </w:p>
    <w:sectPr>
      <w:footerReference r:id="rId5" w:type="default"/>
      <w:footerReference r:id="rId6" w:type="even"/>
      <w:pgSz w:w="11906" w:h="16838"/>
      <w:pgMar w:top="1701" w:right="1797" w:bottom="1134" w:left="1797" w:header="851" w:footer="992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E2BE8">
    <w:pPr>
      <w:pStyle w:val="7"/>
      <w:framePr w:wrap="around" w:vAnchor="text" w:hAnchor="margin" w:xAlign="center" w:y="1"/>
      <w:rPr>
        <w:rStyle w:val="14"/>
        <w:rFonts w:hint="eastAsia"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14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>—</w:t>
    </w:r>
  </w:p>
  <w:p w14:paraId="16671FD4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28579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7FA730D8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3YWU0ODljM2NmZjU5OGNmMjFkOGY5YmJkOTk2ODUifQ=="/>
  </w:docVars>
  <w:rsids>
    <w:rsidRoot w:val="00953981"/>
    <w:rsid w:val="0001203A"/>
    <w:rsid w:val="00013509"/>
    <w:rsid w:val="00036947"/>
    <w:rsid w:val="000532C1"/>
    <w:rsid w:val="000550EB"/>
    <w:rsid w:val="0007285A"/>
    <w:rsid w:val="000731BB"/>
    <w:rsid w:val="00081574"/>
    <w:rsid w:val="000A4871"/>
    <w:rsid w:val="000A6FEC"/>
    <w:rsid w:val="000B37B1"/>
    <w:rsid w:val="000B620F"/>
    <w:rsid w:val="000B7E1C"/>
    <w:rsid w:val="000D7761"/>
    <w:rsid w:val="00126512"/>
    <w:rsid w:val="00176F31"/>
    <w:rsid w:val="00177EC3"/>
    <w:rsid w:val="00180568"/>
    <w:rsid w:val="001A04B5"/>
    <w:rsid w:val="001A09A4"/>
    <w:rsid w:val="001C1D99"/>
    <w:rsid w:val="001F4540"/>
    <w:rsid w:val="002001C1"/>
    <w:rsid w:val="00214702"/>
    <w:rsid w:val="0023626F"/>
    <w:rsid w:val="00273F00"/>
    <w:rsid w:val="00295305"/>
    <w:rsid w:val="002B7B99"/>
    <w:rsid w:val="002E1978"/>
    <w:rsid w:val="002F790C"/>
    <w:rsid w:val="0031359B"/>
    <w:rsid w:val="003543E6"/>
    <w:rsid w:val="003635FB"/>
    <w:rsid w:val="003751F0"/>
    <w:rsid w:val="003E0D6D"/>
    <w:rsid w:val="003F075D"/>
    <w:rsid w:val="00431FFB"/>
    <w:rsid w:val="004460E0"/>
    <w:rsid w:val="004C55DA"/>
    <w:rsid w:val="004D4ECC"/>
    <w:rsid w:val="004E149C"/>
    <w:rsid w:val="004E7079"/>
    <w:rsid w:val="004F5FC7"/>
    <w:rsid w:val="00503F30"/>
    <w:rsid w:val="00593A9B"/>
    <w:rsid w:val="005B097F"/>
    <w:rsid w:val="005B151D"/>
    <w:rsid w:val="005C1E93"/>
    <w:rsid w:val="005F33F1"/>
    <w:rsid w:val="0060780A"/>
    <w:rsid w:val="00621A53"/>
    <w:rsid w:val="006401DD"/>
    <w:rsid w:val="00650410"/>
    <w:rsid w:val="00656C48"/>
    <w:rsid w:val="00676A4E"/>
    <w:rsid w:val="00681D44"/>
    <w:rsid w:val="006924FD"/>
    <w:rsid w:val="006D761D"/>
    <w:rsid w:val="007549ED"/>
    <w:rsid w:val="0077568A"/>
    <w:rsid w:val="007A7D5B"/>
    <w:rsid w:val="007C2390"/>
    <w:rsid w:val="007C5823"/>
    <w:rsid w:val="007D4949"/>
    <w:rsid w:val="007E1E56"/>
    <w:rsid w:val="007E4551"/>
    <w:rsid w:val="007E7F4E"/>
    <w:rsid w:val="007F5049"/>
    <w:rsid w:val="007F51F0"/>
    <w:rsid w:val="00814133"/>
    <w:rsid w:val="008359E8"/>
    <w:rsid w:val="00836509"/>
    <w:rsid w:val="00871D04"/>
    <w:rsid w:val="0089239A"/>
    <w:rsid w:val="008C3B4A"/>
    <w:rsid w:val="008C44AA"/>
    <w:rsid w:val="008D5F92"/>
    <w:rsid w:val="008F346F"/>
    <w:rsid w:val="00905BC4"/>
    <w:rsid w:val="009456A9"/>
    <w:rsid w:val="00953981"/>
    <w:rsid w:val="009628D4"/>
    <w:rsid w:val="00992AD5"/>
    <w:rsid w:val="009B0861"/>
    <w:rsid w:val="009F4110"/>
    <w:rsid w:val="009F45A2"/>
    <w:rsid w:val="00A05D19"/>
    <w:rsid w:val="00A103B1"/>
    <w:rsid w:val="00A130E2"/>
    <w:rsid w:val="00A30EA4"/>
    <w:rsid w:val="00A46045"/>
    <w:rsid w:val="00A540D5"/>
    <w:rsid w:val="00A903B2"/>
    <w:rsid w:val="00AA3A2F"/>
    <w:rsid w:val="00AB65AE"/>
    <w:rsid w:val="00AC431B"/>
    <w:rsid w:val="00AE0CFB"/>
    <w:rsid w:val="00AE58F2"/>
    <w:rsid w:val="00AF6245"/>
    <w:rsid w:val="00B0411F"/>
    <w:rsid w:val="00B10F99"/>
    <w:rsid w:val="00B22C28"/>
    <w:rsid w:val="00B23358"/>
    <w:rsid w:val="00B34641"/>
    <w:rsid w:val="00B61496"/>
    <w:rsid w:val="00B61558"/>
    <w:rsid w:val="00B943F5"/>
    <w:rsid w:val="00BB0618"/>
    <w:rsid w:val="00BC283B"/>
    <w:rsid w:val="00BE138D"/>
    <w:rsid w:val="00BF20BB"/>
    <w:rsid w:val="00C00ED0"/>
    <w:rsid w:val="00C037C8"/>
    <w:rsid w:val="00C125C5"/>
    <w:rsid w:val="00C3495A"/>
    <w:rsid w:val="00C40C24"/>
    <w:rsid w:val="00C655A8"/>
    <w:rsid w:val="00C73011"/>
    <w:rsid w:val="00C74CFE"/>
    <w:rsid w:val="00C8030F"/>
    <w:rsid w:val="00CC0983"/>
    <w:rsid w:val="00CE0A43"/>
    <w:rsid w:val="00CE6605"/>
    <w:rsid w:val="00D03E6A"/>
    <w:rsid w:val="00D0557B"/>
    <w:rsid w:val="00D15A3A"/>
    <w:rsid w:val="00D16C08"/>
    <w:rsid w:val="00D23B76"/>
    <w:rsid w:val="00D346BD"/>
    <w:rsid w:val="00D35C68"/>
    <w:rsid w:val="00D41450"/>
    <w:rsid w:val="00D53AA6"/>
    <w:rsid w:val="00D5647D"/>
    <w:rsid w:val="00D70AE6"/>
    <w:rsid w:val="00D74D49"/>
    <w:rsid w:val="00DA7E5B"/>
    <w:rsid w:val="00DB45D0"/>
    <w:rsid w:val="00DE22B5"/>
    <w:rsid w:val="00E62C0E"/>
    <w:rsid w:val="00E877F5"/>
    <w:rsid w:val="00E91845"/>
    <w:rsid w:val="00E92BDF"/>
    <w:rsid w:val="00EA062D"/>
    <w:rsid w:val="00EC0E1C"/>
    <w:rsid w:val="00EC289B"/>
    <w:rsid w:val="00ED31BF"/>
    <w:rsid w:val="00F273B8"/>
    <w:rsid w:val="00F4436E"/>
    <w:rsid w:val="00F536E6"/>
    <w:rsid w:val="00F619A6"/>
    <w:rsid w:val="00F72C4E"/>
    <w:rsid w:val="00F958D0"/>
    <w:rsid w:val="00FA38A8"/>
    <w:rsid w:val="00FA7A09"/>
    <w:rsid w:val="00FB5270"/>
    <w:rsid w:val="00FD2C33"/>
    <w:rsid w:val="035E62A9"/>
    <w:rsid w:val="0C1C4875"/>
    <w:rsid w:val="0E9771F2"/>
    <w:rsid w:val="0ECB5A9B"/>
    <w:rsid w:val="115D3D0D"/>
    <w:rsid w:val="1E38504E"/>
    <w:rsid w:val="222A111F"/>
    <w:rsid w:val="28A91541"/>
    <w:rsid w:val="2C0B44D1"/>
    <w:rsid w:val="2DD8111C"/>
    <w:rsid w:val="31B04883"/>
    <w:rsid w:val="36C22E36"/>
    <w:rsid w:val="3878105D"/>
    <w:rsid w:val="3A8638A8"/>
    <w:rsid w:val="3ED65E91"/>
    <w:rsid w:val="40075FB4"/>
    <w:rsid w:val="40692574"/>
    <w:rsid w:val="41C10393"/>
    <w:rsid w:val="43422C72"/>
    <w:rsid w:val="4599357F"/>
    <w:rsid w:val="4F432B74"/>
    <w:rsid w:val="5539593A"/>
    <w:rsid w:val="58535244"/>
    <w:rsid w:val="5CC34FC4"/>
    <w:rsid w:val="5D864CC7"/>
    <w:rsid w:val="5E0F28E8"/>
    <w:rsid w:val="5FE86BB1"/>
    <w:rsid w:val="60F224FB"/>
    <w:rsid w:val="62EC076F"/>
    <w:rsid w:val="63133F4E"/>
    <w:rsid w:val="658E7179"/>
    <w:rsid w:val="6AC94A9A"/>
    <w:rsid w:val="B8DF46EA"/>
    <w:rsid w:val="BB77B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qFormat/>
    <w:uiPriority w:val="0"/>
    <w:rPr>
      <w:sz w:val="28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rPr>
      <w:rFonts w:ascii="Calibri" w:hAnsi="Calibri"/>
      <w:sz w:val="24"/>
    </w:rPr>
  </w:style>
  <w:style w:type="table" w:styleId="11">
    <w:name w:val="Table Grid"/>
    <w:basedOn w:val="10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character" w:styleId="15">
    <w:name w:val="Emphasis"/>
    <w:qFormat/>
    <w:uiPriority w:val="0"/>
    <w:rPr>
      <w:i/>
    </w:rPr>
  </w:style>
  <w:style w:type="character" w:styleId="16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7">
    <w:name w:val="标题 1 字符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8">
    <w:name w:val="标题 2 字符"/>
    <w:link w:val="3"/>
    <w:qFormat/>
    <w:uiPriority w:val="9"/>
    <w:rPr>
      <w:rFonts w:ascii="Calibri Light" w:hAnsi="Calibri Light"/>
      <w:b/>
      <w:bCs/>
      <w:kern w:val="2"/>
      <w:sz w:val="32"/>
      <w:szCs w:val="32"/>
    </w:rPr>
  </w:style>
  <w:style w:type="character" w:customStyle="1" w:styleId="19">
    <w:name w:val="正文文本 字符"/>
    <w:link w:val="4"/>
    <w:qFormat/>
    <w:uiPriority w:val="0"/>
    <w:rPr>
      <w:kern w:val="2"/>
      <w:sz w:val="28"/>
      <w:szCs w:val="24"/>
    </w:rPr>
  </w:style>
  <w:style w:type="character" w:customStyle="1" w:styleId="20">
    <w:name w:val="批注框文本 字符"/>
    <w:link w:val="6"/>
    <w:qFormat/>
    <w:uiPriority w:val="0"/>
    <w:rPr>
      <w:kern w:val="2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msolistparagraph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paragraph" w:customStyle="1" w:styleId="24">
    <w:name w:val="Revision"/>
    <w: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</Company>
  <Pages>3</Pages>
  <Words>1615</Words>
  <Characters>1709</Characters>
  <Lines>74</Lines>
  <Paragraphs>53</Paragraphs>
  <TotalTime>6</TotalTime>
  <ScaleCrop>false</ScaleCrop>
  <LinksUpToDate>false</LinksUpToDate>
  <CharactersWithSpaces>1835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2025-05-08T01:01:00Z</dcterms:created>
  <dc:creator>Li</dc:creator>
  <cp:lastModifiedBy>chendm</cp:lastModifiedBy>
  <cp:lastPrinted>2010-08-04T22:50:00Z</cp:lastPrinted>
  <dcterms:modified xsi:type="dcterms:W3CDTF">2026-07-10T08:53:23Z</dcterms:modified>
  <dc:title>四川省上市公司协会文件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731E735C225D464ABBA3BEAB15A89F06_13</vt:lpwstr>
  </property>
  <property fmtid="{D5CDD505-2E9C-101B-9397-08002B2CF9AE}" pid="4" name="KSOTemplateDocerSaveRecord">
    <vt:lpwstr>eyJoZGlkIjoiY2YwZWVjYmM2OTViOTQzMTVkZDU5ZGY3ZjQyZWJmZmIiLCJ1c2VySWQiOiI3OTU5OTU1OTgifQ==</vt:lpwstr>
  </property>
</Properties>
</file>