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D864" w14:textId="7A7CA6F0" w:rsidR="001862F7" w:rsidRPr="00355655" w:rsidRDefault="00F063CB" w:rsidP="002F4EBA">
      <w:pPr>
        <w:snapToGrid w:val="0"/>
        <w:spacing w:before="320"/>
        <w:jc w:val="center"/>
        <w:rPr>
          <w:rFonts w:ascii="Times New Roman" w:eastAsia="方正小标宋_GBK" w:hAnsi="Times New Roman" w:cs="Times New Roman"/>
          <w:b/>
          <w:bCs/>
          <w:sz w:val="30"/>
          <w:szCs w:val="30"/>
        </w:rPr>
      </w:pPr>
      <w:r w:rsidRPr="00355655">
        <w:rPr>
          <w:rFonts w:ascii="Times New Roman" w:eastAsia="方正小标宋_GBK" w:hAnsi="Times New Roman" w:cs="Times New Roman"/>
          <w:b/>
          <w:bCs/>
          <w:sz w:val="30"/>
          <w:szCs w:val="30"/>
        </w:rPr>
        <w:t>上海现代制药股份有限公司</w:t>
      </w:r>
    </w:p>
    <w:p w14:paraId="469A78A8" w14:textId="54C3CE41" w:rsidR="00F063CB" w:rsidRPr="00355655" w:rsidRDefault="00F063CB" w:rsidP="002F4EBA">
      <w:pPr>
        <w:snapToGrid w:val="0"/>
        <w:spacing w:after="160"/>
        <w:jc w:val="center"/>
        <w:rPr>
          <w:rFonts w:ascii="Times New Roman" w:eastAsia="方正小标宋_GBK" w:hAnsi="Times New Roman" w:cs="Times New Roman"/>
          <w:b/>
          <w:bCs/>
          <w:sz w:val="30"/>
          <w:szCs w:val="30"/>
        </w:rPr>
      </w:pPr>
      <w:bookmarkStart w:id="0" w:name="OLE_LINK3"/>
      <w:r w:rsidRPr="00355655">
        <w:rPr>
          <w:rFonts w:ascii="Times New Roman" w:eastAsia="方正小标宋_GBK" w:hAnsi="Times New Roman" w:cs="Times New Roman"/>
          <w:b/>
          <w:bCs/>
          <w:sz w:val="30"/>
          <w:szCs w:val="30"/>
        </w:rPr>
        <w:t>投资者关系活动记录表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0"/>
        <w:gridCol w:w="6806"/>
      </w:tblGrid>
      <w:tr w:rsidR="00176260" w:rsidRPr="00355655" w14:paraId="42C8D678" w14:textId="77777777" w:rsidTr="00862907">
        <w:tc>
          <w:tcPr>
            <w:tcW w:w="1490" w:type="dxa"/>
            <w:vAlign w:val="center"/>
          </w:tcPr>
          <w:p w14:paraId="7E5B5697" w14:textId="77777777" w:rsidR="002F4EBA" w:rsidRPr="00355655" w:rsidRDefault="002F4EBA" w:rsidP="00DF513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355655">
              <w:rPr>
                <w:rFonts w:ascii="Times New Roman" w:eastAsia="宋体" w:hAnsi="Times New Roman" w:cs="Times New Roman"/>
                <w:b/>
                <w:bCs/>
              </w:rPr>
              <w:t>投资者关系</w:t>
            </w:r>
          </w:p>
          <w:p w14:paraId="7869EA30" w14:textId="1684C3E1" w:rsidR="002F4EBA" w:rsidRPr="00355655" w:rsidRDefault="002F4EBA" w:rsidP="00DF513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355655">
              <w:rPr>
                <w:rFonts w:ascii="Times New Roman" w:eastAsia="宋体" w:hAnsi="Times New Roman" w:cs="Times New Roman"/>
                <w:b/>
                <w:bCs/>
              </w:rPr>
              <w:t>活动类别</w:t>
            </w:r>
          </w:p>
        </w:tc>
        <w:tc>
          <w:tcPr>
            <w:tcW w:w="6806" w:type="dxa"/>
          </w:tcPr>
          <w:p w14:paraId="5088984E" w14:textId="56BAF344" w:rsidR="002F4EBA" w:rsidRPr="00355655" w:rsidRDefault="00A773C0" w:rsidP="002F4EBA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355655">
              <w:rPr>
                <w:rFonts w:ascii="Times New Roman" w:eastAsia="宋体" w:hAnsi="Times New Roman" w:cs="Times New Roman"/>
              </w:rPr>
              <w:t>■</w:t>
            </w:r>
            <w:r w:rsidR="002F4EBA" w:rsidRPr="00355655">
              <w:rPr>
                <w:rFonts w:ascii="Times New Roman" w:eastAsia="宋体" w:hAnsi="Times New Roman" w:cs="Times New Roman"/>
              </w:rPr>
              <w:t>特定对象调研</w:t>
            </w:r>
            <w:r w:rsidR="002F4EBA" w:rsidRPr="00355655">
              <w:rPr>
                <w:rFonts w:ascii="Times New Roman" w:eastAsia="宋体" w:hAnsi="Times New Roman" w:cs="Times New Roman"/>
              </w:rPr>
              <w:t xml:space="preserve">        </w:t>
            </w:r>
            <w:r w:rsidR="00B4305D" w:rsidRPr="00355655">
              <w:rPr>
                <w:rFonts w:ascii="Times New Roman" w:eastAsia="宋体" w:hAnsi="Times New Roman" w:cs="Times New Roman"/>
              </w:rPr>
              <w:t>□</w:t>
            </w:r>
            <w:r w:rsidR="002F4EBA" w:rsidRPr="00355655">
              <w:rPr>
                <w:rFonts w:ascii="Times New Roman" w:eastAsia="宋体" w:hAnsi="Times New Roman" w:cs="Times New Roman"/>
              </w:rPr>
              <w:t>分析师会议</w:t>
            </w:r>
            <w:r w:rsidR="002F4EBA" w:rsidRPr="00355655">
              <w:rPr>
                <w:rFonts w:ascii="Times New Roman" w:eastAsia="宋体" w:hAnsi="Times New Roman" w:cs="Times New Roman"/>
              </w:rPr>
              <w:t xml:space="preserve">        □</w:t>
            </w:r>
            <w:r w:rsidR="002F4EBA" w:rsidRPr="00355655">
              <w:rPr>
                <w:rFonts w:ascii="Times New Roman" w:eastAsia="宋体" w:hAnsi="Times New Roman" w:cs="Times New Roman"/>
              </w:rPr>
              <w:t>媒体采访</w:t>
            </w:r>
            <w:r w:rsidR="002F4EBA" w:rsidRPr="00355655">
              <w:rPr>
                <w:rFonts w:ascii="Times New Roman" w:eastAsia="宋体" w:hAnsi="Times New Roman" w:cs="Times New Roman"/>
              </w:rPr>
              <w:t xml:space="preserve">        </w:t>
            </w:r>
            <w:r w:rsidRPr="00355655">
              <w:rPr>
                <w:rFonts w:ascii="Times New Roman" w:eastAsia="宋体" w:hAnsi="Times New Roman" w:cs="Times New Roman"/>
              </w:rPr>
              <w:t>□</w:t>
            </w:r>
            <w:r w:rsidR="002F4EBA" w:rsidRPr="00355655">
              <w:rPr>
                <w:rFonts w:ascii="Times New Roman" w:eastAsia="宋体" w:hAnsi="Times New Roman" w:cs="Times New Roman"/>
              </w:rPr>
              <w:t>业绩</w:t>
            </w:r>
            <w:r w:rsidR="00B4305D" w:rsidRPr="00355655">
              <w:rPr>
                <w:rFonts w:ascii="Times New Roman" w:eastAsia="宋体" w:hAnsi="Times New Roman" w:cs="Times New Roman"/>
              </w:rPr>
              <w:t>沟通</w:t>
            </w:r>
            <w:r w:rsidR="002F4EBA" w:rsidRPr="00355655">
              <w:rPr>
                <w:rFonts w:ascii="Times New Roman" w:eastAsia="宋体" w:hAnsi="Times New Roman" w:cs="Times New Roman"/>
              </w:rPr>
              <w:t>会</w:t>
            </w:r>
          </w:p>
          <w:p w14:paraId="124A2DB9" w14:textId="198BEE53" w:rsidR="002F4EBA" w:rsidRPr="00355655" w:rsidRDefault="002F4EBA" w:rsidP="002F4EBA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355655">
              <w:rPr>
                <w:rFonts w:ascii="Times New Roman" w:eastAsia="宋体" w:hAnsi="Times New Roman" w:cs="Times New Roman"/>
              </w:rPr>
              <w:t>□</w:t>
            </w:r>
            <w:r w:rsidRPr="00355655">
              <w:rPr>
                <w:rFonts w:ascii="Times New Roman" w:eastAsia="宋体" w:hAnsi="Times New Roman" w:cs="Times New Roman"/>
              </w:rPr>
              <w:t>新闻发布会</w:t>
            </w:r>
            <w:r w:rsidRPr="00355655">
              <w:rPr>
                <w:rFonts w:ascii="Times New Roman" w:eastAsia="宋体" w:hAnsi="Times New Roman" w:cs="Times New Roman"/>
              </w:rPr>
              <w:t xml:space="preserve">            □</w:t>
            </w:r>
            <w:r w:rsidRPr="00355655">
              <w:rPr>
                <w:rFonts w:ascii="Times New Roman" w:eastAsia="宋体" w:hAnsi="Times New Roman" w:cs="Times New Roman"/>
              </w:rPr>
              <w:t>路演活动</w:t>
            </w:r>
            <w:r w:rsidRPr="00355655">
              <w:rPr>
                <w:rFonts w:ascii="Times New Roman" w:eastAsia="宋体" w:hAnsi="Times New Roman" w:cs="Times New Roman"/>
              </w:rPr>
              <w:t xml:space="preserve">        □</w:t>
            </w:r>
            <w:r w:rsidRPr="00355655">
              <w:rPr>
                <w:rFonts w:ascii="Times New Roman" w:eastAsia="宋体" w:hAnsi="Times New Roman" w:cs="Times New Roman"/>
              </w:rPr>
              <w:t>其他</w:t>
            </w:r>
          </w:p>
        </w:tc>
      </w:tr>
      <w:tr w:rsidR="00176260" w:rsidRPr="00355655" w14:paraId="048CFD71" w14:textId="77777777" w:rsidTr="00862907">
        <w:tc>
          <w:tcPr>
            <w:tcW w:w="1490" w:type="dxa"/>
            <w:vAlign w:val="center"/>
          </w:tcPr>
          <w:p w14:paraId="2DD87F47" w14:textId="27E9503F" w:rsidR="002F4EBA" w:rsidRPr="00355655" w:rsidRDefault="002F4EBA" w:rsidP="00DF513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355655">
              <w:rPr>
                <w:rFonts w:ascii="Times New Roman" w:eastAsia="宋体" w:hAnsi="Times New Roman" w:cs="Times New Roman"/>
                <w:b/>
                <w:bCs/>
              </w:rPr>
              <w:t>形式</w:t>
            </w:r>
          </w:p>
        </w:tc>
        <w:tc>
          <w:tcPr>
            <w:tcW w:w="6806" w:type="dxa"/>
          </w:tcPr>
          <w:p w14:paraId="65979DC8" w14:textId="4D2ADC44" w:rsidR="002F4EBA" w:rsidRPr="00355655" w:rsidRDefault="00A773C0" w:rsidP="002F4EBA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355655">
              <w:rPr>
                <w:rFonts w:ascii="Times New Roman" w:eastAsia="宋体" w:hAnsi="Times New Roman" w:cs="Times New Roman"/>
              </w:rPr>
              <w:t>■</w:t>
            </w:r>
            <w:r w:rsidR="002F4EBA" w:rsidRPr="00355655">
              <w:rPr>
                <w:rFonts w:ascii="Times New Roman" w:eastAsia="宋体" w:hAnsi="Times New Roman" w:cs="Times New Roman"/>
              </w:rPr>
              <w:t>现场</w:t>
            </w:r>
            <w:r w:rsidR="00DF513F" w:rsidRPr="00355655">
              <w:rPr>
                <w:rFonts w:ascii="Times New Roman" w:eastAsia="宋体" w:hAnsi="Times New Roman" w:cs="Times New Roman"/>
              </w:rPr>
              <w:t>会议</w:t>
            </w:r>
            <w:r w:rsidR="002F4EBA" w:rsidRPr="00355655">
              <w:rPr>
                <w:rFonts w:ascii="Times New Roman" w:eastAsia="宋体" w:hAnsi="Times New Roman" w:cs="Times New Roman"/>
              </w:rPr>
              <w:t xml:space="preserve">   </w:t>
            </w:r>
            <w:r w:rsidR="00DF513F" w:rsidRPr="00355655">
              <w:rPr>
                <w:rFonts w:ascii="Times New Roman" w:eastAsia="宋体" w:hAnsi="Times New Roman" w:cs="Times New Roman"/>
              </w:rPr>
              <w:t xml:space="preserve">  </w:t>
            </w:r>
            <w:r w:rsidR="002F4EBA" w:rsidRPr="00355655">
              <w:rPr>
                <w:rFonts w:ascii="Times New Roman" w:eastAsia="宋体" w:hAnsi="Times New Roman" w:cs="Times New Roman"/>
              </w:rPr>
              <w:t xml:space="preserve">   </w:t>
            </w:r>
            <w:bookmarkStart w:id="1" w:name="OLE_LINK1"/>
            <w:r w:rsidR="002F4EBA" w:rsidRPr="00355655">
              <w:rPr>
                <w:rFonts w:ascii="Times New Roman" w:eastAsia="宋体" w:hAnsi="Times New Roman" w:cs="Times New Roman"/>
              </w:rPr>
              <w:t>□</w:t>
            </w:r>
            <w:bookmarkEnd w:id="1"/>
            <w:r w:rsidR="00DF513F" w:rsidRPr="00355655">
              <w:rPr>
                <w:rFonts w:ascii="Times New Roman" w:eastAsia="宋体" w:hAnsi="Times New Roman" w:cs="Times New Roman"/>
              </w:rPr>
              <w:t>网络会议</w:t>
            </w:r>
            <w:r w:rsidR="002F4EBA" w:rsidRPr="00355655">
              <w:rPr>
                <w:rFonts w:ascii="Times New Roman" w:eastAsia="宋体" w:hAnsi="Times New Roman" w:cs="Times New Roman"/>
              </w:rPr>
              <w:t xml:space="preserve">   </w:t>
            </w:r>
            <w:r w:rsidR="00DF513F" w:rsidRPr="00355655">
              <w:rPr>
                <w:rFonts w:ascii="Times New Roman" w:eastAsia="宋体" w:hAnsi="Times New Roman" w:cs="Times New Roman"/>
              </w:rPr>
              <w:t xml:space="preserve">  </w:t>
            </w:r>
            <w:r w:rsidR="002F4EBA" w:rsidRPr="00355655">
              <w:rPr>
                <w:rFonts w:ascii="Times New Roman" w:eastAsia="宋体" w:hAnsi="Times New Roman" w:cs="Times New Roman"/>
              </w:rPr>
              <w:t xml:space="preserve">   </w:t>
            </w:r>
            <w:r w:rsidRPr="00355655">
              <w:rPr>
                <w:rFonts w:ascii="Times New Roman" w:eastAsia="宋体" w:hAnsi="Times New Roman" w:cs="Times New Roman"/>
              </w:rPr>
              <w:t>□</w:t>
            </w:r>
            <w:r w:rsidR="002F4EBA" w:rsidRPr="00355655">
              <w:rPr>
                <w:rFonts w:ascii="Times New Roman" w:eastAsia="宋体" w:hAnsi="Times New Roman" w:cs="Times New Roman"/>
              </w:rPr>
              <w:t>电话会议</w:t>
            </w:r>
          </w:p>
        </w:tc>
      </w:tr>
      <w:tr w:rsidR="00176260" w:rsidRPr="00355655" w14:paraId="2C1FA8EF" w14:textId="77777777" w:rsidTr="00862907">
        <w:tc>
          <w:tcPr>
            <w:tcW w:w="1490" w:type="dxa"/>
            <w:vAlign w:val="center"/>
          </w:tcPr>
          <w:p w14:paraId="2FE38E3A" w14:textId="7F52F8A4" w:rsidR="002F4EBA" w:rsidRPr="00355655" w:rsidRDefault="002F4EBA" w:rsidP="00DF513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355655">
              <w:rPr>
                <w:rFonts w:ascii="Times New Roman" w:eastAsia="宋体" w:hAnsi="Times New Roman" w:cs="Times New Roman"/>
                <w:b/>
                <w:bCs/>
              </w:rPr>
              <w:t>参与单位名称</w:t>
            </w:r>
          </w:p>
        </w:tc>
        <w:tc>
          <w:tcPr>
            <w:tcW w:w="6806" w:type="dxa"/>
            <w:vAlign w:val="center"/>
          </w:tcPr>
          <w:p w14:paraId="47D4070F" w14:textId="53DF5640" w:rsidR="002F4EBA" w:rsidRPr="00355655" w:rsidRDefault="008C0624" w:rsidP="00A773C0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8C0624">
              <w:rPr>
                <w:rFonts w:ascii="Times New Roman" w:eastAsia="宋体" w:hAnsi="Times New Roman" w:cs="Times New Roman" w:hint="eastAsia"/>
              </w:rPr>
              <w:t>上海联创飞达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 w:rsidRPr="008C0624">
              <w:rPr>
                <w:rFonts w:ascii="Times New Roman" w:eastAsia="宋体" w:hAnsi="Times New Roman" w:cs="Times New Roman" w:hint="eastAsia"/>
              </w:rPr>
              <w:t>中证鹏元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 w:rsidRPr="008C0624">
              <w:rPr>
                <w:rFonts w:ascii="Times New Roman" w:eastAsia="宋体" w:hAnsi="Times New Roman" w:cs="Times New Roman" w:hint="eastAsia"/>
              </w:rPr>
              <w:t>高帆资本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 w:rsidRPr="008C0624">
              <w:rPr>
                <w:rFonts w:ascii="Times New Roman" w:eastAsia="宋体" w:hAnsi="Times New Roman" w:cs="Times New Roman" w:hint="eastAsia"/>
              </w:rPr>
              <w:t>国科龙晖基金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 w:rsidR="0084619D">
              <w:rPr>
                <w:rFonts w:ascii="Times New Roman" w:eastAsia="宋体" w:hAnsi="Times New Roman" w:cs="Times New Roman" w:hint="eastAsia"/>
              </w:rPr>
              <w:t>宁波银行、</w:t>
            </w:r>
            <w:r w:rsidR="0084619D" w:rsidRPr="0084619D">
              <w:rPr>
                <w:rFonts w:ascii="Times New Roman" w:eastAsia="宋体" w:hAnsi="Times New Roman" w:cs="Times New Roman" w:hint="eastAsia"/>
              </w:rPr>
              <w:t>裘明资产</w:t>
            </w:r>
            <w:r w:rsidR="0084619D">
              <w:rPr>
                <w:rFonts w:ascii="Times New Roman" w:eastAsia="宋体" w:hAnsi="Times New Roman" w:cs="Times New Roman" w:hint="eastAsia"/>
              </w:rPr>
              <w:t>、</w:t>
            </w:r>
            <w:r w:rsidR="0084619D" w:rsidRPr="0084619D">
              <w:rPr>
                <w:rFonts w:ascii="Times New Roman" w:eastAsia="宋体" w:hAnsi="Times New Roman" w:cs="Times New Roman" w:hint="eastAsia"/>
              </w:rPr>
              <w:t>汇融启晟</w:t>
            </w:r>
            <w:r w:rsidR="0084619D">
              <w:rPr>
                <w:rFonts w:ascii="Times New Roman" w:eastAsia="宋体" w:hAnsi="Times New Roman" w:cs="Times New Roman" w:hint="eastAsia"/>
              </w:rPr>
              <w:t>、</w:t>
            </w:r>
            <w:r w:rsidR="0084619D" w:rsidRPr="0084619D">
              <w:rPr>
                <w:rFonts w:ascii="Times New Roman" w:eastAsia="宋体" w:hAnsi="Times New Roman" w:cs="Times New Roman" w:hint="eastAsia"/>
              </w:rPr>
              <w:t>东方红基金</w:t>
            </w:r>
          </w:p>
        </w:tc>
      </w:tr>
      <w:tr w:rsidR="00176260" w:rsidRPr="00355655" w14:paraId="189EAD9F" w14:textId="77777777" w:rsidTr="00862907">
        <w:tc>
          <w:tcPr>
            <w:tcW w:w="1490" w:type="dxa"/>
            <w:vAlign w:val="center"/>
          </w:tcPr>
          <w:p w14:paraId="55A0B489" w14:textId="0A1C4414" w:rsidR="002F4EBA" w:rsidRPr="00355655" w:rsidRDefault="002F4EBA" w:rsidP="00DF513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355655">
              <w:rPr>
                <w:rFonts w:ascii="Times New Roman" w:eastAsia="宋体" w:hAnsi="Times New Roman" w:cs="Times New Roman"/>
                <w:b/>
                <w:bCs/>
              </w:rPr>
              <w:t>时间</w:t>
            </w:r>
          </w:p>
        </w:tc>
        <w:tc>
          <w:tcPr>
            <w:tcW w:w="6806" w:type="dxa"/>
          </w:tcPr>
          <w:p w14:paraId="113AD233" w14:textId="57008ADC" w:rsidR="002F4EBA" w:rsidRPr="00355655" w:rsidRDefault="0058648F" w:rsidP="005F7A20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2026</w:t>
            </w:r>
            <w:r>
              <w:rPr>
                <w:rFonts w:ascii="Times New Roman" w:eastAsia="宋体" w:hAnsi="Times New Roman" w:cs="Times New Roman" w:hint="eastAsia"/>
              </w:rPr>
              <w:t>年</w:t>
            </w:r>
            <w:r>
              <w:rPr>
                <w:rFonts w:ascii="Times New Roman" w:eastAsia="宋体" w:hAnsi="Times New Roman" w:cs="Times New Roman" w:hint="eastAsia"/>
              </w:rPr>
              <w:t>7</w:t>
            </w:r>
            <w:r>
              <w:rPr>
                <w:rFonts w:ascii="Times New Roman" w:eastAsia="宋体" w:hAnsi="Times New Roman" w:cs="Times New Roman" w:hint="eastAsia"/>
              </w:rPr>
              <w:t>月</w:t>
            </w: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日、</w:t>
            </w:r>
            <w:r w:rsidR="005F7A20" w:rsidRPr="00355655">
              <w:rPr>
                <w:rFonts w:ascii="Times New Roman" w:eastAsia="宋体" w:hAnsi="Times New Roman" w:cs="Times New Roman"/>
              </w:rPr>
              <w:t>202</w:t>
            </w:r>
            <w:r w:rsidR="0058646E" w:rsidRPr="00355655">
              <w:rPr>
                <w:rFonts w:ascii="Times New Roman" w:eastAsia="宋体" w:hAnsi="Times New Roman" w:cs="Times New Roman"/>
              </w:rPr>
              <w:t>6</w:t>
            </w:r>
            <w:r w:rsidR="005F7A20" w:rsidRPr="00355655">
              <w:rPr>
                <w:rFonts w:ascii="Times New Roman" w:eastAsia="宋体" w:hAnsi="Times New Roman" w:cs="Times New Roman"/>
              </w:rPr>
              <w:t>年</w:t>
            </w:r>
            <w:r w:rsidR="008C0624">
              <w:rPr>
                <w:rFonts w:ascii="Times New Roman" w:eastAsia="宋体" w:hAnsi="Times New Roman" w:cs="Times New Roman" w:hint="eastAsia"/>
              </w:rPr>
              <w:t>7</w:t>
            </w:r>
            <w:r w:rsidR="005F7A20" w:rsidRPr="00355655">
              <w:rPr>
                <w:rFonts w:ascii="Times New Roman" w:eastAsia="宋体" w:hAnsi="Times New Roman" w:cs="Times New Roman"/>
              </w:rPr>
              <w:t>月</w:t>
            </w:r>
            <w:r w:rsidR="008C0624">
              <w:rPr>
                <w:rFonts w:ascii="Times New Roman" w:eastAsia="宋体" w:hAnsi="Times New Roman" w:cs="Times New Roman" w:hint="eastAsia"/>
              </w:rPr>
              <w:t>9</w:t>
            </w:r>
            <w:r w:rsidR="00DF513F" w:rsidRPr="00355655">
              <w:rPr>
                <w:rFonts w:ascii="Times New Roman" w:eastAsia="宋体" w:hAnsi="Times New Roman" w:cs="Times New Roman"/>
              </w:rPr>
              <w:t>日</w:t>
            </w:r>
          </w:p>
        </w:tc>
      </w:tr>
      <w:tr w:rsidR="00176260" w:rsidRPr="00355655" w14:paraId="4E559D38" w14:textId="77777777" w:rsidTr="00862907">
        <w:tc>
          <w:tcPr>
            <w:tcW w:w="1490" w:type="dxa"/>
            <w:vAlign w:val="center"/>
          </w:tcPr>
          <w:p w14:paraId="520F645C" w14:textId="79311D63" w:rsidR="002F4EBA" w:rsidRPr="00355655" w:rsidRDefault="002F4EBA" w:rsidP="00DF513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355655">
              <w:rPr>
                <w:rFonts w:ascii="Times New Roman" w:eastAsia="宋体" w:hAnsi="Times New Roman" w:cs="Times New Roman"/>
                <w:b/>
                <w:bCs/>
              </w:rPr>
              <w:t>上市公司接待人员姓名</w:t>
            </w:r>
          </w:p>
        </w:tc>
        <w:tc>
          <w:tcPr>
            <w:tcW w:w="6806" w:type="dxa"/>
            <w:vAlign w:val="center"/>
          </w:tcPr>
          <w:p w14:paraId="17FA3CF3" w14:textId="09FE5F05" w:rsidR="008C0624" w:rsidRDefault="008C0624" w:rsidP="00DF513F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董事会秘书：</w:t>
            </w:r>
            <w:r w:rsidR="00C16302" w:rsidRPr="00C16302">
              <w:rPr>
                <w:rFonts w:ascii="Times New Roman" w:eastAsia="宋体" w:hAnsi="Times New Roman" w:cs="Times New Roman" w:hint="eastAsia"/>
              </w:rPr>
              <w:t>张忠喜</w:t>
            </w:r>
          </w:p>
          <w:p w14:paraId="302303A5" w14:textId="3A6035BC" w:rsidR="0058646E" w:rsidRPr="00355655" w:rsidRDefault="00B4305D" w:rsidP="00DF513F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355655">
              <w:rPr>
                <w:rFonts w:ascii="Times New Roman" w:eastAsia="宋体" w:hAnsi="Times New Roman" w:cs="Times New Roman"/>
              </w:rPr>
              <w:t>董事会办公室主任</w:t>
            </w:r>
            <w:r w:rsidR="00DF513F" w:rsidRPr="00355655">
              <w:rPr>
                <w:rFonts w:ascii="Times New Roman" w:eastAsia="宋体" w:hAnsi="Times New Roman" w:cs="Times New Roman"/>
              </w:rPr>
              <w:t>：</w:t>
            </w:r>
            <w:r w:rsidRPr="00355655">
              <w:rPr>
                <w:rFonts w:ascii="Times New Roman" w:eastAsia="宋体" w:hAnsi="Times New Roman" w:cs="Times New Roman"/>
              </w:rPr>
              <w:t>程晓瑜</w:t>
            </w:r>
          </w:p>
          <w:p w14:paraId="48814A2A" w14:textId="7756FFA6" w:rsidR="00A773C0" w:rsidRPr="00355655" w:rsidRDefault="00A773C0" w:rsidP="00DF513F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355655">
              <w:rPr>
                <w:rFonts w:ascii="Times New Roman" w:eastAsia="宋体" w:hAnsi="Times New Roman" w:cs="Times New Roman"/>
              </w:rPr>
              <w:t>证券</w:t>
            </w:r>
            <w:r w:rsidR="00BC74CA">
              <w:rPr>
                <w:rFonts w:ascii="Times New Roman" w:eastAsia="宋体" w:hAnsi="Times New Roman" w:cs="Times New Roman" w:hint="eastAsia"/>
              </w:rPr>
              <w:t>事务</w:t>
            </w:r>
            <w:r w:rsidRPr="00355655">
              <w:rPr>
                <w:rFonts w:ascii="Times New Roman" w:eastAsia="宋体" w:hAnsi="Times New Roman" w:cs="Times New Roman"/>
              </w:rPr>
              <w:t>代表：景倩吟</w:t>
            </w:r>
          </w:p>
          <w:p w14:paraId="3389F3AA" w14:textId="3092B0F6" w:rsidR="00A773C0" w:rsidRPr="00355655" w:rsidRDefault="00A773C0" w:rsidP="00DF513F">
            <w:pPr>
              <w:spacing w:line="400" w:lineRule="exact"/>
              <w:jc w:val="left"/>
              <w:rPr>
                <w:rFonts w:ascii="Times New Roman" w:eastAsia="宋体" w:hAnsi="Times New Roman" w:cs="Times New Roman"/>
              </w:rPr>
            </w:pPr>
            <w:r w:rsidRPr="00355655">
              <w:rPr>
                <w:rFonts w:ascii="Times New Roman" w:eastAsia="宋体" w:hAnsi="Times New Roman" w:cs="Times New Roman"/>
              </w:rPr>
              <w:t>证券事务</w:t>
            </w:r>
            <w:r w:rsidR="00862907">
              <w:rPr>
                <w:rFonts w:ascii="Times New Roman" w:eastAsia="宋体" w:hAnsi="Times New Roman" w:cs="Times New Roman" w:hint="eastAsia"/>
              </w:rPr>
              <w:t>专员</w:t>
            </w:r>
            <w:r w:rsidRPr="00355655">
              <w:rPr>
                <w:rFonts w:ascii="Times New Roman" w:eastAsia="宋体" w:hAnsi="Times New Roman" w:cs="Times New Roman"/>
              </w:rPr>
              <w:t>：王楚杰</w:t>
            </w:r>
          </w:p>
        </w:tc>
      </w:tr>
      <w:tr w:rsidR="00176260" w:rsidRPr="00663E0E" w14:paraId="7926859A" w14:textId="77777777" w:rsidTr="00862907">
        <w:tc>
          <w:tcPr>
            <w:tcW w:w="1490" w:type="dxa"/>
            <w:vAlign w:val="center"/>
          </w:tcPr>
          <w:p w14:paraId="6941CBC6" w14:textId="17BF622E" w:rsidR="002F4EBA" w:rsidRPr="00355655" w:rsidRDefault="002F4EBA" w:rsidP="00DF513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355655">
              <w:rPr>
                <w:rFonts w:ascii="Times New Roman" w:eastAsia="宋体" w:hAnsi="Times New Roman" w:cs="Times New Roman"/>
                <w:b/>
                <w:bCs/>
              </w:rPr>
              <w:t>投资者关系活动主要内容介绍</w:t>
            </w:r>
          </w:p>
        </w:tc>
        <w:tc>
          <w:tcPr>
            <w:tcW w:w="6806" w:type="dxa"/>
          </w:tcPr>
          <w:p w14:paraId="4A1EC9EE" w14:textId="5C19C78E" w:rsidR="0058648F" w:rsidRPr="005C3399" w:rsidRDefault="00437FBC" w:rsidP="005C3399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</w:pPr>
            <w:r w:rsidRPr="005C3399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1</w:t>
            </w:r>
            <w:bookmarkStart w:id="2" w:name="OLE_LINK5"/>
            <w:r w:rsidR="005C3399" w:rsidRPr="005C3399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．</w:t>
            </w:r>
            <w:bookmarkEnd w:id="2"/>
            <w:r w:rsidR="00693449" w:rsidRPr="005C3399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公司今年一季度业绩下降幅度较大，主要是什么原因？</w:t>
            </w:r>
          </w:p>
          <w:p w14:paraId="147F0E06" w14:textId="5CD4083B" w:rsidR="0058648F" w:rsidRDefault="00BF2692" w:rsidP="0099704D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公司业务主要由</w:t>
            </w:r>
            <w:bookmarkStart w:id="3" w:name="OLE_LINK4"/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医药中间体和原料药</w:t>
            </w:r>
            <w:bookmarkEnd w:id="3"/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板块、制剂板块构成，其中医药中间体和原料药业务收入占比将近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50%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。</w:t>
            </w:r>
            <w:r w:rsidRPr="00BF2692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抗生素类医药中间体及原料药为大宗产品，受市场供求影响较大，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具有</w:t>
            </w:r>
            <w:r w:rsidRPr="00BF2692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周期性波动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的特性。</w:t>
            </w:r>
            <w:r w:rsidR="005C3399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2025</w:t>
            </w:r>
            <w:r w:rsidR="005C3399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年下半年以来，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国际局势动荡</w:t>
            </w:r>
            <w:r w:rsidR="00693449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，</w:t>
            </w:r>
            <w:r w:rsidRPr="00BF2692">
              <w:rPr>
                <w:rFonts w:ascii="Times New Roman" w:eastAsia="宋体" w:hAnsi="Times New Roman" w:cs="Times New Roman"/>
                <w:szCs w:val="21"/>
                <w14:ligatures w14:val="none"/>
              </w:rPr>
              <w:t>欧美推动供应链去风险化与本土产能重建，印度市场的贸易壁垒</w:t>
            </w:r>
            <w:r w:rsidR="0099704D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也逐步</w:t>
            </w:r>
            <w:r w:rsidRPr="00BF2692">
              <w:rPr>
                <w:rFonts w:ascii="Times New Roman" w:eastAsia="宋体" w:hAnsi="Times New Roman" w:cs="Times New Roman"/>
                <w:szCs w:val="21"/>
                <w14:ligatures w14:val="none"/>
              </w:rPr>
              <w:t>升级</w:t>
            </w:r>
            <w:r w:rsidR="0099704D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，</w:t>
            </w:r>
            <w:r w:rsidR="0099704D" w:rsidRPr="0099704D">
              <w:rPr>
                <w:rFonts w:ascii="Times New Roman" w:eastAsia="宋体" w:hAnsi="Times New Roman" w:cs="Times New Roman"/>
                <w:szCs w:val="21"/>
                <w14:ligatures w14:val="none"/>
              </w:rPr>
              <w:t>前期扩产的抗生素产能过剩矛盾</w:t>
            </w:r>
            <w:r w:rsidR="0099704D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逐渐</w:t>
            </w:r>
            <w:r w:rsidR="0099704D" w:rsidRPr="0099704D">
              <w:rPr>
                <w:rFonts w:ascii="Times New Roman" w:eastAsia="宋体" w:hAnsi="Times New Roman" w:cs="Times New Roman"/>
                <w:szCs w:val="21"/>
                <w14:ligatures w14:val="none"/>
              </w:rPr>
              <w:t>暴露</w:t>
            </w:r>
            <w:r w:rsidR="0099704D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，同时由于国家集采制剂产品降价效应向产业链上游传导，原料药行业竞争加剧。公司积极采取应对措施，优化销售结构，</w:t>
            </w:r>
            <w:r w:rsidR="0099704D" w:rsidRPr="0099704D">
              <w:rPr>
                <w:rFonts w:ascii="Times New Roman" w:eastAsia="宋体" w:hAnsi="Times New Roman" w:cs="Times New Roman"/>
                <w:szCs w:val="21"/>
                <w14:ligatures w14:val="none"/>
              </w:rPr>
              <w:t>主动以价换量争取市场份额</w:t>
            </w:r>
            <w:r w:rsidR="0099704D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，</w:t>
            </w:r>
            <w:r w:rsidR="0099704D" w:rsidRPr="0099704D">
              <w:rPr>
                <w:rFonts w:ascii="Times New Roman" w:eastAsia="宋体" w:hAnsi="Times New Roman" w:cs="Times New Roman"/>
                <w:szCs w:val="21"/>
                <w14:ligatures w14:val="none"/>
              </w:rPr>
              <w:t>因价格下行导致医药中间体及原料药板块毛利率大幅下降，从上年同期的</w:t>
            </w:r>
            <w:r w:rsidR="0099704D" w:rsidRPr="0099704D">
              <w:rPr>
                <w:rFonts w:ascii="Times New Roman" w:eastAsia="宋体" w:hAnsi="Times New Roman" w:cs="Times New Roman"/>
                <w:szCs w:val="21"/>
                <w14:ligatures w14:val="none"/>
              </w:rPr>
              <w:t>32.65%</w:t>
            </w:r>
            <w:r w:rsidR="0099704D" w:rsidRPr="0099704D">
              <w:rPr>
                <w:rFonts w:ascii="Times New Roman" w:eastAsia="宋体" w:hAnsi="Times New Roman" w:cs="Times New Roman"/>
                <w:szCs w:val="21"/>
                <w14:ligatures w14:val="none"/>
              </w:rPr>
              <w:t>降至</w:t>
            </w:r>
            <w:r w:rsidR="0099704D" w:rsidRPr="0099704D">
              <w:rPr>
                <w:rFonts w:ascii="Times New Roman" w:eastAsia="宋体" w:hAnsi="Times New Roman" w:cs="Times New Roman"/>
                <w:szCs w:val="21"/>
                <w14:ligatures w14:val="none"/>
              </w:rPr>
              <w:t>15.35%</w:t>
            </w:r>
            <w:r w:rsidR="0099704D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，这是导致公司今年一季度归母净利润大幅下降的主要因素。制剂板块业务经营相对稳定，但随着集采常态化推进，化学仿制药行业的竞争压力依然较大。</w:t>
            </w:r>
          </w:p>
          <w:p w14:paraId="799BE9B9" w14:textId="6DBE3AB9" w:rsidR="003013EC" w:rsidRPr="0099704D" w:rsidRDefault="00693449" w:rsidP="005C3399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</w:pPr>
            <w:r w:rsidRPr="0099704D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2</w:t>
            </w:r>
            <w:r w:rsidR="0099704D" w:rsidRPr="005C3399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．</w:t>
            </w:r>
            <w:r w:rsidR="00E71DB3" w:rsidRPr="0099704D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公司</w:t>
            </w:r>
            <w:r w:rsidRPr="0099704D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在</w:t>
            </w:r>
            <w:r w:rsidR="00E71DB3" w:rsidRPr="0099704D"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  <w:t>外延并购</w:t>
            </w:r>
            <w:r w:rsidRPr="0099704D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以及</w:t>
            </w:r>
            <w:r w:rsidR="00437FBC" w:rsidRPr="0099704D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创新药发展路径</w:t>
            </w:r>
            <w:r w:rsidRPr="0099704D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上有何</w:t>
            </w:r>
            <w:r w:rsidR="00521B96" w:rsidRPr="0099704D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思路</w:t>
            </w:r>
            <w:r w:rsidR="00437FBC" w:rsidRPr="0099704D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？</w:t>
            </w:r>
          </w:p>
          <w:p w14:paraId="00C0DCAD" w14:textId="743D59D9" w:rsidR="007A1EB8" w:rsidRDefault="007A1EB8" w:rsidP="005C3399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7A1EB8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公司是国药集团旗下化学制药工业发展与资本运作的核心平台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，</w:t>
            </w:r>
            <w:r w:rsidRPr="007A1EB8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作为以化学仿制药起家的企业，面对行业发展新趋势，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将在聚焦主责主业的基础上，坚持内生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+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外延发展的双轮驱动，</w:t>
            </w:r>
            <w:r w:rsidR="00663E0E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积极推进</w:t>
            </w:r>
            <w:r w:rsidRPr="000B1E8F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外延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发展。</w:t>
            </w:r>
          </w:p>
          <w:p w14:paraId="5A23C3B1" w14:textId="7AC60419" w:rsidR="00663E0E" w:rsidRPr="00663E0E" w:rsidRDefault="00663E0E" w:rsidP="00663E0E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663E0E">
              <w:rPr>
                <w:rFonts w:ascii="Times New Roman" w:eastAsia="宋体" w:hAnsi="Times New Roman" w:cs="Times New Roman"/>
                <w:szCs w:val="21"/>
                <w14:ligatures w14:val="none"/>
              </w:rPr>
              <w:t>公司以患者未被满足的临床需求为导向，立足核心业务领域，围绕</w:t>
            </w:r>
            <w:r w:rsidR="00B61DA7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公司战略规划、</w:t>
            </w:r>
            <w:r w:rsidRPr="00663E0E">
              <w:rPr>
                <w:rFonts w:ascii="Times New Roman" w:eastAsia="宋体" w:hAnsi="Times New Roman" w:cs="Times New Roman"/>
                <w:szCs w:val="21"/>
                <w14:ligatures w14:val="none"/>
              </w:rPr>
              <w:t>产业链与技术链图谱，聚焦核心技术、优质产品及产业链协同布局。在巩</w:t>
            </w:r>
            <w:r w:rsidRPr="00663E0E">
              <w:rPr>
                <w:rFonts w:ascii="宋体" w:eastAsia="宋体" w:hAnsi="宋体" w:cs="Times New Roman"/>
                <w:szCs w:val="21"/>
                <w14:ligatures w14:val="none"/>
              </w:rPr>
              <w:t>固“仿制药基石”地位的</w:t>
            </w:r>
            <w:r w:rsidRPr="00663E0E">
              <w:rPr>
                <w:rFonts w:ascii="Times New Roman" w:eastAsia="宋体" w:hAnsi="Times New Roman" w:cs="Times New Roman"/>
                <w:szCs w:val="21"/>
                <w14:ligatures w14:val="none"/>
              </w:rPr>
              <w:t>基础上，公司正稳步向创新药及差异化方向转型升级，深耕抗感染、麻醉精神、慢病等传统优势领</w:t>
            </w:r>
            <w:r w:rsidRPr="00663E0E">
              <w:rPr>
                <w:rFonts w:ascii="Times New Roman" w:eastAsia="宋体" w:hAnsi="Times New Roman" w:cs="Times New Roman"/>
                <w:szCs w:val="21"/>
                <w14:ligatures w14:val="none"/>
              </w:rPr>
              <w:lastRenderedPageBreak/>
              <w:t>域。通过自</w:t>
            </w:r>
            <w:proofErr w:type="gramStart"/>
            <w:r w:rsidRPr="00663E0E">
              <w:rPr>
                <w:rFonts w:ascii="Times New Roman" w:eastAsia="宋体" w:hAnsi="Times New Roman" w:cs="Times New Roman"/>
                <w:szCs w:val="21"/>
                <w14:ligatures w14:val="none"/>
              </w:rPr>
              <w:t>研</w:t>
            </w:r>
            <w:proofErr w:type="gramEnd"/>
            <w:r w:rsidRPr="00663E0E">
              <w:rPr>
                <w:rFonts w:ascii="Times New Roman" w:eastAsia="宋体" w:hAnsi="Times New Roman" w:cs="Times New Roman"/>
                <w:szCs w:val="21"/>
                <w14:ligatures w14:val="none"/>
              </w:rPr>
              <w:t>、技术许可引进、合作研发、管线收购及股权并购等多元化方式，持续完善产业布局、丰富产品矩阵、强化核心竞争力，推动产业升级与高质量发展。</w:t>
            </w:r>
          </w:p>
          <w:p w14:paraId="29174048" w14:textId="3B081967" w:rsidR="00663E0E" w:rsidRPr="00663E0E" w:rsidRDefault="00663E0E" w:rsidP="00663E0E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663E0E">
              <w:rPr>
                <w:rFonts w:ascii="Times New Roman" w:eastAsia="宋体" w:hAnsi="Times New Roman" w:cs="Times New Roman"/>
                <w:szCs w:val="21"/>
                <w14:ligatures w14:val="none"/>
              </w:rPr>
              <w:t>在项目拓展方面，公司通过多元渠道积极对接</w:t>
            </w:r>
            <w:r w:rsidR="00397F7C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项目</w:t>
            </w:r>
            <w:r w:rsidRPr="00663E0E">
              <w:rPr>
                <w:rFonts w:ascii="Times New Roman" w:eastAsia="宋体" w:hAnsi="Times New Roman" w:cs="Times New Roman"/>
                <w:szCs w:val="21"/>
                <w14:ligatures w14:val="none"/>
              </w:rPr>
              <w:t>。鉴于化学仿制药行业处于下行周期、盈利空间持续承压，且创新药具有高投入、高风险属性，公司将对</w:t>
            </w:r>
            <w:r w:rsidR="00397F7C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投资并购</w:t>
            </w:r>
            <w:r w:rsidRPr="00663E0E">
              <w:rPr>
                <w:rFonts w:ascii="Times New Roman" w:eastAsia="宋体" w:hAnsi="Times New Roman" w:cs="Times New Roman"/>
                <w:szCs w:val="21"/>
                <w14:ligatures w14:val="none"/>
              </w:rPr>
              <w:t>项目保持审慎</w:t>
            </w:r>
            <w:proofErr w:type="gramStart"/>
            <w:r w:rsidRPr="00663E0E">
              <w:rPr>
                <w:rFonts w:ascii="Times New Roman" w:eastAsia="宋体" w:hAnsi="Times New Roman" w:cs="Times New Roman"/>
                <w:szCs w:val="21"/>
                <w14:ligatures w14:val="none"/>
              </w:rPr>
              <w:t>研</w:t>
            </w:r>
            <w:proofErr w:type="gramEnd"/>
            <w:r w:rsidRPr="00663E0E">
              <w:rPr>
                <w:rFonts w:ascii="Times New Roman" w:eastAsia="宋体" w:hAnsi="Times New Roman" w:cs="Times New Roman"/>
                <w:szCs w:val="21"/>
                <w14:ligatures w14:val="none"/>
              </w:rPr>
              <w:t>判。后续如有重大进展，将及时履行信息披露义务。</w:t>
            </w:r>
          </w:p>
          <w:p w14:paraId="3FF83F0A" w14:textId="1CBB931E" w:rsidR="00437FBC" w:rsidRPr="00D12BE6" w:rsidRDefault="00693449" w:rsidP="00D12BE6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</w:pPr>
            <w:r w:rsidRPr="00D12BE6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3</w:t>
            </w:r>
            <w:bookmarkStart w:id="4" w:name="OLE_LINK8"/>
            <w:r w:rsidR="00D12BE6" w:rsidRPr="005C3399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．</w:t>
            </w:r>
            <w:bookmarkStart w:id="5" w:name="OLE_LINK6"/>
            <w:bookmarkEnd w:id="4"/>
            <w:r w:rsidR="00DB45A9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请</w:t>
            </w:r>
            <w:r w:rsidR="00394AD5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具体</w:t>
            </w:r>
            <w:r w:rsidR="00DB45A9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介绍下</w:t>
            </w:r>
            <w:r w:rsidR="00085D2A" w:rsidRPr="00D12BE6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公司</w:t>
            </w:r>
            <w:r w:rsidRPr="00D12BE6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2026</w:t>
            </w:r>
            <w:r w:rsidRPr="00D12BE6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年度</w:t>
            </w:r>
            <w:r w:rsidR="00DB45A9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投资计划</w:t>
            </w:r>
            <w:bookmarkEnd w:id="5"/>
            <w:r w:rsidR="00085D2A" w:rsidRPr="00D12BE6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？</w:t>
            </w:r>
          </w:p>
          <w:p w14:paraId="67427312" w14:textId="7B392D1A" w:rsidR="00394AD5" w:rsidRDefault="00DB45A9" w:rsidP="005C3399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根据公司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2026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年度投资计划，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2026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年公司</w:t>
            </w:r>
            <w:r w:rsidR="00394AD5" w:rsidRPr="00394AD5">
              <w:rPr>
                <w:rFonts w:ascii="Times New Roman" w:eastAsia="宋体" w:hAnsi="Times New Roman" w:cs="Times New Roman"/>
                <w:szCs w:val="21"/>
                <w14:ligatures w14:val="none"/>
              </w:rPr>
              <w:t>计划投资</w:t>
            </w:r>
            <w:r w:rsidR="00394AD5" w:rsidRPr="00394AD5">
              <w:rPr>
                <w:rFonts w:ascii="Times New Roman" w:eastAsia="宋体" w:hAnsi="Times New Roman" w:cs="Times New Roman"/>
                <w:szCs w:val="21"/>
                <w14:ligatures w14:val="none"/>
              </w:rPr>
              <w:t>22.69</w:t>
            </w:r>
            <w:r w:rsidR="00394AD5" w:rsidRPr="00394AD5">
              <w:rPr>
                <w:rFonts w:ascii="Times New Roman" w:eastAsia="宋体" w:hAnsi="Times New Roman" w:cs="Times New Roman"/>
                <w:szCs w:val="21"/>
                <w14:ligatures w14:val="none"/>
              </w:rPr>
              <w:t>亿元</w:t>
            </w:r>
            <w:r w:rsidR="00394AD5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，其中</w:t>
            </w:r>
            <w:r w:rsidR="00394AD5" w:rsidRPr="00394AD5">
              <w:rPr>
                <w:rFonts w:ascii="Times New Roman" w:eastAsia="宋体" w:hAnsi="Times New Roman" w:cs="Times New Roman"/>
                <w:szCs w:val="21"/>
                <w14:ligatures w14:val="none"/>
              </w:rPr>
              <w:t>固定资产项目计划投资</w:t>
            </w:r>
            <w:r w:rsidR="00394AD5" w:rsidRPr="00394AD5">
              <w:rPr>
                <w:rFonts w:ascii="Times New Roman" w:eastAsia="宋体" w:hAnsi="Times New Roman" w:cs="Times New Roman"/>
                <w:szCs w:val="21"/>
                <w14:ligatures w14:val="none"/>
              </w:rPr>
              <w:t>11.19</w:t>
            </w:r>
            <w:r w:rsidR="00394AD5" w:rsidRPr="00394AD5">
              <w:rPr>
                <w:rFonts w:ascii="Times New Roman" w:eastAsia="宋体" w:hAnsi="Times New Roman" w:cs="Times New Roman"/>
                <w:szCs w:val="21"/>
                <w14:ligatures w14:val="none"/>
              </w:rPr>
              <w:t>亿元，</w:t>
            </w:r>
            <w:r w:rsidR="00394AD5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主要涉及</w:t>
            </w:r>
            <w:r w:rsidR="00394AD5" w:rsidRPr="00D24A82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多个生产基地的</w:t>
            </w:r>
            <w:r w:rsidR="00394AD5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现有制剂产线升级、新型制剂产能建设、原料药产能与质量提升等。</w:t>
            </w:r>
            <w:r w:rsidR="00394AD5" w:rsidRPr="00394AD5">
              <w:rPr>
                <w:rFonts w:ascii="Times New Roman" w:eastAsia="宋体" w:hAnsi="Times New Roman" w:cs="Times New Roman"/>
                <w:szCs w:val="21"/>
                <w14:ligatures w14:val="none"/>
              </w:rPr>
              <w:t>股权项目计划投资</w:t>
            </w:r>
            <w:r w:rsidR="00394AD5" w:rsidRPr="00394AD5">
              <w:rPr>
                <w:rFonts w:ascii="Times New Roman" w:eastAsia="宋体" w:hAnsi="Times New Roman" w:cs="Times New Roman"/>
                <w:szCs w:val="21"/>
                <w14:ligatures w14:val="none"/>
              </w:rPr>
              <w:t>11.50</w:t>
            </w:r>
            <w:r w:rsidR="00394AD5" w:rsidRPr="00394AD5">
              <w:rPr>
                <w:rFonts w:ascii="Times New Roman" w:eastAsia="宋体" w:hAnsi="Times New Roman" w:cs="Times New Roman"/>
                <w:szCs w:val="21"/>
                <w14:ligatures w14:val="none"/>
              </w:rPr>
              <w:t>亿元</w:t>
            </w:r>
            <w:r w:rsidR="00394AD5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，将以公司战略为指引，开展创新升级、产业链整合</w:t>
            </w:r>
            <w:r w:rsidR="001235A5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等方面的项目推进。</w:t>
            </w:r>
          </w:p>
          <w:p w14:paraId="138FF8BB" w14:textId="6DA9A868" w:rsidR="00B32D96" w:rsidRDefault="001235A5" w:rsidP="005C3399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固定资产投资大多已完成审批程序，正在或即将建设的项目，确定性较强</w:t>
            </w:r>
            <w:r w:rsidR="00D24A82" w:rsidRPr="00D24A82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。股权投资方面保持规划弹性，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将</w:t>
            </w:r>
            <w:r w:rsidR="00D24A82" w:rsidRPr="00D24A82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视具体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项目推进情况进行</w:t>
            </w:r>
            <w:r w:rsidR="00D24A82" w:rsidRPr="00D24A82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调整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，如明确具体投资方案公司</w:t>
            </w:r>
            <w:r w:rsidR="00306B6E" w:rsidRPr="00306B6E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将按规定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另行</w:t>
            </w:r>
            <w:r w:rsidR="00306B6E" w:rsidRPr="00306B6E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履行相应决策程序和信息披露义务</w:t>
            </w:r>
            <w:r w:rsidR="00D24A82" w:rsidRPr="00D24A82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。</w:t>
            </w:r>
          </w:p>
          <w:p w14:paraId="5DED19E5" w14:textId="499A7264" w:rsidR="00B32D96" w:rsidRPr="001235A5" w:rsidRDefault="00693449" w:rsidP="001235A5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</w:pPr>
            <w:r w:rsidRPr="001235A5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4</w:t>
            </w:r>
            <w:bookmarkStart w:id="6" w:name="OLE_LINK9"/>
            <w:r w:rsidR="001235A5" w:rsidRPr="005C3399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．</w:t>
            </w:r>
            <w:bookmarkEnd w:id="6"/>
            <w:r w:rsidR="00085D2A" w:rsidRPr="001235A5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公司</w:t>
            </w:r>
            <w:r w:rsidRPr="001235A5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原料药</w:t>
            </w:r>
            <w:r w:rsidR="00085D2A" w:rsidRPr="001235A5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产能利用率</w:t>
            </w:r>
            <w:r w:rsidR="00CD56A7" w:rsidRPr="001235A5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怎么样</w:t>
            </w:r>
            <w:r w:rsidR="00EE7644" w:rsidRPr="001235A5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，会考虑</w:t>
            </w:r>
            <w:r w:rsidR="00EE7644" w:rsidRPr="001235A5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CMO</w:t>
            </w:r>
            <w:r w:rsidR="00EE7644" w:rsidRPr="001235A5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业务吗</w:t>
            </w:r>
            <w:r w:rsidR="00085D2A" w:rsidRPr="001235A5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？</w:t>
            </w:r>
          </w:p>
          <w:p w14:paraId="570B06D3" w14:textId="0115C1E8" w:rsidR="001235A5" w:rsidRDefault="001235A5" w:rsidP="001235A5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当前</w:t>
            </w:r>
            <w:r w:rsidR="00306B6E" w:rsidRPr="00306B6E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公司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原料药</w:t>
            </w:r>
            <w:r w:rsidR="00306B6E" w:rsidRPr="00306B6E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产能利用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充分，整体化学原料药产能利用率保持在</w:t>
            </w:r>
            <w:r w:rsidRPr="00306B6E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80%</w:t>
            </w:r>
            <w:r w:rsidR="000039EF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以上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，</w:t>
            </w:r>
            <w:r w:rsidR="00306B6E" w:rsidRPr="00306B6E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部分子公司接近满负荷运行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，因此</w:t>
            </w:r>
            <w:r w:rsidR="000039EF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较少承接</w:t>
            </w:r>
            <w:r w:rsidRPr="00306B6E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CMO</w:t>
            </w:r>
            <w:r w:rsidRPr="00306B6E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业务，</w:t>
            </w:r>
            <w:r w:rsidR="000039EF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公司产能首要满足自身经营发展</w:t>
            </w:r>
            <w:r w:rsidRPr="00306B6E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需求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。</w:t>
            </w:r>
            <w:r w:rsidR="000039EF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公司</w:t>
            </w:r>
            <w:r w:rsidR="000039EF" w:rsidRPr="000039EF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凭借规模效应持续巩固市场主导地位，以产能优势换取更大的市场份额与议价空间，以运营效率提升驱动盈利质量改善。</w:t>
            </w:r>
          </w:p>
          <w:p w14:paraId="642BA31A" w14:textId="15AA3118" w:rsidR="00085D2A" w:rsidRPr="001235A5" w:rsidRDefault="00521B96" w:rsidP="001235A5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</w:pPr>
            <w:r w:rsidRPr="001235A5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5</w:t>
            </w:r>
            <w:bookmarkStart w:id="7" w:name="OLE_LINK11"/>
            <w:r w:rsidR="000039EF" w:rsidRPr="005C3399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．</w:t>
            </w:r>
            <w:bookmarkEnd w:id="7"/>
            <w:r w:rsidR="00CD56A7" w:rsidRPr="001235A5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公司目前海外市场布局与出口</w:t>
            </w:r>
            <w:r w:rsidR="000039EF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规划</w:t>
            </w:r>
            <w:r w:rsidR="00CD56A7" w:rsidRPr="001235A5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如何？</w:t>
            </w:r>
          </w:p>
          <w:p w14:paraId="44BE0B9D" w14:textId="70E2B9CB" w:rsidR="00830C07" w:rsidRPr="00830C07" w:rsidRDefault="00830C07" w:rsidP="00830C07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30C07">
              <w:rPr>
                <w:rFonts w:ascii="Times New Roman" w:eastAsia="宋体" w:hAnsi="Times New Roman" w:cs="Times New Roman"/>
                <w:szCs w:val="21"/>
                <w14:ligatures w14:val="none"/>
              </w:rPr>
              <w:t>202</w:t>
            </w:r>
            <w:r w:rsidR="00885DD7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5</w:t>
            </w:r>
            <w:r w:rsidRPr="00830C07">
              <w:rPr>
                <w:rFonts w:ascii="Times New Roman" w:eastAsia="宋体" w:hAnsi="Times New Roman" w:cs="Times New Roman"/>
                <w:szCs w:val="21"/>
                <w14:ligatures w14:val="none"/>
              </w:rPr>
              <w:t>年，公司海外地区销售额达人民币</w:t>
            </w:r>
            <w:r w:rsidRPr="00830C07">
              <w:rPr>
                <w:rFonts w:ascii="Times New Roman" w:eastAsia="宋体" w:hAnsi="Times New Roman" w:cs="Times New Roman"/>
                <w:szCs w:val="21"/>
                <w14:ligatures w14:val="none"/>
              </w:rPr>
              <w:t>19.09</w:t>
            </w:r>
            <w:r w:rsidRPr="00830C07">
              <w:rPr>
                <w:rFonts w:ascii="Times New Roman" w:eastAsia="宋体" w:hAnsi="Times New Roman" w:cs="Times New Roman"/>
                <w:szCs w:val="21"/>
                <w14:ligatures w14:val="none"/>
              </w:rPr>
              <w:t>亿元，占公司销售收入的</w:t>
            </w:r>
            <w:r w:rsidRPr="00830C07">
              <w:rPr>
                <w:rFonts w:ascii="Times New Roman" w:eastAsia="宋体" w:hAnsi="Times New Roman" w:cs="Times New Roman"/>
                <w:szCs w:val="21"/>
                <w14:ligatures w14:val="none"/>
              </w:rPr>
              <w:t>20.39%</w:t>
            </w:r>
            <w:r w:rsidRPr="00830C07">
              <w:rPr>
                <w:rFonts w:ascii="Times New Roman" w:eastAsia="宋体" w:hAnsi="Times New Roman" w:cs="Times New Roman"/>
                <w:szCs w:val="21"/>
                <w14:ligatures w14:val="none"/>
              </w:rPr>
              <w:t>，主要来自医药中间体和原料药业务。该领域公司海外销售渠道和区域布局较为成熟，国际市场认可度较高。后续公司将持续丰富境外注册品类、扩大认证区域，依托成本和</w:t>
            </w:r>
            <w:r w:rsidR="00EF333C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质量</w:t>
            </w:r>
            <w:r w:rsidRPr="00830C07">
              <w:rPr>
                <w:rFonts w:ascii="Times New Roman" w:eastAsia="宋体" w:hAnsi="Times New Roman" w:cs="Times New Roman"/>
                <w:szCs w:val="21"/>
                <w14:ligatures w14:val="none"/>
              </w:rPr>
              <w:t>优势保持竞争力，积极满足国际市场需求。</w:t>
            </w:r>
          </w:p>
          <w:p w14:paraId="49D057DB" w14:textId="44FE8886" w:rsidR="00830C07" w:rsidRPr="00830C07" w:rsidRDefault="00830C07" w:rsidP="00830C07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30C07">
              <w:rPr>
                <w:rFonts w:ascii="Times New Roman" w:eastAsia="宋体" w:hAnsi="Times New Roman" w:cs="Times New Roman"/>
                <w:szCs w:val="21"/>
                <w14:ligatures w14:val="none"/>
              </w:rPr>
              <w:t>目前，公司制剂出口整体规模尚小，但近年来公司积极推进制剂产品的境外注册，不断积累市场经验，出口销售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近两年有大幅</w:t>
            </w:r>
            <w:r w:rsidRPr="00830C07">
              <w:rPr>
                <w:rFonts w:ascii="Times New Roman" w:eastAsia="宋体" w:hAnsi="Times New Roman" w:cs="Times New Roman"/>
                <w:szCs w:val="21"/>
                <w14:ligatures w14:val="none"/>
              </w:rPr>
              <w:t>提升。</w:t>
            </w:r>
          </w:p>
          <w:p w14:paraId="58C753E2" w14:textId="77777777" w:rsidR="00830C07" w:rsidRPr="00830C07" w:rsidRDefault="00830C07" w:rsidP="00830C07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830C07">
              <w:rPr>
                <w:rFonts w:ascii="Times New Roman" w:eastAsia="宋体" w:hAnsi="Times New Roman" w:cs="Times New Roman"/>
                <w:szCs w:val="21"/>
                <w14:ligatures w14:val="none"/>
              </w:rPr>
              <w:t>未来，公司将继续加大生产线的国际认证和产品境外注册力度，加快国际市场开拓步伐，在坚持以国内市场为主体的基础上，加</w:t>
            </w:r>
            <w:r w:rsidRPr="00830C07">
              <w:rPr>
                <w:rFonts w:ascii="宋体" w:eastAsia="宋体" w:hAnsi="宋体" w:cs="Times New Roman"/>
                <w:szCs w:val="21"/>
                <w14:ligatures w14:val="none"/>
              </w:rPr>
              <w:t>快向“国内、国际双循环”的</w:t>
            </w:r>
            <w:r w:rsidRPr="00830C07">
              <w:rPr>
                <w:rFonts w:ascii="Times New Roman" w:eastAsia="宋体" w:hAnsi="Times New Roman" w:cs="Times New Roman"/>
                <w:szCs w:val="21"/>
                <w14:ligatures w14:val="none"/>
              </w:rPr>
              <w:t>发展格局转型升级。</w:t>
            </w:r>
          </w:p>
          <w:p w14:paraId="488E17A7" w14:textId="1B3C169F" w:rsidR="00521B96" w:rsidRPr="00830C07" w:rsidRDefault="00830C07" w:rsidP="00830C07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</w:pPr>
            <w:r w:rsidRPr="00830C07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lastRenderedPageBreak/>
              <w:t>6</w:t>
            </w:r>
            <w:bookmarkStart w:id="8" w:name="OLE_LINK12"/>
            <w:r w:rsidRPr="005C3399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．</w:t>
            </w:r>
            <w:bookmarkEnd w:id="8"/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根据公司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2026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年第</w:t>
            </w:r>
            <w:r w:rsidR="00521B96" w:rsidRPr="00830C07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一季度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报告，</w:t>
            </w:r>
            <w:r w:rsidR="00521B96" w:rsidRPr="00830C07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财务费用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同比增加较多</w:t>
            </w:r>
            <w:r w:rsidR="00E55ACD" w:rsidRPr="00830C07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，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是什么原因</w:t>
            </w:r>
            <w:r w:rsidR="00E55ACD" w:rsidRPr="00830C07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？</w:t>
            </w:r>
          </w:p>
          <w:p w14:paraId="0FB899D4" w14:textId="73C8462E" w:rsidR="00830C07" w:rsidRDefault="00830C07" w:rsidP="005C3399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公司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2026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年第一季度财务费用为</w:t>
            </w:r>
            <w:r w:rsidRPr="00830C07">
              <w:rPr>
                <w:rFonts w:ascii="Times New Roman" w:eastAsia="宋体" w:hAnsi="Times New Roman" w:cs="Times New Roman"/>
                <w:szCs w:val="21"/>
                <w14:ligatures w14:val="none"/>
              </w:rPr>
              <w:t>773</w:t>
            </w:r>
            <w:r w:rsidRPr="00830C07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.</w:t>
            </w:r>
            <w:r w:rsidRPr="00830C07">
              <w:rPr>
                <w:rFonts w:ascii="Times New Roman" w:eastAsia="宋体" w:hAnsi="Times New Roman" w:cs="Times New Roman"/>
                <w:szCs w:val="21"/>
                <w14:ligatures w14:val="none"/>
              </w:rPr>
              <w:t>52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万元，上年同期为</w:t>
            </w:r>
            <w:r w:rsidRPr="00830C07">
              <w:rPr>
                <w:rFonts w:ascii="Times New Roman" w:eastAsia="宋体" w:hAnsi="Times New Roman" w:cs="Times New Roman"/>
                <w:szCs w:val="21"/>
                <w14:ligatures w14:val="none"/>
              </w:rPr>
              <w:t>-2,012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.</w:t>
            </w:r>
            <w:r w:rsidRPr="00830C07">
              <w:rPr>
                <w:rFonts w:ascii="Times New Roman" w:eastAsia="宋体" w:hAnsi="Times New Roman" w:cs="Times New Roman"/>
                <w:szCs w:val="21"/>
                <w14:ligatures w14:val="none"/>
              </w:rPr>
              <w:t>72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万元，该数据变动的主要原因，一是今年公司大额存单获得的</w:t>
            </w:r>
            <w:r w:rsidR="00862613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收益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归集在</w:t>
            </w:r>
            <w:r w:rsidRPr="00830C07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投资收益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科目，</w:t>
            </w:r>
            <w:r w:rsidR="00862613" w:rsidRPr="00862613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利息收入</w:t>
            </w:r>
            <w:r w:rsidR="00862613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同</w:t>
            </w:r>
            <w:r w:rsidR="00862613" w:rsidRPr="00862613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比上年</w:t>
            </w:r>
            <w:r w:rsidR="00862613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减少；二是因汇率</w:t>
            </w:r>
            <w:r w:rsidR="00483CCD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波</w:t>
            </w:r>
            <w:r w:rsidR="00862613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动，今年产生了</w:t>
            </w:r>
            <w:r w:rsidR="00862613" w:rsidRPr="00862613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汇兑</w:t>
            </w:r>
            <w:r w:rsidR="00483CCD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净</w:t>
            </w:r>
            <w:r w:rsidR="00862613" w:rsidRPr="00862613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损失</w:t>
            </w:r>
            <w:r w:rsidR="00862613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。</w:t>
            </w:r>
          </w:p>
          <w:p w14:paraId="32564380" w14:textId="455925C2" w:rsidR="00CD56A7" w:rsidRPr="00862613" w:rsidRDefault="00862613" w:rsidP="00862613">
            <w:pPr>
              <w:spacing w:line="400" w:lineRule="exact"/>
              <w:ind w:firstLineChars="200" w:firstLine="422"/>
              <w:rPr>
                <w:rFonts w:ascii="Times New Roman" w:eastAsia="宋体" w:hAnsi="Times New Roman" w:cs="Times New Roman"/>
                <w:b/>
                <w:bCs/>
                <w:szCs w:val="21"/>
                <w14:ligatures w14:val="none"/>
              </w:rPr>
            </w:pPr>
            <w:r w:rsidRPr="00862613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7</w:t>
            </w:r>
            <w:r w:rsidRPr="005C3399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．</w:t>
            </w:r>
            <w:bookmarkStart w:id="9" w:name="OLE_LINK13"/>
            <w:r w:rsidR="00E55ACD" w:rsidRPr="00862613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市值管理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是否</w:t>
            </w:r>
            <w:r w:rsidR="00E55ACD" w:rsidRPr="00862613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纳入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公司高管</w:t>
            </w:r>
            <w:r w:rsidR="00E55ACD" w:rsidRPr="00862613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考核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指标</w:t>
            </w:r>
            <w:r w:rsidR="00D7395E" w:rsidRPr="00862613">
              <w:rPr>
                <w:rFonts w:ascii="Times New Roman" w:eastAsia="宋体" w:hAnsi="Times New Roman" w:cs="Times New Roman" w:hint="eastAsia"/>
                <w:b/>
                <w:bCs/>
                <w:szCs w:val="21"/>
                <w14:ligatures w14:val="none"/>
              </w:rPr>
              <w:t>？</w:t>
            </w:r>
            <w:bookmarkEnd w:id="9"/>
          </w:p>
          <w:p w14:paraId="62707E38" w14:textId="77777777" w:rsidR="00663E0E" w:rsidRPr="00663E0E" w:rsidRDefault="00663E0E" w:rsidP="00663E0E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663E0E">
              <w:rPr>
                <w:rFonts w:ascii="Times New Roman" w:eastAsia="宋体" w:hAnsi="Times New Roman" w:cs="Times New Roman"/>
                <w:szCs w:val="21"/>
                <w14:ligatures w14:val="none"/>
              </w:rPr>
              <w:t>公司高管考核体系严格遵循国药集团干部管理要求，依据董事会及薪酬与考核委员会审议通过的《经理层契约化绩效管理办法》《经理层契约化薪酬管理办法》等规定制定。考核指标以年度经营业绩和重点经营任务为核心，并将上市公司信息披露质量纳入考评范畴。</w:t>
            </w:r>
          </w:p>
          <w:p w14:paraId="1C335A93" w14:textId="5DF99B47" w:rsidR="00B95019" w:rsidRPr="00663E0E" w:rsidRDefault="00663E0E" w:rsidP="00663E0E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663E0E">
              <w:rPr>
                <w:rFonts w:ascii="Times New Roman" w:eastAsia="宋体" w:hAnsi="Times New Roman" w:cs="Times New Roman"/>
                <w:szCs w:val="21"/>
                <w14:ligatures w14:val="none"/>
              </w:rPr>
              <w:t>当前，监管部门及国资委对上市公司市值管理工作明确提出，应着力推动上市公司高质量发展，合理提升现金分红比例，稳定投资者分红预期，持续强化公司治理规范性，合规开展信息披露，并加强投资者关系管理与沟通交流。公司将持续对照上述要求，扎实推进各项相关工作。</w:t>
            </w:r>
          </w:p>
        </w:tc>
      </w:tr>
    </w:tbl>
    <w:p w14:paraId="35F040CC" w14:textId="77777777" w:rsidR="002F4EBA" w:rsidRPr="00355655" w:rsidRDefault="002F4EBA" w:rsidP="00867985">
      <w:pPr>
        <w:ind w:right="840"/>
        <w:rPr>
          <w:rFonts w:ascii="Times New Roman" w:hAnsi="Times New Roman" w:cs="Times New Roman"/>
        </w:rPr>
      </w:pPr>
    </w:p>
    <w:sectPr w:rsidR="002F4EBA" w:rsidRPr="00355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05F16" w14:textId="77777777" w:rsidR="00984A8A" w:rsidRDefault="00984A8A" w:rsidP="00C04EBA">
      <w:pPr>
        <w:rPr>
          <w:rFonts w:hint="eastAsia"/>
        </w:rPr>
      </w:pPr>
      <w:r>
        <w:separator/>
      </w:r>
    </w:p>
  </w:endnote>
  <w:endnote w:type="continuationSeparator" w:id="0">
    <w:p w14:paraId="716B1D37" w14:textId="77777777" w:rsidR="00984A8A" w:rsidRDefault="00984A8A" w:rsidP="00C04E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27A0" w14:textId="77777777" w:rsidR="00984A8A" w:rsidRDefault="00984A8A" w:rsidP="00C04EBA">
      <w:pPr>
        <w:rPr>
          <w:rFonts w:hint="eastAsia"/>
        </w:rPr>
      </w:pPr>
      <w:r>
        <w:separator/>
      </w:r>
    </w:p>
  </w:footnote>
  <w:footnote w:type="continuationSeparator" w:id="0">
    <w:p w14:paraId="6508FC5D" w14:textId="77777777" w:rsidR="00984A8A" w:rsidRDefault="00984A8A" w:rsidP="00C04EB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23A8"/>
    <w:multiLevelType w:val="hybridMultilevel"/>
    <w:tmpl w:val="B4F6CE18"/>
    <w:lvl w:ilvl="0" w:tplc="BB9CEAC2">
      <w:start w:val="1"/>
      <w:numFmt w:val="decimal"/>
      <w:lvlText w:val="%1．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2" w:hanging="440"/>
      </w:pPr>
    </w:lvl>
    <w:lvl w:ilvl="2" w:tplc="0409001B" w:tentative="1">
      <w:start w:val="1"/>
      <w:numFmt w:val="lowerRoman"/>
      <w:lvlText w:val="%3."/>
      <w:lvlJc w:val="righ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9" w:tentative="1">
      <w:start w:val="1"/>
      <w:numFmt w:val="lowerLetter"/>
      <w:lvlText w:val="%5)"/>
      <w:lvlJc w:val="left"/>
      <w:pPr>
        <w:ind w:left="2622" w:hanging="440"/>
      </w:pPr>
    </w:lvl>
    <w:lvl w:ilvl="5" w:tplc="0409001B" w:tentative="1">
      <w:start w:val="1"/>
      <w:numFmt w:val="lowerRoman"/>
      <w:lvlText w:val="%6."/>
      <w:lvlJc w:val="righ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9" w:tentative="1">
      <w:start w:val="1"/>
      <w:numFmt w:val="lowerLetter"/>
      <w:lvlText w:val="%8)"/>
      <w:lvlJc w:val="left"/>
      <w:pPr>
        <w:ind w:left="3942" w:hanging="440"/>
      </w:pPr>
    </w:lvl>
    <w:lvl w:ilvl="8" w:tplc="0409001B" w:tentative="1">
      <w:start w:val="1"/>
      <w:numFmt w:val="lowerRoman"/>
      <w:lvlText w:val="%9."/>
      <w:lvlJc w:val="right"/>
      <w:pPr>
        <w:ind w:left="4382" w:hanging="440"/>
      </w:pPr>
    </w:lvl>
  </w:abstractNum>
  <w:abstractNum w:abstractNumId="1" w15:restartNumberingAfterBreak="0">
    <w:nsid w:val="243378D3"/>
    <w:multiLevelType w:val="hybridMultilevel"/>
    <w:tmpl w:val="907A3CC0"/>
    <w:lvl w:ilvl="0" w:tplc="902EA2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BCF29B7"/>
    <w:multiLevelType w:val="hybridMultilevel"/>
    <w:tmpl w:val="0A001C6E"/>
    <w:lvl w:ilvl="0" w:tplc="B6B24C3C">
      <w:start w:val="1"/>
      <w:numFmt w:val="decimal"/>
      <w:suff w:val="nothing"/>
      <w:lvlText w:val="%1、"/>
      <w:lvlJc w:val="left"/>
      <w:pPr>
        <w:ind w:left="866" w:hanging="440"/>
      </w:pPr>
      <w:rPr>
        <w:rFonts w:ascii="Times New Roman" w:eastAsia="宋体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num w:numId="1" w16cid:durableId="1590893431">
    <w:abstractNumId w:val="2"/>
  </w:num>
  <w:num w:numId="2" w16cid:durableId="1262882471">
    <w:abstractNumId w:val="0"/>
  </w:num>
  <w:num w:numId="3" w16cid:durableId="1199508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proofState w:spelling="clean" w:grammar="clean"/>
  <w:trackRevisions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CB"/>
    <w:rsid w:val="000039EF"/>
    <w:rsid w:val="00012E05"/>
    <w:rsid w:val="00015A38"/>
    <w:rsid w:val="00017C72"/>
    <w:rsid w:val="00021B2B"/>
    <w:rsid w:val="0002426C"/>
    <w:rsid w:val="000316EF"/>
    <w:rsid w:val="000373A1"/>
    <w:rsid w:val="00040F70"/>
    <w:rsid w:val="0004486B"/>
    <w:rsid w:val="0004528D"/>
    <w:rsid w:val="0004575B"/>
    <w:rsid w:val="000468CD"/>
    <w:rsid w:val="0005789A"/>
    <w:rsid w:val="000611D8"/>
    <w:rsid w:val="00064237"/>
    <w:rsid w:val="00064720"/>
    <w:rsid w:val="000667E3"/>
    <w:rsid w:val="00084FCC"/>
    <w:rsid w:val="00085D2A"/>
    <w:rsid w:val="00086044"/>
    <w:rsid w:val="00095572"/>
    <w:rsid w:val="00096033"/>
    <w:rsid w:val="00096D48"/>
    <w:rsid w:val="000A3D22"/>
    <w:rsid w:val="000A760F"/>
    <w:rsid w:val="000B1E8F"/>
    <w:rsid w:val="000B33FB"/>
    <w:rsid w:val="000B6BD5"/>
    <w:rsid w:val="000C1316"/>
    <w:rsid w:val="000C3B1D"/>
    <w:rsid w:val="000D3418"/>
    <w:rsid w:val="000D4198"/>
    <w:rsid w:val="000D420B"/>
    <w:rsid w:val="000D536E"/>
    <w:rsid w:val="000D58E5"/>
    <w:rsid w:val="000D6931"/>
    <w:rsid w:val="000D7EA6"/>
    <w:rsid w:val="000E0B28"/>
    <w:rsid w:val="000E22A3"/>
    <w:rsid w:val="000E49F4"/>
    <w:rsid w:val="000E5B0B"/>
    <w:rsid w:val="000E5DBC"/>
    <w:rsid w:val="000E7642"/>
    <w:rsid w:val="000F271C"/>
    <w:rsid w:val="00103621"/>
    <w:rsid w:val="0010562B"/>
    <w:rsid w:val="00107F1D"/>
    <w:rsid w:val="00113897"/>
    <w:rsid w:val="00113D99"/>
    <w:rsid w:val="0011659A"/>
    <w:rsid w:val="0011681C"/>
    <w:rsid w:val="00120679"/>
    <w:rsid w:val="001235A5"/>
    <w:rsid w:val="00130030"/>
    <w:rsid w:val="00137102"/>
    <w:rsid w:val="00137BEE"/>
    <w:rsid w:val="00153B8C"/>
    <w:rsid w:val="00153C34"/>
    <w:rsid w:val="001552B4"/>
    <w:rsid w:val="00157507"/>
    <w:rsid w:val="00164982"/>
    <w:rsid w:val="00166195"/>
    <w:rsid w:val="00167320"/>
    <w:rsid w:val="0017034A"/>
    <w:rsid w:val="00176260"/>
    <w:rsid w:val="001774C3"/>
    <w:rsid w:val="00180328"/>
    <w:rsid w:val="00181397"/>
    <w:rsid w:val="001835A7"/>
    <w:rsid w:val="00185A9F"/>
    <w:rsid w:val="001862F7"/>
    <w:rsid w:val="00190CBC"/>
    <w:rsid w:val="001A1A06"/>
    <w:rsid w:val="001A245E"/>
    <w:rsid w:val="001A5931"/>
    <w:rsid w:val="001B4E5A"/>
    <w:rsid w:val="001C2FB1"/>
    <w:rsid w:val="001D077C"/>
    <w:rsid w:val="001D09B6"/>
    <w:rsid w:val="001D467E"/>
    <w:rsid w:val="001E0F43"/>
    <w:rsid w:val="001F262B"/>
    <w:rsid w:val="00200800"/>
    <w:rsid w:val="00205189"/>
    <w:rsid w:val="002065F1"/>
    <w:rsid w:val="00207152"/>
    <w:rsid w:val="00211642"/>
    <w:rsid w:val="00221FBE"/>
    <w:rsid w:val="00225C5F"/>
    <w:rsid w:val="00226BC5"/>
    <w:rsid w:val="00231E63"/>
    <w:rsid w:val="0023768F"/>
    <w:rsid w:val="00240AB0"/>
    <w:rsid w:val="00241207"/>
    <w:rsid w:val="0024229C"/>
    <w:rsid w:val="002422F6"/>
    <w:rsid w:val="00243D90"/>
    <w:rsid w:val="002521FB"/>
    <w:rsid w:val="002536D7"/>
    <w:rsid w:val="00267F81"/>
    <w:rsid w:val="00274780"/>
    <w:rsid w:val="00276E04"/>
    <w:rsid w:val="00287376"/>
    <w:rsid w:val="002917D8"/>
    <w:rsid w:val="002B1D80"/>
    <w:rsid w:val="002B4243"/>
    <w:rsid w:val="002B4DF6"/>
    <w:rsid w:val="002B7CFB"/>
    <w:rsid w:val="002B7FA8"/>
    <w:rsid w:val="002C74C4"/>
    <w:rsid w:val="002C7D43"/>
    <w:rsid w:val="002D0289"/>
    <w:rsid w:val="002D2CA3"/>
    <w:rsid w:val="002D583C"/>
    <w:rsid w:val="002E0CBB"/>
    <w:rsid w:val="002E5C01"/>
    <w:rsid w:val="002E6405"/>
    <w:rsid w:val="002F4139"/>
    <w:rsid w:val="002F4EBA"/>
    <w:rsid w:val="002F53F2"/>
    <w:rsid w:val="002F612B"/>
    <w:rsid w:val="00300BB8"/>
    <w:rsid w:val="00301298"/>
    <w:rsid w:val="003013EC"/>
    <w:rsid w:val="00303404"/>
    <w:rsid w:val="00306B6E"/>
    <w:rsid w:val="00314C40"/>
    <w:rsid w:val="003220C9"/>
    <w:rsid w:val="0033091F"/>
    <w:rsid w:val="0033741C"/>
    <w:rsid w:val="00346275"/>
    <w:rsid w:val="0034709A"/>
    <w:rsid w:val="00347F89"/>
    <w:rsid w:val="00351147"/>
    <w:rsid w:val="00355655"/>
    <w:rsid w:val="00356FC6"/>
    <w:rsid w:val="00357432"/>
    <w:rsid w:val="00362D10"/>
    <w:rsid w:val="003638FB"/>
    <w:rsid w:val="00367D2E"/>
    <w:rsid w:val="0037288B"/>
    <w:rsid w:val="003731B8"/>
    <w:rsid w:val="0037368E"/>
    <w:rsid w:val="0038588C"/>
    <w:rsid w:val="003917C0"/>
    <w:rsid w:val="00394AD5"/>
    <w:rsid w:val="00397F7C"/>
    <w:rsid w:val="003A378E"/>
    <w:rsid w:val="003A63D2"/>
    <w:rsid w:val="003B2876"/>
    <w:rsid w:val="003B79A8"/>
    <w:rsid w:val="003C1A65"/>
    <w:rsid w:val="003C7B0F"/>
    <w:rsid w:val="003D13E7"/>
    <w:rsid w:val="003D3306"/>
    <w:rsid w:val="003D36C6"/>
    <w:rsid w:val="003D58D7"/>
    <w:rsid w:val="003E0F62"/>
    <w:rsid w:val="003F4A77"/>
    <w:rsid w:val="003F680E"/>
    <w:rsid w:val="0040150B"/>
    <w:rsid w:val="004036A3"/>
    <w:rsid w:val="00403B3A"/>
    <w:rsid w:val="0040484D"/>
    <w:rsid w:val="004064E6"/>
    <w:rsid w:val="004067DB"/>
    <w:rsid w:val="00410B10"/>
    <w:rsid w:val="00412629"/>
    <w:rsid w:val="004334CE"/>
    <w:rsid w:val="00435D06"/>
    <w:rsid w:val="00436D11"/>
    <w:rsid w:val="00437FBC"/>
    <w:rsid w:val="00445C07"/>
    <w:rsid w:val="004502B3"/>
    <w:rsid w:val="0045284A"/>
    <w:rsid w:val="00452ADC"/>
    <w:rsid w:val="00455395"/>
    <w:rsid w:val="00455A47"/>
    <w:rsid w:val="004612AF"/>
    <w:rsid w:val="00465974"/>
    <w:rsid w:val="00472175"/>
    <w:rsid w:val="00472A69"/>
    <w:rsid w:val="00473610"/>
    <w:rsid w:val="00473AFD"/>
    <w:rsid w:val="00483CCD"/>
    <w:rsid w:val="004863F8"/>
    <w:rsid w:val="004869AB"/>
    <w:rsid w:val="00492611"/>
    <w:rsid w:val="00493379"/>
    <w:rsid w:val="00495952"/>
    <w:rsid w:val="00496AF2"/>
    <w:rsid w:val="004A4945"/>
    <w:rsid w:val="004B5A7D"/>
    <w:rsid w:val="004C2F8E"/>
    <w:rsid w:val="004D15A3"/>
    <w:rsid w:val="004E37CA"/>
    <w:rsid w:val="004F1114"/>
    <w:rsid w:val="004F2223"/>
    <w:rsid w:val="004F47D8"/>
    <w:rsid w:val="004F6CEE"/>
    <w:rsid w:val="005041FD"/>
    <w:rsid w:val="00510F28"/>
    <w:rsid w:val="00514105"/>
    <w:rsid w:val="00521B96"/>
    <w:rsid w:val="00525AC3"/>
    <w:rsid w:val="005266F0"/>
    <w:rsid w:val="00533B33"/>
    <w:rsid w:val="005344DF"/>
    <w:rsid w:val="00534FB6"/>
    <w:rsid w:val="00535E17"/>
    <w:rsid w:val="00541065"/>
    <w:rsid w:val="00541A65"/>
    <w:rsid w:val="00542587"/>
    <w:rsid w:val="00544651"/>
    <w:rsid w:val="00544C24"/>
    <w:rsid w:val="00546E2E"/>
    <w:rsid w:val="00547836"/>
    <w:rsid w:val="00550C5E"/>
    <w:rsid w:val="00556AAC"/>
    <w:rsid w:val="00571775"/>
    <w:rsid w:val="0057201B"/>
    <w:rsid w:val="005756ED"/>
    <w:rsid w:val="005776D9"/>
    <w:rsid w:val="0058425A"/>
    <w:rsid w:val="00586289"/>
    <w:rsid w:val="0058646E"/>
    <w:rsid w:val="0058648F"/>
    <w:rsid w:val="005871A1"/>
    <w:rsid w:val="00587992"/>
    <w:rsid w:val="005901FF"/>
    <w:rsid w:val="005A657E"/>
    <w:rsid w:val="005B0E0F"/>
    <w:rsid w:val="005B1CC8"/>
    <w:rsid w:val="005B45BB"/>
    <w:rsid w:val="005B52A7"/>
    <w:rsid w:val="005C1256"/>
    <w:rsid w:val="005C1F02"/>
    <w:rsid w:val="005C3399"/>
    <w:rsid w:val="005D3F09"/>
    <w:rsid w:val="005E19A5"/>
    <w:rsid w:val="005E2BE6"/>
    <w:rsid w:val="005E40EC"/>
    <w:rsid w:val="005E4AB1"/>
    <w:rsid w:val="005E7049"/>
    <w:rsid w:val="005F017A"/>
    <w:rsid w:val="005F1892"/>
    <w:rsid w:val="005F5A94"/>
    <w:rsid w:val="005F75FC"/>
    <w:rsid w:val="005F7A20"/>
    <w:rsid w:val="006040E2"/>
    <w:rsid w:val="00604446"/>
    <w:rsid w:val="00605641"/>
    <w:rsid w:val="00605DBB"/>
    <w:rsid w:val="0060611A"/>
    <w:rsid w:val="0061080A"/>
    <w:rsid w:val="0061116C"/>
    <w:rsid w:val="006171DB"/>
    <w:rsid w:val="006214B8"/>
    <w:rsid w:val="0062163D"/>
    <w:rsid w:val="00624C63"/>
    <w:rsid w:val="00625D84"/>
    <w:rsid w:val="0062601A"/>
    <w:rsid w:val="00630F1E"/>
    <w:rsid w:val="006360B4"/>
    <w:rsid w:val="00636472"/>
    <w:rsid w:val="00637033"/>
    <w:rsid w:val="00637A21"/>
    <w:rsid w:val="00641830"/>
    <w:rsid w:val="00641F88"/>
    <w:rsid w:val="006421E8"/>
    <w:rsid w:val="00644C1C"/>
    <w:rsid w:val="00646506"/>
    <w:rsid w:val="00652552"/>
    <w:rsid w:val="006546EC"/>
    <w:rsid w:val="006578E9"/>
    <w:rsid w:val="00660628"/>
    <w:rsid w:val="006609FA"/>
    <w:rsid w:val="00663E0E"/>
    <w:rsid w:val="0066493C"/>
    <w:rsid w:val="006659B1"/>
    <w:rsid w:val="00666913"/>
    <w:rsid w:val="0067021C"/>
    <w:rsid w:val="006747C5"/>
    <w:rsid w:val="006818C2"/>
    <w:rsid w:val="00682EF1"/>
    <w:rsid w:val="00683530"/>
    <w:rsid w:val="006914B7"/>
    <w:rsid w:val="0069163F"/>
    <w:rsid w:val="00692596"/>
    <w:rsid w:val="0069293F"/>
    <w:rsid w:val="00693449"/>
    <w:rsid w:val="006936F6"/>
    <w:rsid w:val="00693DCB"/>
    <w:rsid w:val="0069419B"/>
    <w:rsid w:val="006944E5"/>
    <w:rsid w:val="006A0B06"/>
    <w:rsid w:val="006A6A90"/>
    <w:rsid w:val="006A73D9"/>
    <w:rsid w:val="006B000B"/>
    <w:rsid w:val="006B0684"/>
    <w:rsid w:val="006B0905"/>
    <w:rsid w:val="006B391F"/>
    <w:rsid w:val="006B6B56"/>
    <w:rsid w:val="006B7CA4"/>
    <w:rsid w:val="006C3FDD"/>
    <w:rsid w:val="006C50F4"/>
    <w:rsid w:val="006D2170"/>
    <w:rsid w:val="006D475C"/>
    <w:rsid w:val="006E3DF4"/>
    <w:rsid w:val="006E516F"/>
    <w:rsid w:val="006E749E"/>
    <w:rsid w:val="006F4390"/>
    <w:rsid w:val="006F55F5"/>
    <w:rsid w:val="00704750"/>
    <w:rsid w:val="00706755"/>
    <w:rsid w:val="00707D3E"/>
    <w:rsid w:val="00717191"/>
    <w:rsid w:val="007219EC"/>
    <w:rsid w:val="00723D08"/>
    <w:rsid w:val="00726B76"/>
    <w:rsid w:val="00730073"/>
    <w:rsid w:val="007307FF"/>
    <w:rsid w:val="007339DB"/>
    <w:rsid w:val="00741BE3"/>
    <w:rsid w:val="0074484F"/>
    <w:rsid w:val="007455F2"/>
    <w:rsid w:val="00745903"/>
    <w:rsid w:val="0074787C"/>
    <w:rsid w:val="00753E44"/>
    <w:rsid w:val="00760A03"/>
    <w:rsid w:val="00760B35"/>
    <w:rsid w:val="00760F3A"/>
    <w:rsid w:val="007646F3"/>
    <w:rsid w:val="00765D98"/>
    <w:rsid w:val="00773436"/>
    <w:rsid w:val="00773CCB"/>
    <w:rsid w:val="007841B6"/>
    <w:rsid w:val="00786595"/>
    <w:rsid w:val="0079224E"/>
    <w:rsid w:val="00795E78"/>
    <w:rsid w:val="007A1EB8"/>
    <w:rsid w:val="007A46C0"/>
    <w:rsid w:val="007A56F8"/>
    <w:rsid w:val="007B16A9"/>
    <w:rsid w:val="007B2A53"/>
    <w:rsid w:val="007B39E4"/>
    <w:rsid w:val="007C4562"/>
    <w:rsid w:val="007E4794"/>
    <w:rsid w:val="007E55F2"/>
    <w:rsid w:val="007E590D"/>
    <w:rsid w:val="007F27F9"/>
    <w:rsid w:val="007F7024"/>
    <w:rsid w:val="00803BE0"/>
    <w:rsid w:val="00806691"/>
    <w:rsid w:val="00806FE7"/>
    <w:rsid w:val="00812856"/>
    <w:rsid w:val="008161BF"/>
    <w:rsid w:val="0082112D"/>
    <w:rsid w:val="00824FC4"/>
    <w:rsid w:val="00825B15"/>
    <w:rsid w:val="008264DD"/>
    <w:rsid w:val="00830C07"/>
    <w:rsid w:val="008310B9"/>
    <w:rsid w:val="00834518"/>
    <w:rsid w:val="0083568A"/>
    <w:rsid w:val="00836CF0"/>
    <w:rsid w:val="008405AA"/>
    <w:rsid w:val="00842374"/>
    <w:rsid w:val="0084619D"/>
    <w:rsid w:val="00853A9B"/>
    <w:rsid w:val="00853EE4"/>
    <w:rsid w:val="00855A71"/>
    <w:rsid w:val="00856560"/>
    <w:rsid w:val="008618A1"/>
    <w:rsid w:val="00862613"/>
    <w:rsid w:val="00862907"/>
    <w:rsid w:val="008659D4"/>
    <w:rsid w:val="00867985"/>
    <w:rsid w:val="00870518"/>
    <w:rsid w:val="00875199"/>
    <w:rsid w:val="00880277"/>
    <w:rsid w:val="00881F86"/>
    <w:rsid w:val="00884846"/>
    <w:rsid w:val="00885DD7"/>
    <w:rsid w:val="00885E02"/>
    <w:rsid w:val="00887AE5"/>
    <w:rsid w:val="00887CDE"/>
    <w:rsid w:val="008901D0"/>
    <w:rsid w:val="00894CB0"/>
    <w:rsid w:val="00896D3B"/>
    <w:rsid w:val="008A18B3"/>
    <w:rsid w:val="008B19B0"/>
    <w:rsid w:val="008B1D30"/>
    <w:rsid w:val="008B61D6"/>
    <w:rsid w:val="008C0624"/>
    <w:rsid w:val="008C6428"/>
    <w:rsid w:val="008C690B"/>
    <w:rsid w:val="008D0134"/>
    <w:rsid w:val="008D12B0"/>
    <w:rsid w:val="008D4DA0"/>
    <w:rsid w:val="008E1126"/>
    <w:rsid w:val="008E27CF"/>
    <w:rsid w:val="008F2DBA"/>
    <w:rsid w:val="008F7A70"/>
    <w:rsid w:val="00905205"/>
    <w:rsid w:val="009178A2"/>
    <w:rsid w:val="00921FC5"/>
    <w:rsid w:val="009315D2"/>
    <w:rsid w:val="009343AD"/>
    <w:rsid w:val="00934417"/>
    <w:rsid w:val="009403E9"/>
    <w:rsid w:val="00940D05"/>
    <w:rsid w:val="00943DD9"/>
    <w:rsid w:val="009512FF"/>
    <w:rsid w:val="009513C9"/>
    <w:rsid w:val="00954513"/>
    <w:rsid w:val="009561E5"/>
    <w:rsid w:val="009608B2"/>
    <w:rsid w:val="0096132F"/>
    <w:rsid w:val="00964773"/>
    <w:rsid w:val="00965380"/>
    <w:rsid w:val="00972249"/>
    <w:rsid w:val="00977A11"/>
    <w:rsid w:val="00983F66"/>
    <w:rsid w:val="00984A8A"/>
    <w:rsid w:val="009875DA"/>
    <w:rsid w:val="0099005E"/>
    <w:rsid w:val="0099704D"/>
    <w:rsid w:val="009A6548"/>
    <w:rsid w:val="009B16FF"/>
    <w:rsid w:val="009B1FE4"/>
    <w:rsid w:val="009C4926"/>
    <w:rsid w:val="009D0F7B"/>
    <w:rsid w:val="009D30EA"/>
    <w:rsid w:val="009D523F"/>
    <w:rsid w:val="009D60FF"/>
    <w:rsid w:val="009D6F9B"/>
    <w:rsid w:val="009E5028"/>
    <w:rsid w:val="009E5B4A"/>
    <w:rsid w:val="009E5EF1"/>
    <w:rsid w:val="009E69B5"/>
    <w:rsid w:val="009F0AC9"/>
    <w:rsid w:val="009F22C9"/>
    <w:rsid w:val="009F37B1"/>
    <w:rsid w:val="009F557A"/>
    <w:rsid w:val="00A010C0"/>
    <w:rsid w:val="00A0325B"/>
    <w:rsid w:val="00A106F1"/>
    <w:rsid w:val="00A115FB"/>
    <w:rsid w:val="00A17E28"/>
    <w:rsid w:val="00A240B8"/>
    <w:rsid w:val="00A25DFB"/>
    <w:rsid w:val="00A3308E"/>
    <w:rsid w:val="00A35AD7"/>
    <w:rsid w:val="00A36697"/>
    <w:rsid w:val="00A3758F"/>
    <w:rsid w:val="00A3779A"/>
    <w:rsid w:val="00A40345"/>
    <w:rsid w:val="00A43C47"/>
    <w:rsid w:val="00A45382"/>
    <w:rsid w:val="00A502B0"/>
    <w:rsid w:val="00A50ABE"/>
    <w:rsid w:val="00A51FF1"/>
    <w:rsid w:val="00A544F3"/>
    <w:rsid w:val="00A5689D"/>
    <w:rsid w:val="00A60487"/>
    <w:rsid w:val="00A6297B"/>
    <w:rsid w:val="00A645D0"/>
    <w:rsid w:val="00A66FB0"/>
    <w:rsid w:val="00A67269"/>
    <w:rsid w:val="00A773C0"/>
    <w:rsid w:val="00A8422B"/>
    <w:rsid w:val="00A8584F"/>
    <w:rsid w:val="00A872AD"/>
    <w:rsid w:val="00AA1DB6"/>
    <w:rsid w:val="00AA4343"/>
    <w:rsid w:val="00AA50D1"/>
    <w:rsid w:val="00AB0064"/>
    <w:rsid w:val="00AB0A76"/>
    <w:rsid w:val="00AC49AE"/>
    <w:rsid w:val="00AC7AC3"/>
    <w:rsid w:val="00AD207D"/>
    <w:rsid w:val="00AD2948"/>
    <w:rsid w:val="00AD578D"/>
    <w:rsid w:val="00AD63D2"/>
    <w:rsid w:val="00AD7671"/>
    <w:rsid w:val="00AE0E45"/>
    <w:rsid w:val="00AE1CBA"/>
    <w:rsid w:val="00AE1D6B"/>
    <w:rsid w:val="00AE2DDF"/>
    <w:rsid w:val="00AE7395"/>
    <w:rsid w:val="00AF2845"/>
    <w:rsid w:val="00AF3FCA"/>
    <w:rsid w:val="00AF5515"/>
    <w:rsid w:val="00B009C3"/>
    <w:rsid w:val="00B00EB3"/>
    <w:rsid w:val="00B01085"/>
    <w:rsid w:val="00B0337C"/>
    <w:rsid w:val="00B04424"/>
    <w:rsid w:val="00B0503D"/>
    <w:rsid w:val="00B10235"/>
    <w:rsid w:val="00B103D5"/>
    <w:rsid w:val="00B20C31"/>
    <w:rsid w:val="00B23493"/>
    <w:rsid w:val="00B23DF5"/>
    <w:rsid w:val="00B241D8"/>
    <w:rsid w:val="00B31AF3"/>
    <w:rsid w:val="00B32D96"/>
    <w:rsid w:val="00B33117"/>
    <w:rsid w:val="00B3477B"/>
    <w:rsid w:val="00B4305D"/>
    <w:rsid w:val="00B47D3F"/>
    <w:rsid w:val="00B51D9C"/>
    <w:rsid w:val="00B523DE"/>
    <w:rsid w:val="00B5560E"/>
    <w:rsid w:val="00B55BBD"/>
    <w:rsid w:val="00B61DA7"/>
    <w:rsid w:val="00B70990"/>
    <w:rsid w:val="00B70DA0"/>
    <w:rsid w:val="00B764E0"/>
    <w:rsid w:val="00B80149"/>
    <w:rsid w:val="00B95019"/>
    <w:rsid w:val="00BA232E"/>
    <w:rsid w:val="00BA5169"/>
    <w:rsid w:val="00BB0496"/>
    <w:rsid w:val="00BB4007"/>
    <w:rsid w:val="00BC27A7"/>
    <w:rsid w:val="00BC6323"/>
    <w:rsid w:val="00BC74CA"/>
    <w:rsid w:val="00BD2749"/>
    <w:rsid w:val="00BD5DAB"/>
    <w:rsid w:val="00BE29A1"/>
    <w:rsid w:val="00BF1476"/>
    <w:rsid w:val="00BF1566"/>
    <w:rsid w:val="00BF2692"/>
    <w:rsid w:val="00BF43DC"/>
    <w:rsid w:val="00C00201"/>
    <w:rsid w:val="00C020B9"/>
    <w:rsid w:val="00C04EBA"/>
    <w:rsid w:val="00C0534D"/>
    <w:rsid w:val="00C11E8C"/>
    <w:rsid w:val="00C14C09"/>
    <w:rsid w:val="00C15675"/>
    <w:rsid w:val="00C16302"/>
    <w:rsid w:val="00C22EA0"/>
    <w:rsid w:val="00C25C2F"/>
    <w:rsid w:val="00C33A6E"/>
    <w:rsid w:val="00C343E2"/>
    <w:rsid w:val="00C36C35"/>
    <w:rsid w:val="00C42A80"/>
    <w:rsid w:val="00C463A7"/>
    <w:rsid w:val="00C52392"/>
    <w:rsid w:val="00C5715F"/>
    <w:rsid w:val="00C5751F"/>
    <w:rsid w:val="00C61C00"/>
    <w:rsid w:val="00C64720"/>
    <w:rsid w:val="00C665C7"/>
    <w:rsid w:val="00C7692E"/>
    <w:rsid w:val="00C861E4"/>
    <w:rsid w:val="00C86209"/>
    <w:rsid w:val="00C91EC4"/>
    <w:rsid w:val="00C938F9"/>
    <w:rsid w:val="00C94961"/>
    <w:rsid w:val="00C96A77"/>
    <w:rsid w:val="00C9750E"/>
    <w:rsid w:val="00C979F5"/>
    <w:rsid w:val="00CA18EF"/>
    <w:rsid w:val="00CA1BC1"/>
    <w:rsid w:val="00CA5C1A"/>
    <w:rsid w:val="00CA6770"/>
    <w:rsid w:val="00CB06A1"/>
    <w:rsid w:val="00CC45C8"/>
    <w:rsid w:val="00CC7177"/>
    <w:rsid w:val="00CD246C"/>
    <w:rsid w:val="00CD56A7"/>
    <w:rsid w:val="00CE0886"/>
    <w:rsid w:val="00CE3615"/>
    <w:rsid w:val="00CE6A6A"/>
    <w:rsid w:val="00CF1A82"/>
    <w:rsid w:val="00CF21C5"/>
    <w:rsid w:val="00CF3AFA"/>
    <w:rsid w:val="00D013D7"/>
    <w:rsid w:val="00D0265D"/>
    <w:rsid w:val="00D04B7B"/>
    <w:rsid w:val="00D0581C"/>
    <w:rsid w:val="00D065AD"/>
    <w:rsid w:val="00D076F3"/>
    <w:rsid w:val="00D12BE6"/>
    <w:rsid w:val="00D1400D"/>
    <w:rsid w:val="00D1513E"/>
    <w:rsid w:val="00D1760A"/>
    <w:rsid w:val="00D23C20"/>
    <w:rsid w:val="00D24A82"/>
    <w:rsid w:val="00D25E7D"/>
    <w:rsid w:val="00D26F58"/>
    <w:rsid w:val="00D277BF"/>
    <w:rsid w:val="00D4003C"/>
    <w:rsid w:val="00D40F74"/>
    <w:rsid w:val="00D46701"/>
    <w:rsid w:val="00D46CFB"/>
    <w:rsid w:val="00D54413"/>
    <w:rsid w:val="00D55A37"/>
    <w:rsid w:val="00D63B29"/>
    <w:rsid w:val="00D66F54"/>
    <w:rsid w:val="00D67861"/>
    <w:rsid w:val="00D721BD"/>
    <w:rsid w:val="00D7395E"/>
    <w:rsid w:val="00D7593F"/>
    <w:rsid w:val="00D80A6A"/>
    <w:rsid w:val="00D84F9B"/>
    <w:rsid w:val="00D85A5D"/>
    <w:rsid w:val="00DA3062"/>
    <w:rsid w:val="00DA6802"/>
    <w:rsid w:val="00DA7C9D"/>
    <w:rsid w:val="00DB1837"/>
    <w:rsid w:val="00DB266B"/>
    <w:rsid w:val="00DB3CDA"/>
    <w:rsid w:val="00DB45A9"/>
    <w:rsid w:val="00DB7A23"/>
    <w:rsid w:val="00DD2051"/>
    <w:rsid w:val="00DE0D87"/>
    <w:rsid w:val="00DE16AC"/>
    <w:rsid w:val="00DE3692"/>
    <w:rsid w:val="00DE6656"/>
    <w:rsid w:val="00DE790A"/>
    <w:rsid w:val="00DF4525"/>
    <w:rsid w:val="00DF513F"/>
    <w:rsid w:val="00DF5EDE"/>
    <w:rsid w:val="00E041B6"/>
    <w:rsid w:val="00E043E8"/>
    <w:rsid w:val="00E054D6"/>
    <w:rsid w:val="00E05CAE"/>
    <w:rsid w:val="00E147B7"/>
    <w:rsid w:val="00E1598B"/>
    <w:rsid w:val="00E2488F"/>
    <w:rsid w:val="00E25E6A"/>
    <w:rsid w:val="00E30BAA"/>
    <w:rsid w:val="00E31B90"/>
    <w:rsid w:val="00E426CE"/>
    <w:rsid w:val="00E50575"/>
    <w:rsid w:val="00E539F3"/>
    <w:rsid w:val="00E53A55"/>
    <w:rsid w:val="00E53D5C"/>
    <w:rsid w:val="00E54702"/>
    <w:rsid w:val="00E55ACD"/>
    <w:rsid w:val="00E57C67"/>
    <w:rsid w:val="00E66AAB"/>
    <w:rsid w:val="00E71DB3"/>
    <w:rsid w:val="00E75C10"/>
    <w:rsid w:val="00E77FFC"/>
    <w:rsid w:val="00E80F1C"/>
    <w:rsid w:val="00E80FF1"/>
    <w:rsid w:val="00E826D5"/>
    <w:rsid w:val="00E86A43"/>
    <w:rsid w:val="00EA4484"/>
    <w:rsid w:val="00EA4D85"/>
    <w:rsid w:val="00EA6A32"/>
    <w:rsid w:val="00EA7FB6"/>
    <w:rsid w:val="00EB0FCA"/>
    <w:rsid w:val="00EB1A82"/>
    <w:rsid w:val="00EB3581"/>
    <w:rsid w:val="00EB6E2E"/>
    <w:rsid w:val="00EC2B00"/>
    <w:rsid w:val="00EC2DB4"/>
    <w:rsid w:val="00EC4158"/>
    <w:rsid w:val="00EC4C72"/>
    <w:rsid w:val="00EC6872"/>
    <w:rsid w:val="00EC7847"/>
    <w:rsid w:val="00ED26FF"/>
    <w:rsid w:val="00ED312A"/>
    <w:rsid w:val="00ED4B2F"/>
    <w:rsid w:val="00ED797E"/>
    <w:rsid w:val="00EE1911"/>
    <w:rsid w:val="00EE60E0"/>
    <w:rsid w:val="00EE6B88"/>
    <w:rsid w:val="00EE7644"/>
    <w:rsid w:val="00EF1417"/>
    <w:rsid w:val="00EF333C"/>
    <w:rsid w:val="00EF4D23"/>
    <w:rsid w:val="00EF56E7"/>
    <w:rsid w:val="00EF6E56"/>
    <w:rsid w:val="00EF75FF"/>
    <w:rsid w:val="00F01DC1"/>
    <w:rsid w:val="00F02880"/>
    <w:rsid w:val="00F04FAE"/>
    <w:rsid w:val="00F058DD"/>
    <w:rsid w:val="00F05E7C"/>
    <w:rsid w:val="00F063CB"/>
    <w:rsid w:val="00F07702"/>
    <w:rsid w:val="00F13962"/>
    <w:rsid w:val="00F21686"/>
    <w:rsid w:val="00F21AAA"/>
    <w:rsid w:val="00F24A73"/>
    <w:rsid w:val="00F32082"/>
    <w:rsid w:val="00F326C1"/>
    <w:rsid w:val="00F3609B"/>
    <w:rsid w:val="00F44637"/>
    <w:rsid w:val="00F47E97"/>
    <w:rsid w:val="00F5174E"/>
    <w:rsid w:val="00F526FC"/>
    <w:rsid w:val="00F54A64"/>
    <w:rsid w:val="00F555AC"/>
    <w:rsid w:val="00F6792C"/>
    <w:rsid w:val="00F74740"/>
    <w:rsid w:val="00F842FA"/>
    <w:rsid w:val="00F85376"/>
    <w:rsid w:val="00F8790E"/>
    <w:rsid w:val="00F91683"/>
    <w:rsid w:val="00F91B4F"/>
    <w:rsid w:val="00F9609D"/>
    <w:rsid w:val="00F9729D"/>
    <w:rsid w:val="00FA06D8"/>
    <w:rsid w:val="00FA1FC1"/>
    <w:rsid w:val="00FB2210"/>
    <w:rsid w:val="00FB243A"/>
    <w:rsid w:val="00FB5781"/>
    <w:rsid w:val="00FC4C57"/>
    <w:rsid w:val="00FD283D"/>
    <w:rsid w:val="00FD6C32"/>
    <w:rsid w:val="00FD7559"/>
    <w:rsid w:val="00FE0ACD"/>
    <w:rsid w:val="00FE223E"/>
    <w:rsid w:val="00FF21CA"/>
    <w:rsid w:val="00FF231B"/>
    <w:rsid w:val="00FF29D1"/>
    <w:rsid w:val="00FF30CA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93A0D"/>
  <w15:chartTrackingRefBased/>
  <w15:docId w15:val="{7F4556EE-61BC-4DFF-A0C5-DF293A55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E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C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CA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54258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7A2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04E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04EB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04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04EBA"/>
    <w:rPr>
      <w:sz w:val="18"/>
      <w:szCs w:val="18"/>
    </w:rPr>
  </w:style>
  <w:style w:type="character" w:styleId="a9">
    <w:name w:val="Placeholder Text"/>
    <w:basedOn w:val="a0"/>
    <w:uiPriority w:val="99"/>
    <w:semiHidden/>
    <w:rsid w:val="00DF513F"/>
    <w:rPr>
      <w:color w:val="666666"/>
    </w:rPr>
  </w:style>
  <w:style w:type="paragraph" w:styleId="aa">
    <w:name w:val="Revision"/>
    <w:hidden/>
    <w:uiPriority w:val="99"/>
    <w:semiHidden/>
    <w:rsid w:val="009F22C9"/>
  </w:style>
  <w:style w:type="character" w:styleId="ab">
    <w:name w:val="Emphasis"/>
    <w:basedOn w:val="a0"/>
    <w:uiPriority w:val="20"/>
    <w:qFormat/>
    <w:rsid w:val="00542587"/>
    <w:rPr>
      <w:i/>
      <w:iCs/>
    </w:rPr>
  </w:style>
  <w:style w:type="character" w:customStyle="1" w:styleId="30">
    <w:name w:val="标题 3 字符"/>
    <w:basedOn w:val="a0"/>
    <w:link w:val="3"/>
    <w:uiPriority w:val="9"/>
    <w:rsid w:val="00542587"/>
    <w:rPr>
      <w:rFonts w:ascii="宋体" w:eastAsia="宋体" w:hAnsi="宋体" w:cs="宋体"/>
      <w:b/>
      <w:bCs/>
      <w:kern w:val="0"/>
      <w:sz w:val="27"/>
      <w:szCs w:val="27"/>
    </w:rPr>
  </w:style>
  <w:style w:type="character" w:styleId="ac">
    <w:name w:val="Hyperlink"/>
    <w:basedOn w:val="a0"/>
    <w:uiPriority w:val="99"/>
    <w:semiHidden/>
    <w:unhideWhenUsed/>
    <w:rsid w:val="00542587"/>
    <w:rPr>
      <w:color w:val="0000FF"/>
      <w:u w:val="single"/>
    </w:rPr>
  </w:style>
  <w:style w:type="character" w:customStyle="1" w:styleId="highlight">
    <w:name w:val="highlight"/>
    <w:basedOn w:val="a0"/>
    <w:rsid w:val="00185A9F"/>
  </w:style>
  <w:style w:type="character" w:customStyle="1" w:styleId="10">
    <w:name w:val="标题 1 字符"/>
    <w:basedOn w:val="a0"/>
    <w:link w:val="1"/>
    <w:uiPriority w:val="9"/>
    <w:rsid w:val="006B7CA4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6B7CA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ody Text"/>
    <w:basedOn w:val="a"/>
    <w:link w:val="ae"/>
    <w:qFormat/>
    <w:rsid w:val="00637A21"/>
    <w:pPr>
      <w:widowControl/>
      <w:spacing w:before="180" w:after="180"/>
      <w:jc w:val="left"/>
    </w:pPr>
    <w:rPr>
      <w:kern w:val="0"/>
      <w:sz w:val="24"/>
      <w:szCs w:val="24"/>
      <w:lang w:eastAsia="en-US"/>
      <w14:ligatures w14:val="none"/>
    </w:rPr>
  </w:style>
  <w:style w:type="character" w:customStyle="1" w:styleId="ae">
    <w:name w:val="正文文本 字符"/>
    <w:basedOn w:val="a0"/>
    <w:link w:val="ad"/>
    <w:rsid w:val="00637A21"/>
    <w:rPr>
      <w:kern w:val="0"/>
      <w:sz w:val="24"/>
      <w:szCs w:val="24"/>
      <w:lang w:eastAsia="en-US"/>
      <w14:ligatures w14:val="none"/>
    </w:rPr>
  </w:style>
  <w:style w:type="paragraph" w:styleId="af">
    <w:name w:val="Normal (Web)"/>
    <w:basedOn w:val="a"/>
    <w:uiPriority w:val="99"/>
    <w:semiHidden/>
    <w:unhideWhenUsed/>
    <w:rsid w:val="001649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景倩吟</dc:creator>
  <cp:keywords/>
  <dc:description/>
  <cp:lastModifiedBy>张 忠喜</cp:lastModifiedBy>
  <cp:revision>3</cp:revision>
  <dcterms:created xsi:type="dcterms:W3CDTF">2026-07-13T05:11:00Z</dcterms:created>
  <dcterms:modified xsi:type="dcterms:W3CDTF">2026-07-13T05:13:00Z</dcterms:modified>
</cp:coreProperties>
</file>