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B61" w14:textId="77777777" w:rsidR="00EC24C1" w:rsidRPr="00871CA5" w:rsidRDefault="00CD54C2">
      <w:pPr>
        <w:spacing w:beforeLines="50" w:before="156" w:afterLines="50" w:after="156"/>
        <w:jc w:val="center"/>
        <w:rPr>
          <w:rFonts w:ascii="Times New Roman" w:hAnsi="Times New Roman"/>
        </w:rPr>
      </w:pPr>
      <w:r w:rsidRPr="00871CA5">
        <w:rPr>
          <w:rFonts w:ascii="Times New Roman" w:hAnsi="Times New Roman" w:hint="eastAsia"/>
        </w:rPr>
        <w:t xml:space="preserve"> </w:t>
      </w:r>
      <w:r w:rsidRPr="00871CA5">
        <w:rPr>
          <w:rFonts w:ascii="Times New Roman" w:hAnsi="Times New Roman"/>
        </w:rPr>
        <w:t>证券代码：</w:t>
      </w:r>
      <w:r w:rsidRPr="00871CA5">
        <w:rPr>
          <w:rFonts w:ascii="Times New Roman" w:hAnsi="Times New Roman" w:hint="eastAsia"/>
        </w:rPr>
        <w:t>6</w:t>
      </w:r>
      <w:r w:rsidRPr="00871CA5">
        <w:rPr>
          <w:rFonts w:ascii="Times New Roman" w:hAnsi="Times New Roman"/>
        </w:rPr>
        <w:t xml:space="preserve">88620  </w:t>
      </w:r>
      <w:r w:rsidRPr="00871CA5">
        <w:rPr>
          <w:rFonts w:ascii="Times New Roman" w:hAnsi="Times New Roman"/>
        </w:rPr>
        <w:t>证券简称：安凯微</w:t>
      </w:r>
    </w:p>
    <w:p w14:paraId="5A72C856" w14:textId="77777777" w:rsidR="00EC24C1" w:rsidRPr="00871CA5" w:rsidRDefault="00CD54C2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 w:rsidRPr="00871CA5">
        <w:rPr>
          <w:rFonts w:ascii="Times New Roman" w:hAnsi="Times New Roman"/>
          <w:sz w:val="30"/>
          <w:szCs w:val="30"/>
        </w:rPr>
        <w:t>广州安凯微电子股份有限公司</w:t>
      </w:r>
    </w:p>
    <w:p w14:paraId="007C6BC1" w14:textId="77777777" w:rsidR="00EC24C1" w:rsidRPr="00871CA5" w:rsidRDefault="00CD54C2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 w:rsidRPr="00871CA5">
        <w:rPr>
          <w:rFonts w:ascii="Times New Roman" w:hAnsi="Times New Roman"/>
          <w:sz w:val="30"/>
          <w:szCs w:val="30"/>
        </w:rPr>
        <w:t>投资者关系活动记录表</w:t>
      </w:r>
    </w:p>
    <w:p w14:paraId="403E7CCB" w14:textId="7EE65B85" w:rsidR="00EC24C1" w:rsidRPr="00871CA5" w:rsidRDefault="00CD54C2">
      <w:pPr>
        <w:spacing w:beforeLines="50" w:before="156" w:afterLines="50" w:after="156"/>
        <w:jc w:val="right"/>
        <w:rPr>
          <w:rFonts w:ascii="Times New Roman" w:hAnsi="Times New Roman"/>
        </w:rPr>
      </w:pPr>
      <w:r w:rsidRPr="00871CA5">
        <w:rPr>
          <w:rFonts w:ascii="Times New Roman" w:hAnsi="Times New Roman"/>
        </w:rPr>
        <w:t>编号：</w:t>
      </w:r>
      <w:r w:rsidRPr="00871CA5">
        <w:rPr>
          <w:rFonts w:ascii="Times New Roman" w:hAnsi="Times New Roman" w:hint="eastAsia"/>
        </w:rPr>
        <w:t>2</w:t>
      </w:r>
      <w:r w:rsidRPr="00871CA5">
        <w:rPr>
          <w:rFonts w:ascii="Times New Roman" w:hAnsi="Times New Roman"/>
        </w:rPr>
        <w:t>02</w:t>
      </w:r>
      <w:r w:rsidRPr="00871CA5">
        <w:rPr>
          <w:rFonts w:ascii="Times New Roman" w:hAnsi="Times New Roman" w:hint="eastAsia"/>
        </w:rPr>
        <w:t>6</w:t>
      </w:r>
      <w:r w:rsidRPr="00871CA5">
        <w:rPr>
          <w:rFonts w:ascii="Times New Roman" w:hAnsi="Times New Roman"/>
        </w:rPr>
        <w:t>-IR-0</w:t>
      </w:r>
      <w:r w:rsidR="0077592F">
        <w:rPr>
          <w:rFonts w:ascii="Times New Roman" w:hAnsi="Times New Roman" w:hint="eastAsia"/>
        </w:rPr>
        <w:t>1</w:t>
      </w:r>
      <w:r w:rsidR="002812D0">
        <w:rPr>
          <w:rFonts w:ascii="Times New Roman" w:hAnsi="Times New Roman" w:hint="eastAsia"/>
        </w:rPr>
        <w:t>1</w:t>
      </w:r>
    </w:p>
    <w:tbl>
      <w:tblPr>
        <w:tblStyle w:val="af0"/>
        <w:tblW w:w="8865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7000"/>
      </w:tblGrid>
      <w:tr w:rsidR="00EC24C1" w:rsidRPr="00871CA5" w14:paraId="2BB032A2" w14:textId="77777777">
        <w:trPr>
          <w:jc w:val="center"/>
        </w:trPr>
        <w:tc>
          <w:tcPr>
            <w:tcW w:w="1865" w:type="dxa"/>
          </w:tcPr>
          <w:p w14:paraId="38463BA2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7000" w:type="dxa"/>
          </w:tcPr>
          <w:p w14:paraId="796A8A84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 w:rsidRPr="00871CA5">
              <w:rPr>
                <w:rFonts w:ascii="Times New Roman" w:hAnsi="Times New Roman" w:cs="Cambria Math" w:hint="eastAsia"/>
              </w:rPr>
              <w:t>■</w:t>
            </w:r>
            <w:bookmarkEnd w:id="0"/>
            <w:bookmarkEnd w:id="1"/>
            <w:bookmarkEnd w:id="2"/>
            <w:r w:rsidRPr="00871CA5">
              <w:rPr>
                <w:rFonts w:ascii="Times New Roman" w:hAnsi="Times New Roman" w:cs="Cambria Math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特定对象调研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/>
              </w:rPr>
              <w:t xml:space="preserve">  </w:t>
            </w: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分析师会议</w:t>
            </w:r>
          </w:p>
          <w:p w14:paraId="0750F3E6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/>
              </w:rPr>
              <w:t xml:space="preserve">  </w:t>
            </w: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媒体采访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/>
              </w:rPr>
              <w:t xml:space="preserve">      </w:t>
            </w: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业绩说明会</w:t>
            </w:r>
          </w:p>
          <w:p w14:paraId="47A98177" w14:textId="77777777" w:rsidR="00EC24C1" w:rsidRPr="00871CA5" w:rsidRDefault="00CD54C2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新闻发布会</w:t>
            </w:r>
            <w:r w:rsidRPr="00871CA5">
              <w:rPr>
                <w:rFonts w:ascii="Times New Roman" w:hAnsi="Times New Roman" w:hint="eastAsia"/>
              </w:rPr>
              <w:t xml:space="preserve">  </w:t>
            </w:r>
            <w:r w:rsidRPr="00871CA5">
              <w:rPr>
                <w:rFonts w:ascii="Times New Roman" w:hAnsi="Times New Roman"/>
              </w:rPr>
              <w:t xml:space="preserve">   </w:t>
            </w: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路演活动</w:t>
            </w:r>
          </w:p>
          <w:p w14:paraId="4CD893F0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cs="Cambria Math" w:hint="eastAsia"/>
              </w:rPr>
              <w:t>■</w:t>
            </w:r>
            <w:r w:rsidRPr="00871CA5">
              <w:rPr>
                <w:rFonts w:ascii="Times New Roman" w:hAnsi="Times New Roman" w:cs="Cambria Math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现场参观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/>
              </w:rPr>
              <w:t xml:space="preserve">      </w:t>
            </w:r>
            <w:r w:rsidRPr="00871CA5">
              <w:rPr>
                <w:rFonts w:ascii="Cambria Math" w:hAnsi="Cambria Math" w:cs="Cambria Math"/>
              </w:rPr>
              <w:t>⃞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其他</w:t>
            </w:r>
          </w:p>
        </w:tc>
      </w:tr>
      <w:tr w:rsidR="00EC24C1" w:rsidRPr="00871CA5" w14:paraId="70B23D23" w14:textId="77777777">
        <w:trPr>
          <w:jc w:val="center"/>
        </w:trPr>
        <w:tc>
          <w:tcPr>
            <w:tcW w:w="1865" w:type="dxa"/>
          </w:tcPr>
          <w:p w14:paraId="21933F87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7000" w:type="dxa"/>
          </w:tcPr>
          <w:p w14:paraId="28F8ED3E" w14:textId="183D1D2F" w:rsidR="00EC24C1" w:rsidRPr="00871CA5" w:rsidRDefault="00ED6741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ED6741">
              <w:rPr>
                <w:rFonts w:ascii="Times New Roman" w:hAnsi="Times New Roman" w:cs="Times New Roman"/>
              </w:rPr>
              <w:t>华金证券、中金公司、暨创汇、深担创投、</w:t>
            </w:r>
            <w:r w:rsidR="0012789A" w:rsidRPr="0012789A">
              <w:rPr>
                <w:rFonts w:ascii="Times New Roman" w:hAnsi="Times New Roman" w:cs="Times New Roman"/>
              </w:rPr>
              <w:t>百宏成长</w:t>
            </w:r>
            <w:r w:rsidR="0012789A">
              <w:rPr>
                <w:rFonts w:ascii="Times New Roman" w:hAnsi="Times New Roman" w:cs="Times New Roman" w:hint="eastAsia"/>
              </w:rPr>
              <w:t>、</w:t>
            </w:r>
            <w:r w:rsidRPr="00ED6741">
              <w:rPr>
                <w:rFonts w:ascii="Times New Roman" w:hAnsi="Times New Roman" w:cs="Times New Roman"/>
              </w:rPr>
              <w:t>国金证券、盘京资本、粤财创投、东方红</w:t>
            </w:r>
          </w:p>
        </w:tc>
      </w:tr>
      <w:tr w:rsidR="00EC24C1" w:rsidRPr="00871CA5" w14:paraId="2F5E05AE" w14:textId="77777777">
        <w:trPr>
          <w:jc w:val="center"/>
        </w:trPr>
        <w:tc>
          <w:tcPr>
            <w:tcW w:w="1865" w:type="dxa"/>
          </w:tcPr>
          <w:p w14:paraId="00E04AD9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7000" w:type="dxa"/>
          </w:tcPr>
          <w:p w14:paraId="37A4264C" w14:textId="118476CA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2</w:t>
            </w:r>
            <w:r w:rsidRPr="00871CA5">
              <w:rPr>
                <w:rFonts w:ascii="Times New Roman" w:hAnsi="Times New Roman"/>
              </w:rPr>
              <w:t>02</w:t>
            </w:r>
            <w:r w:rsidRPr="00871CA5">
              <w:rPr>
                <w:rFonts w:ascii="Times New Roman" w:hAnsi="Times New Roman" w:hint="eastAsia"/>
              </w:rPr>
              <w:t>6</w:t>
            </w:r>
            <w:r w:rsidRPr="00871CA5">
              <w:rPr>
                <w:rFonts w:ascii="Times New Roman" w:hAnsi="Times New Roman"/>
              </w:rPr>
              <w:t>年</w:t>
            </w:r>
            <w:r w:rsidRPr="00871CA5">
              <w:rPr>
                <w:rFonts w:ascii="Times New Roman" w:hAnsi="Times New Roman" w:hint="eastAsia"/>
              </w:rPr>
              <w:t>7</w:t>
            </w:r>
            <w:r w:rsidRPr="00871CA5">
              <w:rPr>
                <w:rFonts w:ascii="Times New Roman" w:hAnsi="Times New Roman"/>
              </w:rPr>
              <w:t>月</w:t>
            </w:r>
            <w:r w:rsidR="002812D0">
              <w:rPr>
                <w:rFonts w:ascii="Times New Roman" w:hAnsi="Times New Roman" w:hint="eastAsia"/>
              </w:rPr>
              <w:t>14</w:t>
            </w:r>
            <w:r w:rsidRPr="00871CA5">
              <w:rPr>
                <w:rFonts w:ascii="Times New Roman" w:hAnsi="Times New Roman"/>
              </w:rPr>
              <w:t>日</w:t>
            </w:r>
            <w:r w:rsidR="002812D0">
              <w:rPr>
                <w:rFonts w:ascii="Times New Roman" w:hAnsi="Times New Roman" w:hint="eastAsia"/>
              </w:rPr>
              <w:t>至</w:t>
            </w:r>
            <w:r w:rsidR="002812D0">
              <w:rPr>
                <w:rFonts w:ascii="Times New Roman" w:hAnsi="Times New Roman" w:hint="eastAsia"/>
              </w:rPr>
              <w:t>7</w:t>
            </w:r>
            <w:r w:rsidR="002812D0">
              <w:rPr>
                <w:rFonts w:ascii="Times New Roman" w:hAnsi="Times New Roman" w:hint="eastAsia"/>
              </w:rPr>
              <w:t>月</w:t>
            </w:r>
            <w:r w:rsidR="002812D0">
              <w:rPr>
                <w:rFonts w:ascii="Times New Roman" w:hAnsi="Times New Roman" w:hint="eastAsia"/>
              </w:rPr>
              <w:t>1</w:t>
            </w:r>
            <w:r w:rsidR="00134645">
              <w:rPr>
                <w:rFonts w:ascii="Times New Roman" w:hAnsi="Times New Roman" w:hint="eastAsia"/>
              </w:rPr>
              <w:t>7</w:t>
            </w:r>
            <w:r w:rsidR="002812D0">
              <w:rPr>
                <w:rFonts w:ascii="Times New Roman" w:hAnsi="Times New Roman" w:hint="eastAsia"/>
              </w:rPr>
              <w:t>日</w:t>
            </w:r>
            <w:r w:rsidRPr="00871CA5">
              <w:rPr>
                <w:rFonts w:ascii="Times New Roman" w:hAnsi="Times New Roman"/>
              </w:rPr>
              <w:t xml:space="preserve"> </w:t>
            </w:r>
          </w:p>
        </w:tc>
      </w:tr>
      <w:tr w:rsidR="00EC24C1" w:rsidRPr="00871CA5" w14:paraId="79DF7680" w14:textId="77777777">
        <w:trPr>
          <w:trHeight w:val="585"/>
          <w:jc w:val="center"/>
        </w:trPr>
        <w:tc>
          <w:tcPr>
            <w:tcW w:w="1865" w:type="dxa"/>
          </w:tcPr>
          <w:p w14:paraId="450CC1DF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7000" w:type="dxa"/>
          </w:tcPr>
          <w:p w14:paraId="157663CD" w14:textId="73811BD2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cs="Times New Roman" w:hint="eastAsia"/>
              </w:rPr>
              <w:t>广州安凯微电子</w:t>
            </w:r>
            <w:r w:rsidRPr="00871CA5">
              <w:rPr>
                <w:rFonts w:ascii="Times New Roman" w:hAnsi="Times New Roman" w:cs="Times New Roman" w:hint="eastAsia"/>
              </w:rPr>
              <w:t>H</w:t>
            </w:r>
            <w:r w:rsidRPr="00871CA5">
              <w:rPr>
                <w:rFonts w:ascii="Times New Roman" w:hAnsi="Times New Roman" w:cs="Times New Roman" w:hint="eastAsia"/>
              </w:rPr>
              <w:t>大厦</w:t>
            </w:r>
            <w:r w:rsidR="00490BD0">
              <w:rPr>
                <w:rFonts w:ascii="Times New Roman" w:hAnsi="Times New Roman" w:cs="Times New Roman" w:hint="eastAsia"/>
              </w:rPr>
              <w:t>/</w:t>
            </w:r>
            <w:r w:rsidR="00490BD0">
              <w:rPr>
                <w:rFonts w:ascii="Times New Roman" w:hAnsi="Times New Roman" w:cs="Times New Roman" w:hint="eastAsia"/>
              </w:rPr>
              <w:t>线上</w:t>
            </w:r>
          </w:p>
        </w:tc>
      </w:tr>
      <w:tr w:rsidR="00EC24C1" w:rsidRPr="00871CA5" w14:paraId="50A5D96F" w14:textId="77777777">
        <w:trPr>
          <w:jc w:val="center"/>
        </w:trPr>
        <w:tc>
          <w:tcPr>
            <w:tcW w:w="1865" w:type="dxa"/>
          </w:tcPr>
          <w:p w14:paraId="0CD21433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7000" w:type="dxa"/>
          </w:tcPr>
          <w:p w14:paraId="725D9A34" w14:textId="77777777" w:rsidR="00EC24C1" w:rsidRPr="00871CA5" w:rsidRDefault="00CD54C2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副总经理、董事会秘书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李瑾懿</w:t>
            </w:r>
          </w:p>
          <w:p w14:paraId="0BF1A724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2</w:t>
            </w:r>
            <w:r w:rsidRPr="00871CA5">
              <w:rPr>
                <w:rFonts w:ascii="Times New Roman" w:hAnsi="Times New Roman" w:hint="eastAsia"/>
              </w:rPr>
              <w:t>、证券事务部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 w:hint="eastAsia"/>
              </w:rPr>
              <w:t>葛淳</w:t>
            </w:r>
          </w:p>
        </w:tc>
      </w:tr>
      <w:tr w:rsidR="00EC24C1" w:rsidRPr="00871CA5" w14:paraId="335ED4BC" w14:textId="77777777">
        <w:trPr>
          <w:trHeight w:val="2816"/>
          <w:jc w:val="center"/>
        </w:trPr>
        <w:tc>
          <w:tcPr>
            <w:tcW w:w="1865" w:type="dxa"/>
          </w:tcPr>
          <w:p w14:paraId="05934A80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7000" w:type="dxa"/>
          </w:tcPr>
          <w:p w14:paraId="7E9DB570" w14:textId="77777777" w:rsidR="00EC24C1" w:rsidRDefault="00CD54C2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/>
              </w:rPr>
              <w:t>投资者提出的问题与公司的回复情况</w:t>
            </w:r>
            <w:r w:rsidRPr="00871CA5">
              <w:rPr>
                <w:rFonts w:ascii="Times New Roman" w:hAnsi="Times New Roman" w:hint="eastAsia"/>
              </w:rPr>
              <w:t>。</w:t>
            </w:r>
          </w:p>
          <w:p w14:paraId="60DA5D6E" w14:textId="1E491AD7" w:rsidR="00E460A6" w:rsidRPr="007C7A4F" w:rsidRDefault="00E460A6" w:rsidP="00E460A6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7C7A4F">
              <w:rPr>
                <w:rFonts w:ascii="Times New Roman" w:hAnsi="Times New Roman" w:hint="eastAsia"/>
                <w:b/>
                <w:bCs/>
              </w:rPr>
              <w:t>Q</w:t>
            </w:r>
            <w:r w:rsidRPr="007C7A4F">
              <w:rPr>
                <w:rFonts w:ascii="Times New Roman" w:hAnsi="Times New Roman" w:hint="eastAsia"/>
                <w:b/>
                <w:bCs/>
              </w:rPr>
              <w:t>：</w:t>
            </w:r>
            <w:r w:rsidRPr="007C7A4F">
              <w:rPr>
                <w:rFonts w:ascii="Times New Roman" w:hAnsi="Times New Roman" w:hint="eastAsia"/>
                <w:b/>
                <w:bCs/>
              </w:rPr>
              <w:t>2025</w:t>
            </w:r>
            <w:r w:rsidRPr="007C7A4F">
              <w:rPr>
                <w:rFonts w:ascii="Times New Roman" w:hAnsi="Times New Roman" w:hint="eastAsia"/>
                <w:b/>
                <w:bCs/>
              </w:rPr>
              <w:t>年推出的</w:t>
            </w:r>
            <w:r w:rsidR="00490BD0">
              <w:rPr>
                <w:rFonts w:ascii="Times New Roman" w:hAnsi="Times New Roman" w:hint="eastAsia"/>
                <w:b/>
                <w:bCs/>
              </w:rPr>
              <w:t>新</w:t>
            </w:r>
            <w:r w:rsidRPr="007C7A4F">
              <w:rPr>
                <w:rFonts w:ascii="Times New Roman" w:hAnsi="Times New Roman" w:hint="eastAsia"/>
                <w:b/>
                <w:bCs/>
              </w:rPr>
              <w:t>产品，</w:t>
            </w:r>
            <w:r w:rsidRPr="007C7A4F">
              <w:rPr>
                <w:rFonts w:ascii="Times New Roman" w:hAnsi="Times New Roman" w:hint="eastAsia"/>
                <w:b/>
                <w:bCs/>
              </w:rPr>
              <w:t>2026</w:t>
            </w:r>
            <w:r w:rsidRPr="007C7A4F">
              <w:rPr>
                <w:rFonts w:ascii="Times New Roman" w:hAnsi="Times New Roman" w:hint="eastAsia"/>
                <w:b/>
                <w:bCs/>
              </w:rPr>
              <w:t>有大量出货吗？</w:t>
            </w:r>
          </w:p>
          <w:p w14:paraId="336C001F" w14:textId="416C5F83" w:rsidR="00E460A6" w:rsidRDefault="00E460A6" w:rsidP="00E460A6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DF7B87">
              <w:rPr>
                <w:rFonts w:ascii="Times New Roman" w:hAnsi="Times New Roman" w:hint="eastAsia"/>
              </w:rPr>
              <w:t>已经有部分芯片大量出货，个别出货已实现千万颗级别，其他芯片按计划市场导入中</w:t>
            </w:r>
            <w:r w:rsidR="00462417" w:rsidRPr="00462417">
              <w:rPr>
                <w:rFonts w:ascii="Times New Roman" w:hAnsi="Times New Roman"/>
              </w:rPr>
              <w:t>。</w:t>
            </w:r>
          </w:p>
          <w:p w14:paraId="37BB1C58" w14:textId="1AC014F4" w:rsidR="007C7A4F" w:rsidRPr="007C7A4F" w:rsidRDefault="007C7A4F" w:rsidP="00E460A6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7C7A4F">
              <w:rPr>
                <w:rFonts w:ascii="Times New Roman" w:hAnsi="Times New Roman" w:hint="eastAsia"/>
                <w:b/>
                <w:bCs/>
              </w:rPr>
              <w:t>Q</w:t>
            </w:r>
            <w:r w:rsidRPr="007C7A4F">
              <w:rPr>
                <w:rFonts w:ascii="Times New Roman" w:hAnsi="Times New Roman" w:hint="eastAsia"/>
                <w:b/>
                <w:bCs/>
              </w:rPr>
              <w:t>：思澈</w:t>
            </w:r>
            <w:r w:rsidR="00490BD0">
              <w:rPr>
                <w:rFonts w:ascii="Times New Roman" w:hAnsi="Times New Roman" w:hint="eastAsia"/>
                <w:b/>
                <w:bCs/>
              </w:rPr>
              <w:t>科技</w:t>
            </w:r>
            <w:r w:rsidRPr="007C7A4F">
              <w:rPr>
                <w:rFonts w:ascii="Times New Roman" w:hAnsi="Times New Roman" w:hint="eastAsia"/>
                <w:b/>
                <w:bCs/>
              </w:rPr>
              <w:t>整合情况？</w:t>
            </w:r>
          </w:p>
          <w:p w14:paraId="2FF61BF5" w14:textId="33FCC3CF" w:rsidR="007C7A4F" w:rsidRPr="00871CA5" w:rsidRDefault="007C7A4F" w:rsidP="00E460A6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Pr="007C7A4F">
              <w:rPr>
                <w:rFonts w:ascii="Times New Roman" w:hAnsi="Times New Roman"/>
              </w:rPr>
              <w:t>今年一季度已经并表。在经营管理层面，思澈科技日常运营仍保持相对独立性，旨在充分发挥其团队经营活力和专业能力</w:t>
            </w:r>
            <w:r w:rsidR="00DF7B87">
              <w:rPr>
                <w:rFonts w:ascii="Times New Roman" w:hAnsi="Times New Roman" w:hint="eastAsia"/>
              </w:rPr>
              <w:t>，</w:t>
            </w:r>
            <w:r w:rsidR="00DF7B87">
              <w:rPr>
                <w:rFonts w:ascii="Times New Roman" w:hAnsi="Times New Roman"/>
              </w:rPr>
              <w:t>且</w:t>
            </w:r>
            <w:r w:rsidRPr="007C7A4F">
              <w:rPr>
                <w:rFonts w:ascii="Times New Roman" w:hAnsi="Times New Roman"/>
              </w:rPr>
              <w:t>基于收购协议的一些条件约定，思澈科技会实行单独核算。公司将在风险可控的前提下持续推进双方整合，实现母子公司协同发展。</w:t>
            </w:r>
          </w:p>
          <w:p w14:paraId="32E13679" w14:textId="3F4A9F5F" w:rsidR="007A3D28" w:rsidRDefault="00EB6385" w:rsidP="00EB638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 w:rsidRPr="00403E88">
              <w:rPr>
                <w:rFonts w:ascii="Times New Roman" w:hAnsi="Times New Roman" w:hint="eastAsia"/>
                <w:b/>
              </w:rPr>
              <w:t>Q</w:t>
            </w:r>
            <w:r w:rsidRPr="00403E88">
              <w:rPr>
                <w:rFonts w:ascii="Times New Roman" w:hAnsi="Times New Roman" w:hint="eastAsia"/>
                <w:b/>
              </w:rPr>
              <w:t>：</w:t>
            </w:r>
            <w:r w:rsidR="00DF7B87">
              <w:rPr>
                <w:rFonts w:ascii="Times New Roman" w:hAnsi="Times New Roman" w:hint="eastAsia"/>
                <w:b/>
              </w:rPr>
              <w:t>根据</w:t>
            </w:r>
            <w:r w:rsidR="00DF7B87" w:rsidRPr="000E2D0C">
              <w:rPr>
                <w:rFonts w:ascii="Times New Roman" w:hAnsi="Times New Roman" w:hint="eastAsia"/>
                <w:b/>
              </w:rPr>
              <w:t>一季报和半年报预告，今年上半年</w:t>
            </w:r>
            <w:r w:rsidR="00332A16" w:rsidRPr="000E2D0C">
              <w:rPr>
                <w:rFonts w:ascii="Times New Roman" w:hAnsi="Times New Roman" w:hint="eastAsia"/>
                <w:b/>
              </w:rPr>
              <w:t>营业</w:t>
            </w:r>
            <w:r w:rsidR="00DF7B87" w:rsidRPr="000E2D0C">
              <w:rPr>
                <w:rFonts w:ascii="Times New Roman" w:hAnsi="Times New Roman" w:hint="eastAsia"/>
                <w:b/>
              </w:rPr>
              <w:t>增长和</w:t>
            </w:r>
            <w:r w:rsidR="00332A16" w:rsidRPr="000E2D0C">
              <w:rPr>
                <w:rFonts w:ascii="Times New Roman" w:hAnsi="Times New Roman" w:hint="eastAsia"/>
                <w:b/>
              </w:rPr>
              <w:t>利润改善幅度比较大</w:t>
            </w:r>
            <w:r w:rsidR="00DF7B87" w:rsidRPr="000B102D">
              <w:rPr>
                <w:rFonts w:ascii="Times New Roman" w:hAnsi="Times New Roman" w:hint="eastAsia"/>
                <w:b/>
              </w:rPr>
              <w:t>的</w:t>
            </w:r>
            <w:r w:rsidR="00332A16" w:rsidRPr="000B102D">
              <w:rPr>
                <w:rFonts w:ascii="Times New Roman" w:hAnsi="Times New Roman"/>
                <w:b/>
              </w:rPr>
              <w:t>主要原因</w:t>
            </w:r>
            <w:r w:rsidR="00332A16" w:rsidRPr="000B102D">
              <w:rPr>
                <w:rFonts w:ascii="Times New Roman" w:hAnsi="Times New Roman" w:hint="eastAsia"/>
                <w:b/>
              </w:rPr>
              <w:t>？</w:t>
            </w:r>
            <w:r w:rsidR="00490BD0" w:rsidRPr="000B102D">
              <w:rPr>
                <w:rFonts w:ascii="Times New Roman" w:hAnsi="Times New Roman" w:hint="eastAsia"/>
                <w:b/>
                <w:bCs/>
              </w:rPr>
              <w:t>今年全年如何？</w:t>
            </w:r>
            <w:r w:rsidR="0049714B" w:rsidRPr="000E2D0C">
              <w:rPr>
                <w:rFonts w:ascii="Times New Roman" w:hAnsi="Times New Roman"/>
                <w:b/>
              </w:rPr>
              <w:t>供应链保障</w:t>
            </w:r>
            <w:r w:rsidR="00490BD0" w:rsidRPr="000E2D0C">
              <w:rPr>
                <w:rFonts w:ascii="Times New Roman" w:hAnsi="Times New Roman" w:hint="eastAsia"/>
                <w:b/>
              </w:rPr>
              <w:t>如何</w:t>
            </w:r>
            <w:r w:rsidR="0049714B" w:rsidRPr="000E2D0C">
              <w:rPr>
                <w:rFonts w:ascii="Times New Roman" w:hAnsi="Times New Roman"/>
                <w:b/>
              </w:rPr>
              <w:t>？</w:t>
            </w:r>
            <w:r w:rsidR="00490BD0" w:rsidRPr="000E2D0C">
              <w:rPr>
                <w:rFonts w:ascii="Times New Roman" w:hAnsi="Times New Roman"/>
                <w:b/>
              </w:rPr>
              <w:t>明年</w:t>
            </w:r>
            <w:r w:rsidR="00DF7B87" w:rsidRPr="000E2D0C">
              <w:rPr>
                <w:rFonts w:ascii="Times New Roman" w:hAnsi="Times New Roman" w:hint="eastAsia"/>
                <w:b/>
              </w:rPr>
              <w:t>是</w:t>
            </w:r>
            <w:r w:rsidR="00DF7B87">
              <w:rPr>
                <w:rFonts w:ascii="Times New Roman" w:hAnsi="Times New Roman" w:hint="eastAsia"/>
                <w:b/>
              </w:rPr>
              <w:t>否</w:t>
            </w:r>
            <w:r w:rsidR="00490BD0">
              <w:rPr>
                <w:rFonts w:ascii="Times New Roman" w:hAnsi="Times New Roman"/>
                <w:b/>
              </w:rPr>
              <w:t>能继续增长</w:t>
            </w:r>
            <w:r w:rsidR="00490BD0">
              <w:rPr>
                <w:rFonts w:ascii="Times New Roman" w:hAnsi="Times New Roman" w:hint="eastAsia"/>
                <w:b/>
              </w:rPr>
              <w:t>？</w:t>
            </w:r>
          </w:p>
          <w:p w14:paraId="3F417429" w14:textId="7598EBB2" w:rsidR="009B20AB" w:rsidRDefault="00EB6385" w:rsidP="00E03F34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</w:t>
            </w:r>
            <w:r w:rsidR="00130432">
              <w:rPr>
                <w:rFonts w:ascii="Times New Roman" w:hAnsi="Times New Roman" w:hint="eastAsia"/>
                <w:bCs/>
              </w:rPr>
              <w:t>受益于</w:t>
            </w:r>
            <w:r w:rsidR="00130432" w:rsidRPr="00FE07EC">
              <w:rPr>
                <w:rFonts w:ascii="Times New Roman" w:hAnsi="Times New Roman"/>
                <w:bCs/>
              </w:rPr>
              <w:t>AI</w:t>
            </w:r>
            <w:r w:rsidR="00130432" w:rsidRPr="00FE07EC">
              <w:rPr>
                <w:rFonts w:ascii="Times New Roman" w:hAnsi="Times New Roman"/>
                <w:bCs/>
              </w:rPr>
              <w:t>硬件及</w:t>
            </w:r>
            <w:r w:rsidR="00130432" w:rsidRPr="00FE07EC">
              <w:rPr>
                <w:rFonts w:ascii="Times New Roman" w:hAnsi="Times New Roman"/>
                <w:bCs/>
              </w:rPr>
              <w:t>AI</w:t>
            </w:r>
            <w:r w:rsidR="00130432" w:rsidRPr="00FE07EC">
              <w:rPr>
                <w:rFonts w:ascii="Times New Roman" w:hAnsi="Times New Roman"/>
                <w:bCs/>
              </w:rPr>
              <w:t>应用需求的持续</w:t>
            </w:r>
            <w:r w:rsidR="00130432">
              <w:rPr>
                <w:rFonts w:ascii="Times New Roman" w:hAnsi="Times New Roman" w:hint="eastAsia"/>
                <w:bCs/>
              </w:rPr>
              <w:t>增长、</w:t>
            </w:r>
            <w:r w:rsidR="00130432">
              <w:rPr>
                <w:rFonts w:ascii="Times New Roman" w:hAnsi="Times New Roman" w:hint="eastAsia"/>
                <w:bCs/>
              </w:rPr>
              <w:t>2025</w:t>
            </w:r>
            <w:r w:rsidR="00130432">
              <w:rPr>
                <w:rFonts w:ascii="Times New Roman" w:hAnsi="Times New Roman" w:hint="eastAsia"/>
                <w:bCs/>
              </w:rPr>
              <w:t>年底新推出产品量产</w:t>
            </w:r>
            <w:r w:rsidR="00130432">
              <w:rPr>
                <w:rFonts w:ascii="Times New Roman" w:hAnsi="Times New Roman" w:hint="eastAsia"/>
                <w:bCs/>
              </w:rPr>
              <w:lastRenderedPageBreak/>
              <w:t>导入进展，加之结合上游原材料成本变动对产品执行的价格调整措施，公司今年上半年营业收入增长，毛利率持续改善</w:t>
            </w:r>
            <w:r w:rsidR="00130432" w:rsidRPr="0012789A">
              <w:rPr>
                <w:rFonts w:ascii="Times New Roman" w:hAnsi="Times New Roman" w:hint="eastAsia"/>
                <w:bCs/>
              </w:rPr>
              <w:t>。</w:t>
            </w:r>
            <w:r w:rsidR="00770A96" w:rsidRPr="0012789A">
              <w:rPr>
                <w:rFonts w:ascii="Times New Roman" w:hAnsi="Times New Roman" w:hint="eastAsia"/>
                <w:bCs/>
              </w:rPr>
              <w:t>预计受上述这些因素的持续影响，全年营收会实现增长，盈利能力得到实质改善。</w:t>
            </w:r>
            <w:r w:rsidR="00130432" w:rsidRPr="00130432">
              <w:rPr>
                <w:rFonts w:ascii="Times New Roman" w:hAnsi="Times New Roman"/>
                <w:bCs/>
              </w:rPr>
              <w:t>公司与上游</w:t>
            </w:r>
            <w:r w:rsidR="00770A96">
              <w:rPr>
                <w:rFonts w:ascii="Times New Roman" w:hAnsi="Times New Roman"/>
                <w:bCs/>
              </w:rPr>
              <w:t>主要</w:t>
            </w:r>
            <w:r w:rsidR="00130432" w:rsidRPr="00130432">
              <w:rPr>
                <w:rFonts w:ascii="Times New Roman" w:hAnsi="Times New Roman"/>
                <w:bCs/>
              </w:rPr>
              <w:t>供应商一直保持稳定的合作关系，供应链会匹配好需求，保障好产能。</w:t>
            </w:r>
            <w:r w:rsidR="00E03F34">
              <w:rPr>
                <w:rFonts w:ascii="Times New Roman" w:hAnsi="Times New Roman"/>
                <w:bCs/>
              </w:rPr>
              <w:t>在产品实现顺利的市场导入</w:t>
            </w:r>
            <w:r w:rsidR="00E03F34">
              <w:rPr>
                <w:rFonts w:ascii="Times New Roman" w:hAnsi="Times New Roman" w:hint="eastAsia"/>
                <w:bCs/>
              </w:rPr>
              <w:t>、</w:t>
            </w:r>
            <w:r w:rsidR="00E03F34">
              <w:rPr>
                <w:rFonts w:ascii="Times New Roman" w:hAnsi="Times New Roman"/>
                <w:bCs/>
              </w:rPr>
              <w:t>市场拓展取得实质性进展</w:t>
            </w:r>
            <w:r w:rsidR="00E03F34">
              <w:rPr>
                <w:rFonts w:ascii="Times New Roman" w:hAnsi="Times New Roman" w:hint="eastAsia"/>
                <w:bCs/>
              </w:rPr>
              <w:t>、明年</w:t>
            </w:r>
            <w:r w:rsidR="00E03F34">
              <w:rPr>
                <w:rFonts w:ascii="Times New Roman" w:hAnsi="Times New Roman"/>
                <w:bCs/>
              </w:rPr>
              <w:t>市场景气度维持的前提下</w:t>
            </w:r>
            <w:r w:rsidR="00E03F34">
              <w:rPr>
                <w:rFonts w:ascii="Times New Roman" w:hAnsi="Times New Roman" w:hint="eastAsia"/>
                <w:bCs/>
              </w:rPr>
              <w:t>，</w:t>
            </w:r>
            <w:r w:rsidR="00E03F34">
              <w:rPr>
                <w:rFonts w:ascii="Times New Roman" w:hAnsi="Times New Roman"/>
                <w:bCs/>
              </w:rPr>
              <w:t>明年公司的营收增长有</w:t>
            </w:r>
            <w:r w:rsidR="00E03F34">
              <w:rPr>
                <w:rFonts w:ascii="Times New Roman" w:hAnsi="Times New Roman" w:hint="eastAsia"/>
                <w:bCs/>
              </w:rPr>
              <w:t>基础。</w:t>
            </w:r>
          </w:p>
          <w:p w14:paraId="7F7EAB2F" w14:textId="12A70D74" w:rsidR="009B20AB" w:rsidRPr="00130432" w:rsidRDefault="009B20AB" w:rsidP="009B20AB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 w:rsidRPr="00130432">
              <w:rPr>
                <w:rFonts w:ascii="Times New Roman" w:hAnsi="Times New Roman" w:hint="eastAsia"/>
                <w:b/>
              </w:rPr>
              <w:t>Q</w:t>
            </w:r>
            <w:r w:rsidRPr="00130432">
              <w:rPr>
                <w:rFonts w:ascii="Times New Roman" w:hAnsi="Times New Roman" w:hint="eastAsia"/>
                <w:b/>
              </w:rPr>
              <w:t>：公司</w:t>
            </w:r>
            <w:r w:rsidRPr="00130432">
              <w:rPr>
                <w:rFonts w:ascii="Times New Roman" w:hAnsi="Times New Roman"/>
                <w:b/>
              </w:rPr>
              <w:t>产品</w:t>
            </w:r>
            <w:r w:rsidRPr="00130432">
              <w:rPr>
                <w:rFonts w:ascii="Times New Roman" w:hAnsi="Times New Roman" w:hint="eastAsia"/>
                <w:b/>
              </w:rPr>
              <w:t>后续制程怎么规划？</w:t>
            </w:r>
            <w:r w:rsidRPr="00130432">
              <w:rPr>
                <w:rFonts w:ascii="Times New Roman" w:hAnsi="Times New Roman"/>
                <w:b/>
              </w:rPr>
              <w:t xml:space="preserve"> </w:t>
            </w:r>
          </w:p>
          <w:p w14:paraId="51E5E465" w14:textId="00E9F242" w:rsidR="00702296" w:rsidRPr="009B20AB" w:rsidRDefault="009B20AB" w:rsidP="00EB638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：目前公司产品以</w:t>
            </w:r>
            <w:r>
              <w:rPr>
                <w:rFonts w:ascii="Times New Roman" w:hAnsi="Times New Roman" w:hint="eastAsia"/>
                <w:bCs/>
              </w:rPr>
              <w:t>22nm</w:t>
            </w:r>
            <w:r w:rsidR="00E03F34">
              <w:rPr>
                <w:rFonts w:ascii="Times New Roman" w:hAnsi="Times New Roman" w:hint="eastAsia"/>
                <w:bCs/>
              </w:rPr>
              <w:t>制程</w:t>
            </w:r>
            <w:r>
              <w:rPr>
                <w:rFonts w:ascii="Times New Roman" w:hAnsi="Times New Roman" w:hint="eastAsia"/>
                <w:bCs/>
              </w:rPr>
              <w:t>为主，</w:t>
            </w:r>
            <w:r w:rsidR="00E03F34" w:rsidRPr="00130432" w:rsidDel="00E03F34">
              <w:rPr>
                <w:rFonts w:ascii="Times New Roman" w:hAnsi="Times New Roman"/>
                <w:bCs/>
              </w:rPr>
              <w:t xml:space="preserve"> </w:t>
            </w:r>
            <w:r w:rsidRPr="00130432">
              <w:rPr>
                <w:rFonts w:ascii="Times New Roman" w:hAnsi="Times New Roman"/>
                <w:bCs/>
              </w:rPr>
              <w:t>12nm</w:t>
            </w:r>
            <w:r w:rsidR="00E03F34">
              <w:rPr>
                <w:rFonts w:ascii="Times New Roman" w:hAnsi="Times New Roman"/>
                <w:bCs/>
              </w:rPr>
              <w:t>产品</w:t>
            </w:r>
            <w:r w:rsidRPr="00130432">
              <w:rPr>
                <w:rFonts w:ascii="Times New Roman" w:hAnsi="Times New Roman"/>
                <w:bCs/>
              </w:rPr>
              <w:t>预计年内推出</w:t>
            </w:r>
            <w:r w:rsidR="00E03F34">
              <w:rPr>
                <w:rFonts w:ascii="Times New Roman" w:hAnsi="Times New Roman" w:hint="eastAsia"/>
                <w:bCs/>
              </w:rPr>
              <w:t>。</w:t>
            </w:r>
            <w:r w:rsidR="00E03F34">
              <w:rPr>
                <w:rFonts w:ascii="Times New Roman" w:hAnsi="Times New Roman"/>
                <w:bCs/>
              </w:rPr>
              <w:t>后续有更高算力芯片在规划中</w:t>
            </w:r>
            <w:r w:rsidR="00E03F34">
              <w:rPr>
                <w:rFonts w:ascii="Times New Roman" w:hAnsi="Times New Roman" w:hint="eastAsia"/>
                <w:bCs/>
              </w:rPr>
              <w:t>，</w:t>
            </w:r>
            <w:r w:rsidRPr="00130432">
              <w:rPr>
                <w:rFonts w:ascii="Times New Roman" w:hAnsi="Times New Roman"/>
                <w:bCs/>
              </w:rPr>
              <w:t>旨在满足智能化发展对低功耗、高算力、多模态融合芯片的需求</w:t>
            </w:r>
            <w:r w:rsidR="00E03F34">
              <w:rPr>
                <w:rFonts w:ascii="Times New Roman" w:hAnsi="Times New Roman" w:hint="eastAsia"/>
                <w:bCs/>
              </w:rPr>
              <w:t>，</w:t>
            </w:r>
            <w:r w:rsidR="00E03F34">
              <w:rPr>
                <w:rFonts w:ascii="Times New Roman" w:hAnsi="Times New Roman"/>
                <w:bCs/>
              </w:rPr>
              <w:t>具体制程将根据产品需求规格</w:t>
            </w:r>
            <w:r w:rsidR="00E03F34">
              <w:rPr>
                <w:rFonts w:ascii="Times New Roman" w:hAnsi="Times New Roman" w:hint="eastAsia"/>
                <w:bCs/>
              </w:rPr>
              <w:t>确定</w:t>
            </w:r>
            <w:r w:rsidRPr="00130432">
              <w:rPr>
                <w:rFonts w:ascii="Times New Roman" w:hAnsi="Times New Roman"/>
                <w:bCs/>
              </w:rPr>
              <w:t>。</w:t>
            </w:r>
          </w:p>
          <w:p w14:paraId="29040E00" w14:textId="78417581" w:rsidR="009B20AB" w:rsidRPr="005A577A" w:rsidRDefault="009B20AB" w:rsidP="00EB638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 w:rsidRPr="005A577A">
              <w:rPr>
                <w:rFonts w:ascii="Times New Roman" w:hAnsi="Times New Roman" w:hint="eastAsia"/>
                <w:b/>
              </w:rPr>
              <w:t>Q</w:t>
            </w:r>
            <w:r w:rsidRPr="005A577A">
              <w:rPr>
                <w:rFonts w:ascii="Times New Roman" w:hAnsi="Times New Roman" w:hint="eastAsia"/>
                <w:b/>
              </w:rPr>
              <w:t>：</w:t>
            </w:r>
            <w:r w:rsidR="00C12B19" w:rsidRPr="005A577A">
              <w:rPr>
                <w:rFonts w:ascii="Times New Roman" w:hAnsi="Times New Roman" w:hint="eastAsia"/>
                <w:b/>
              </w:rPr>
              <w:t>公司的应用处理器芯片应用比较广泛，公司</w:t>
            </w:r>
            <w:r w:rsidR="00D615C7">
              <w:rPr>
                <w:rFonts w:ascii="Times New Roman" w:hAnsi="Times New Roman" w:hint="eastAsia"/>
                <w:b/>
              </w:rPr>
              <w:t>在这方面</w:t>
            </w:r>
            <w:r w:rsidR="00490BD0">
              <w:rPr>
                <w:rFonts w:ascii="Times New Roman" w:hAnsi="Times New Roman" w:hint="eastAsia"/>
                <w:b/>
              </w:rPr>
              <w:t>的</w:t>
            </w:r>
            <w:r w:rsidR="00C12B19" w:rsidRPr="005A577A">
              <w:rPr>
                <w:rFonts w:ascii="Times New Roman" w:hAnsi="Times New Roman" w:hint="eastAsia"/>
                <w:b/>
              </w:rPr>
              <w:t>优势</w:t>
            </w:r>
            <w:r w:rsidR="00D615C7">
              <w:rPr>
                <w:rFonts w:ascii="Times New Roman" w:hAnsi="Times New Roman" w:hint="eastAsia"/>
                <w:b/>
              </w:rPr>
              <w:t>是什么？</w:t>
            </w:r>
          </w:p>
          <w:p w14:paraId="23D4F216" w14:textId="4D13D10E" w:rsidR="00B65F9F" w:rsidRDefault="009B20AB" w:rsidP="00EB638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</w:t>
            </w:r>
            <w:r w:rsidR="00B65F9F" w:rsidRPr="00B65F9F">
              <w:rPr>
                <w:rFonts w:ascii="Times New Roman" w:hAnsi="Times New Roman"/>
                <w:bCs/>
              </w:rPr>
              <w:t>公司经过多年自主创新形成了多项核心</w:t>
            </w:r>
            <w:r w:rsidR="00B65F9F" w:rsidRPr="00B65F9F">
              <w:rPr>
                <w:rFonts w:ascii="Times New Roman" w:hAnsi="Times New Roman"/>
                <w:bCs/>
              </w:rPr>
              <w:t>IP</w:t>
            </w:r>
            <w:r w:rsidR="00B65F9F" w:rsidRPr="00B65F9F">
              <w:rPr>
                <w:rFonts w:ascii="Times New Roman" w:hAnsi="Times New Roman"/>
                <w:bCs/>
              </w:rPr>
              <w:t>，主要分布在</w:t>
            </w:r>
            <w:r w:rsidR="00B65F9F" w:rsidRPr="00B65F9F">
              <w:rPr>
                <w:rFonts w:ascii="Times New Roman" w:hAnsi="Times New Roman"/>
                <w:bCs/>
              </w:rPr>
              <w:t>SoC</w:t>
            </w:r>
            <w:r w:rsidR="00B65F9F" w:rsidRPr="00B65F9F">
              <w:rPr>
                <w:rFonts w:ascii="Times New Roman" w:hAnsi="Times New Roman"/>
                <w:bCs/>
              </w:rPr>
              <w:t>架构、机器学习、</w:t>
            </w:r>
            <w:r w:rsidR="00B65F9F" w:rsidRPr="00B65F9F">
              <w:rPr>
                <w:rFonts w:ascii="Times New Roman" w:hAnsi="Times New Roman"/>
                <w:bCs/>
              </w:rPr>
              <w:t>ISP</w:t>
            </w:r>
            <w:r w:rsidR="00B65F9F" w:rsidRPr="00B65F9F">
              <w:rPr>
                <w:rFonts w:ascii="Times New Roman" w:hAnsi="Times New Roman"/>
                <w:bCs/>
              </w:rPr>
              <w:t>、音视频图像图形、短距离通讯、低功耗等领域；</w:t>
            </w:r>
            <w:r w:rsidR="00D615C7">
              <w:rPr>
                <w:rFonts w:ascii="Times New Roman" w:hAnsi="Times New Roman"/>
                <w:bCs/>
              </w:rPr>
              <w:t>同时公司</w:t>
            </w:r>
            <w:r w:rsidR="00D615C7">
              <w:rPr>
                <w:rFonts w:ascii="Times New Roman" w:hAnsi="Times New Roman" w:hint="eastAsia"/>
                <w:bCs/>
              </w:rPr>
              <w:t>研发</w:t>
            </w:r>
            <w:r w:rsidR="00D615C7">
              <w:rPr>
                <w:rFonts w:ascii="Times New Roman" w:hAnsi="Times New Roman"/>
                <w:bCs/>
              </w:rPr>
              <w:t>多种应用算法模型和基于大语言模型和大视觉模型技术的中小模型</w:t>
            </w:r>
            <w:r w:rsidR="00B65F9F" w:rsidRPr="00871CA5">
              <w:rPr>
                <w:rFonts w:ascii="Times New Roman" w:hAnsi="Times New Roman"/>
              </w:rPr>
              <w:t>，旨在解决通用大模型在</w:t>
            </w:r>
            <w:r w:rsidR="00B65F9F" w:rsidRPr="00871CA5">
              <w:rPr>
                <w:rFonts w:ascii="Times New Roman" w:hAnsi="Times New Roman" w:hint="eastAsia"/>
              </w:rPr>
              <w:t>端侧</w:t>
            </w:r>
            <w:r w:rsidR="00D615C7">
              <w:rPr>
                <w:rFonts w:ascii="Times New Roman" w:hAnsi="Times New Roman" w:hint="eastAsia"/>
              </w:rPr>
              <w:t>和边缘</w:t>
            </w:r>
            <w:r w:rsidR="00B65F9F" w:rsidRPr="00871CA5">
              <w:rPr>
                <w:rFonts w:ascii="Times New Roman" w:hAnsi="Times New Roman" w:hint="eastAsia"/>
              </w:rPr>
              <w:t>AI</w:t>
            </w:r>
            <w:r w:rsidR="00B65F9F" w:rsidRPr="00871CA5">
              <w:rPr>
                <w:rFonts w:ascii="Times New Roman" w:hAnsi="Times New Roman"/>
              </w:rPr>
              <w:t>芯片上落地难、功耗高、速度慢痛点，打造差异化软硬一体</w:t>
            </w:r>
            <w:r w:rsidR="00B65F9F" w:rsidRPr="00871CA5">
              <w:rPr>
                <w:rFonts w:ascii="Times New Roman" w:hAnsi="Times New Roman"/>
              </w:rPr>
              <w:t>AI</w:t>
            </w:r>
            <w:r w:rsidR="000E2D0C">
              <w:rPr>
                <w:rFonts w:ascii="Times New Roman" w:hAnsi="Times New Roman"/>
              </w:rPr>
              <w:t>应用解决</w:t>
            </w:r>
            <w:r w:rsidR="00B65F9F" w:rsidRPr="00871CA5">
              <w:rPr>
                <w:rFonts w:ascii="Times New Roman" w:hAnsi="Times New Roman"/>
              </w:rPr>
              <w:t>方案</w:t>
            </w:r>
            <w:r w:rsidR="00B65F9F" w:rsidRPr="00871CA5">
              <w:rPr>
                <w:rFonts w:ascii="Times New Roman" w:hAnsi="Times New Roman" w:hint="eastAsia"/>
              </w:rPr>
              <w:t>。</w:t>
            </w:r>
            <w:r w:rsidR="005A577A" w:rsidRPr="005A577A">
              <w:rPr>
                <w:rFonts w:ascii="Times New Roman" w:hAnsi="Times New Roman"/>
              </w:rPr>
              <w:t>随着端侧、边缘侧智能化需求持续普及以及具身智能产业发展，</w:t>
            </w:r>
            <w:r w:rsidR="00D615C7">
              <w:rPr>
                <w:rFonts w:ascii="Times New Roman" w:hAnsi="Times New Roman"/>
              </w:rPr>
              <w:t>类似于公司这种</w:t>
            </w:r>
            <w:r w:rsidR="005A577A" w:rsidRPr="005A577A">
              <w:rPr>
                <w:rFonts w:ascii="Times New Roman" w:hAnsi="Times New Roman"/>
              </w:rPr>
              <w:t>具备平台</w:t>
            </w:r>
            <w:r w:rsidR="000E2D0C">
              <w:rPr>
                <w:rFonts w:ascii="Times New Roman" w:hAnsi="Times New Roman"/>
              </w:rPr>
              <w:t>整合</w:t>
            </w:r>
            <w:r w:rsidR="005A577A" w:rsidRPr="005A577A">
              <w:rPr>
                <w:rFonts w:ascii="Times New Roman" w:hAnsi="Times New Roman"/>
              </w:rPr>
              <w:t>能力的</w:t>
            </w:r>
            <w:r w:rsidR="00D615C7">
              <w:rPr>
                <w:rFonts w:ascii="Times New Roman" w:hAnsi="Times New Roman" w:hint="eastAsia"/>
              </w:rPr>
              <w:t>企业</w:t>
            </w:r>
            <w:r w:rsidR="005A577A" w:rsidRPr="005A577A">
              <w:rPr>
                <w:rFonts w:ascii="Times New Roman" w:hAnsi="Times New Roman"/>
              </w:rPr>
              <w:t>，能够更快响应</w:t>
            </w:r>
            <w:r w:rsidR="00D615C7">
              <w:rPr>
                <w:rFonts w:ascii="Times New Roman" w:hAnsi="Times New Roman"/>
              </w:rPr>
              <w:t>市场和技术发展趋势</w:t>
            </w:r>
            <w:r w:rsidR="00D615C7">
              <w:rPr>
                <w:rFonts w:ascii="Times New Roman" w:hAnsi="Times New Roman" w:hint="eastAsia"/>
              </w:rPr>
              <w:t>、</w:t>
            </w:r>
            <w:r w:rsidR="005A577A" w:rsidRPr="005A577A">
              <w:rPr>
                <w:rFonts w:ascii="Times New Roman" w:hAnsi="Times New Roman"/>
              </w:rPr>
              <w:t>客户</w:t>
            </w:r>
            <w:r w:rsidR="00D615C7">
              <w:rPr>
                <w:rFonts w:ascii="Times New Roman" w:hAnsi="Times New Roman"/>
              </w:rPr>
              <w:t>需求</w:t>
            </w:r>
            <w:r w:rsidR="00D615C7">
              <w:rPr>
                <w:rFonts w:ascii="Times New Roman" w:hAnsi="Times New Roman" w:hint="eastAsia"/>
              </w:rPr>
              <w:t>，</w:t>
            </w:r>
            <w:r w:rsidR="00D615C7">
              <w:rPr>
                <w:rFonts w:ascii="Times New Roman" w:hAnsi="Times New Roman"/>
              </w:rPr>
              <w:t>推出</w:t>
            </w:r>
            <w:r w:rsidR="005A577A" w:rsidRPr="005A577A">
              <w:rPr>
                <w:rFonts w:ascii="Times New Roman" w:hAnsi="Times New Roman"/>
              </w:rPr>
              <w:t>高集成度、</w:t>
            </w:r>
            <w:r w:rsidR="00D615C7">
              <w:rPr>
                <w:rFonts w:ascii="Times New Roman" w:hAnsi="Times New Roman"/>
              </w:rPr>
              <w:t>高性能</w:t>
            </w:r>
            <w:r w:rsidR="00D615C7">
              <w:rPr>
                <w:rFonts w:ascii="Times New Roman" w:hAnsi="Times New Roman" w:hint="eastAsia"/>
              </w:rPr>
              <w:t>、</w:t>
            </w:r>
            <w:r w:rsidR="005A577A" w:rsidRPr="005A577A">
              <w:rPr>
                <w:rFonts w:ascii="Times New Roman" w:hAnsi="Times New Roman"/>
              </w:rPr>
              <w:t>低功耗的</w:t>
            </w:r>
            <w:r w:rsidR="000E2D0C">
              <w:rPr>
                <w:rFonts w:ascii="Times New Roman" w:hAnsi="Times New Roman"/>
              </w:rPr>
              <w:t>芯片</w:t>
            </w:r>
            <w:r w:rsidR="005A577A" w:rsidRPr="005A577A">
              <w:rPr>
                <w:rFonts w:ascii="Times New Roman" w:hAnsi="Times New Roman"/>
              </w:rPr>
              <w:t>产品及解决方案。</w:t>
            </w:r>
            <w:r w:rsidR="003C1348">
              <w:rPr>
                <w:rFonts w:ascii="Times New Roman" w:hAnsi="Times New Roman"/>
              </w:rPr>
              <w:t>客户方面</w:t>
            </w:r>
            <w:r w:rsidR="003C1348">
              <w:rPr>
                <w:rFonts w:ascii="Times New Roman" w:hAnsi="Times New Roman" w:hint="eastAsia"/>
              </w:rPr>
              <w:t>，公司在相关市场积累了丰富的客户基础，有利于后续产品在客户内的拓展</w:t>
            </w:r>
            <w:r w:rsidR="000B102D">
              <w:rPr>
                <w:rFonts w:ascii="Times New Roman" w:hAnsi="Times New Roman" w:hint="eastAsia"/>
              </w:rPr>
              <w:t>应用</w:t>
            </w:r>
            <w:r w:rsidR="003C1348">
              <w:rPr>
                <w:rFonts w:ascii="Times New Roman" w:hAnsi="Times New Roman" w:hint="eastAsia"/>
              </w:rPr>
              <w:t>及多客户推广。</w:t>
            </w:r>
          </w:p>
          <w:p w14:paraId="095E0F3E" w14:textId="0C47F642" w:rsidR="00394EB5" w:rsidRDefault="00394EB5" w:rsidP="00394EB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324C08">
              <w:rPr>
                <w:rFonts w:ascii="Times New Roman" w:hAnsi="Times New Roman" w:hint="eastAsia"/>
                <w:b/>
                <w:bCs/>
              </w:rPr>
              <w:t>Q</w:t>
            </w:r>
            <w:r w:rsidRPr="00324C08">
              <w:rPr>
                <w:rFonts w:ascii="Times New Roman" w:hAnsi="Times New Roman" w:hint="eastAsia"/>
                <w:b/>
                <w:bCs/>
              </w:rPr>
              <w:t>：</w:t>
            </w:r>
            <w:r w:rsidR="0080789B" w:rsidRPr="00324C08">
              <w:rPr>
                <w:rFonts w:ascii="Times New Roman" w:hAnsi="Times New Roman"/>
                <w:b/>
                <w:bCs/>
              </w:rPr>
              <w:t>现在物联网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摄像机芯片产品系列下游的应用主要有哪些？去年的出货量有多少？今年出货量还会增长</w:t>
            </w:r>
            <w:r w:rsidR="000B102D">
              <w:rPr>
                <w:rFonts w:ascii="Times New Roman" w:hAnsi="Times New Roman" w:hint="eastAsia"/>
                <w:b/>
                <w:bCs/>
              </w:rPr>
              <w:t>、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价格也会继续增长吗？是合封存储还是外挂的？</w:t>
            </w:r>
          </w:p>
          <w:p w14:paraId="4410C73E" w14:textId="44BE7D5F" w:rsidR="003C1348" w:rsidRPr="00324C08" w:rsidRDefault="003C1348" w:rsidP="00394EB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 w:rsidRPr="00324C08">
              <w:rPr>
                <w:rFonts w:ascii="Times New Roman" w:hAnsi="Times New Roman" w:hint="eastAsia"/>
                <w:bCs/>
              </w:rPr>
              <w:t>A</w:t>
            </w:r>
            <w:r w:rsidRPr="00324C08">
              <w:rPr>
                <w:rFonts w:ascii="Times New Roman" w:hAnsi="Times New Roman" w:hint="eastAsia"/>
                <w:bCs/>
              </w:rPr>
              <w:t>：</w:t>
            </w:r>
            <w:r w:rsidR="00FF017C">
              <w:rPr>
                <w:rFonts w:ascii="Times New Roman" w:hAnsi="Times New Roman" w:hint="eastAsia"/>
                <w:bCs/>
              </w:rPr>
              <w:t>下游应用</w:t>
            </w:r>
            <w:r w:rsidRPr="00324C08">
              <w:rPr>
                <w:rFonts w:ascii="Times New Roman" w:hAnsi="Times New Roman" w:hint="eastAsia"/>
                <w:bCs/>
              </w:rPr>
              <w:t>比如家用摄像机、安防摄像机、智能眼镜、</w:t>
            </w:r>
            <w:r w:rsidR="00FF017C" w:rsidRPr="00324C08">
              <w:rPr>
                <w:rFonts w:ascii="Times New Roman" w:hAnsi="Times New Roman" w:hint="eastAsia"/>
                <w:bCs/>
              </w:rPr>
              <w:t>云台相机、</w:t>
            </w:r>
            <w:r w:rsidR="00FF017C" w:rsidRPr="00324C08">
              <w:rPr>
                <w:rFonts w:ascii="Times New Roman" w:hAnsi="Times New Roman" w:hint="eastAsia"/>
                <w:bCs/>
              </w:rPr>
              <w:t>AI</w:t>
            </w:r>
            <w:r w:rsidR="00FF017C" w:rsidRPr="00324C08">
              <w:rPr>
                <w:rFonts w:ascii="Times New Roman" w:hAnsi="Times New Roman" w:hint="eastAsia"/>
                <w:bCs/>
              </w:rPr>
              <w:t>相机、</w:t>
            </w:r>
            <w:r w:rsidR="00FF017C" w:rsidRPr="00324C08">
              <w:rPr>
                <w:rFonts w:ascii="Times New Roman" w:hAnsi="Times New Roman" w:hint="eastAsia"/>
                <w:bCs/>
              </w:rPr>
              <w:t>AI</w:t>
            </w:r>
            <w:r w:rsidR="00FF017C" w:rsidRPr="00324C08">
              <w:rPr>
                <w:rFonts w:ascii="Times New Roman" w:hAnsi="Times New Roman" w:hint="eastAsia"/>
                <w:bCs/>
              </w:rPr>
              <w:t>拍学机、运动相机、</w:t>
            </w:r>
            <w:r w:rsidR="00FF017C">
              <w:rPr>
                <w:rFonts w:ascii="Times New Roman" w:hAnsi="Times New Roman" w:hint="eastAsia"/>
                <w:bCs/>
              </w:rPr>
              <w:t>白电、</w:t>
            </w:r>
            <w:r w:rsidR="00FF017C" w:rsidRPr="00324C08">
              <w:rPr>
                <w:rFonts w:ascii="Times New Roman" w:hAnsi="Times New Roman" w:hint="eastAsia"/>
                <w:bCs/>
              </w:rPr>
              <w:t>机器视觉等等。去年该产品线累计出货超过</w:t>
            </w:r>
            <w:r w:rsidR="00FF017C" w:rsidRPr="00324C08">
              <w:rPr>
                <w:rFonts w:ascii="Times New Roman" w:hAnsi="Times New Roman" w:hint="eastAsia"/>
                <w:bCs/>
              </w:rPr>
              <w:t>6000</w:t>
            </w:r>
            <w:r w:rsidR="00FF017C" w:rsidRPr="00324C08">
              <w:rPr>
                <w:rFonts w:ascii="Times New Roman" w:hAnsi="Times New Roman" w:hint="eastAsia"/>
                <w:bCs/>
              </w:rPr>
              <w:t>万颗，预计随着新产品的量产导入，今年该产品线也会保持一定增长，且受益于市场景气度的提升和高阶产品的占比提升，平均单价会有</w:t>
            </w:r>
            <w:r w:rsidR="00FF017C">
              <w:rPr>
                <w:rFonts w:ascii="Times New Roman" w:hAnsi="Times New Roman" w:hint="eastAsia"/>
                <w:bCs/>
              </w:rPr>
              <w:t>所</w:t>
            </w:r>
            <w:r w:rsidR="00FF017C" w:rsidRPr="00324C08">
              <w:rPr>
                <w:rFonts w:ascii="Times New Roman" w:hAnsi="Times New Roman" w:hint="eastAsia"/>
                <w:bCs/>
              </w:rPr>
              <w:t>提升。目前公司大部分该类芯片有合封存储颗粒。</w:t>
            </w:r>
          </w:p>
          <w:p w14:paraId="787B7E55" w14:textId="18C3974E" w:rsidR="00394EB5" w:rsidRPr="00324C08" w:rsidRDefault="00394EB5" w:rsidP="00394EB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324C08">
              <w:rPr>
                <w:rFonts w:ascii="Times New Roman" w:hAnsi="Times New Roman" w:hint="eastAsia"/>
                <w:b/>
                <w:bCs/>
              </w:rPr>
              <w:t>Q</w:t>
            </w:r>
            <w:r w:rsidRPr="00324C08">
              <w:rPr>
                <w:rFonts w:ascii="Times New Roman" w:hAnsi="Times New Roman" w:hint="eastAsia"/>
                <w:b/>
                <w:bCs/>
              </w:rPr>
              <w:t>：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智能锁业务的</w:t>
            </w:r>
            <w:r w:rsidR="003C1348" w:rsidRPr="00324C08">
              <w:rPr>
                <w:rFonts w:ascii="Times New Roman" w:hAnsi="Times New Roman" w:hint="eastAsia"/>
                <w:b/>
                <w:bCs/>
              </w:rPr>
              <w:t>拓展情况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3AC9A1D4" w14:textId="63AB7768" w:rsidR="003C1348" w:rsidRPr="000B102D" w:rsidRDefault="003C1348" w:rsidP="00394EB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 w:rsidRPr="000B102D">
              <w:rPr>
                <w:rFonts w:ascii="Times New Roman" w:hAnsi="Times New Roman" w:hint="eastAsia"/>
                <w:bCs/>
              </w:rPr>
              <w:t>A</w:t>
            </w:r>
            <w:r w:rsidRPr="000B102D">
              <w:rPr>
                <w:rFonts w:ascii="Times New Roman" w:hAnsi="Times New Roman" w:hint="eastAsia"/>
                <w:bCs/>
              </w:rPr>
              <w:t>：经过过去两年的产品开发和业务拓展，预计今年智能锁相关芯片出货会有大幅增长。</w:t>
            </w:r>
          </w:p>
          <w:p w14:paraId="34AA87A7" w14:textId="16D154AE" w:rsidR="00394EB5" w:rsidRDefault="00394EB5" w:rsidP="00394EB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324C08">
              <w:rPr>
                <w:rFonts w:ascii="Times New Roman" w:hAnsi="Times New Roman" w:hint="eastAsia"/>
                <w:b/>
                <w:bCs/>
              </w:rPr>
              <w:t>Q</w:t>
            </w:r>
            <w:r w:rsidRPr="00324C08">
              <w:rPr>
                <w:rFonts w:ascii="Times New Roman" w:hAnsi="Times New Roman" w:hint="eastAsia"/>
                <w:b/>
                <w:bCs/>
              </w:rPr>
              <w:t>：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AI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眼镜</w:t>
            </w:r>
            <w:r w:rsidR="00490BD0" w:rsidRPr="00324C08">
              <w:rPr>
                <w:rFonts w:ascii="Times New Roman" w:hAnsi="Times New Roman" w:hint="eastAsia"/>
                <w:b/>
                <w:bCs/>
              </w:rPr>
              <w:t>是提供</w:t>
            </w:r>
            <w:r w:rsidR="0080789B" w:rsidRPr="00324C08">
              <w:rPr>
                <w:rFonts w:ascii="Times New Roman" w:hAnsi="Times New Roman" w:hint="eastAsia"/>
                <w:b/>
                <w:bCs/>
              </w:rPr>
              <w:t>那颗芯片？</w:t>
            </w:r>
          </w:p>
          <w:p w14:paraId="1A8675B8" w14:textId="3FBEF23B" w:rsidR="00394EB5" w:rsidRPr="00EB6385" w:rsidRDefault="003C1348" w:rsidP="00FF017C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 w:rsidRPr="00324C08">
              <w:rPr>
                <w:rFonts w:ascii="Times New Roman" w:hAnsi="Times New Roman" w:hint="eastAsia"/>
                <w:bCs/>
              </w:rPr>
              <w:t>A</w:t>
            </w:r>
            <w:r w:rsidRPr="00324C08">
              <w:rPr>
                <w:rFonts w:ascii="Times New Roman" w:hAnsi="Times New Roman" w:hint="eastAsia"/>
                <w:bCs/>
              </w:rPr>
              <w:t>：公司针对</w:t>
            </w:r>
            <w:r w:rsidRPr="00324C08">
              <w:rPr>
                <w:rFonts w:ascii="Times New Roman" w:hAnsi="Times New Roman" w:hint="eastAsia"/>
                <w:bCs/>
              </w:rPr>
              <w:t>AI</w:t>
            </w:r>
            <w:r w:rsidRPr="00324C08">
              <w:rPr>
                <w:rFonts w:ascii="Times New Roman" w:hAnsi="Times New Roman" w:hint="eastAsia"/>
                <w:bCs/>
              </w:rPr>
              <w:t>眼镜</w:t>
            </w:r>
            <w:r>
              <w:rPr>
                <w:rFonts w:ascii="Times New Roman" w:hAnsi="Times New Roman" w:hint="eastAsia"/>
                <w:bCs/>
              </w:rPr>
              <w:t>有完整</w:t>
            </w:r>
            <w:r w:rsidRPr="00324C08">
              <w:rPr>
                <w:rFonts w:ascii="Times New Roman" w:hAnsi="Times New Roman" w:hint="eastAsia"/>
                <w:bCs/>
              </w:rPr>
              <w:t>的</w:t>
            </w:r>
            <w:r>
              <w:rPr>
                <w:rFonts w:ascii="Times New Roman" w:hAnsi="Times New Roman" w:hint="eastAsia"/>
                <w:bCs/>
              </w:rPr>
              <w:t>芯片</w:t>
            </w:r>
            <w:r w:rsidRPr="00324C08">
              <w:rPr>
                <w:rFonts w:ascii="Times New Roman" w:hAnsi="Times New Roman" w:hint="eastAsia"/>
                <w:bCs/>
              </w:rPr>
              <w:t>产品布局和规划，目前有多颗芯片可以应用于这类产品，比如具有智能视觉处理能力的</w:t>
            </w:r>
            <w:r w:rsidRPr="00324C08">
              <w:rPr>
                <w:rFonts w:ascii="Times New Roman" w:hAnsi="Times New Roman" w:hint="eastAsia"/>
                <w:bCs/>
              </w:rPr>
              <w:t>KM</w:t>
            </w:r>
            <w:r w:rsidRPr="00324C08">
              <w:rPr>
                <w:rFonts w:ascii="Times New Roman" w:hAnsi="Times New Roman" w:hint="eastAsia"/>
                <w:bCs/>
              </w:rPr>
              <w:t>系列，低功耗蓝牙</w:t>
            </w:r>
            <w:r w:rsidRPr="00324C08">
              <w:rPr>
                <w:rFonts w:ascii="Times New Roman" w:hAnsi="Times New Roman" w:hint="eastAsia"/>
                <w:bCs/>
              </w:rPr>
              <w:t xml:space="preserve">SOC </w:t>
            </w:r>
            <w:r w:rsidRPr="00324C08">
              <w:rPr>
                <w:rFonts w:ascii="Times New Roman" w:hAnsi="Times New Roman" w:hint="eastAsia"/>
                <w:bCs/>
              </w:rPr>
              <w:lastRenderedPageBreak/>
              <w:t>AK1080</w:t>
            </w:r>
            <w:r w:rsidRPr="00324C08">
              <w:rPr>
                <w:rFonts w:ascii="Times New Roman" w:hAnsi="Times New Roman" w:hint="eastAsia"/>
                <w:bCs/>
              </w:rPr>
              <w:t>、</w:t>
            </w:r>
            <w:r w:rsidRPr="00324C08">
              <w:rPr>
                <w:rFonts w:ascii="Times New Roman" w:hAnsi="Times New Roman" w:hint="eastAsia"/>
                <w:bCs/>
              </w:rPr>
              <w:t>AK1090</w:t>
            </w:r>
            <w:r w:rsidRPr="00324C08">
              <w:rPr>
                <w:rFonts w:ascii="Times New Roman" w:hAnsi="Times New Roman" w:hint="eastAsia"/>
                <w:bCs/>
              </w:rPr>
              <w:t>，思澈科技</w:t>
            </w:r>
            <w:r w:rsidRPr="00324C08">
              <w:rPr>
                <w:rFonts w:ascii="Times New Roman" w:hAnsi="Times New Roman" w:hint="eastAsia"/>
                <w:bCs/>
              </w:rPr>
              <w:t>SF</w:t>
            </w:r>
            <w:r w:rsidRPr="00324C08">
              <w:rPr>
                <w:rFonts w:ascii="Times New Roman" w:hAnsi="Times New Roman" w:hint="eastAsia"/>
                <w:bCs/>
              </w:rPr>
              <w:t>系列等。</w:t>
            </w:r>
          </w:p>
        </w:tc>
      </w:tr>
      <w:tr w:rsidR="00EC24C1" w:rsidRPr="00871CA5" w14:paraId="51B1447F" w14:textId="77777777">
        <w:trPr>
          <w:trHeight w:val="1584"/>
          <w:jc w:val="center"/>
        </w:trPr>
        <w:tc>
          <w:tcPr>
            <w:tcW w:w="1865" w:type="dxa"/>
          </w:tcPr>
          <w:p w14:paraId="5813EF4F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7000" w:type="dxa"/>
          </w:tcPr>
          <w:p w14:paraId="0FD0A0B0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EC24C1" w:rsidRPr="00871CA5" w14:paraId="27237AE7" w14:textId="77777777">
        <w:trPr>
          <w:jc w:val="center"/>
        </w:trPr>
        <w:tc>
          <w:tcPr>
            <w:tcW w:w="1865" w:type="dxa"/>
          </w:tcPr>
          <w:p w14:paraId="189D9DB2" w14:textId="77777777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7000" w:type="dxa"/>
          </w:tcPr>
          <w:p w14:paraId="71B77C2B" w14:textId="74675D2C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2</w:t>
            </w:r>
            <w:r w:rsidRPr="00871CA5">
              <w:rPr>
                <w:rFonts w:ascii="Times New Roman" w:hAnsi="Times New Roman"/>
              </w:rPr>
              <w:t>02</w:t>
            </w:r>
            <w:r w:rsidRPr="00871CA5">
              <w:rPr>
                <w:rFonts w:ascii="Times New Roman" w:hAnsi="Times New Roman" w:hint="eastAsia"/>
              </w:rPr>
              <w:t>6</w:t>
            </w:r>
            <w:r w:rsidRPr="00871CA5">
              <w:rPr>
                <w:rFonts w:ascii="Times New Roman" w:hAnsi="Times New Roman"/>
              </w:rPr>
              <w:t>年</w:t>
            </w:r>
            <w:r w:rsidRPr="00871CA5">
              <w:rPr>
                <w:rFonts w:ascii="Times New Roman" w:hAnsi="Times New Roman" w:hint="eastAsia"/>
              </w:rPr>
              <w:t>7</w:t>
            </w:r>
            <w:r w:rsidRPr="00871CA5">
              <w:rPr>
                <w:rFonts w:ascii="Times New Roman" w:hAnsi="Times New Roman"/>
              </w:rPr>
              <w:t>月</w:t>
            </w:r>
            <w:r w:rsidR="00EB6385">
              <w:rPr>
                <w:rFonts w:ascii="Times New Roman" w:hAnsi="Times New Roman" w:hint="eastAsia"/>
              </w:rPr>
              <w:t>1</w:t>
            </w:r>
            <w:r w:rsidR="00134645">
              <w:rPr>
                <w:rFonts w:ascii="Times New Roman" w:hAnsi="Times New Roman" w:hint="eastAsia"/>
              </w:rPr>
              <w:t>7</w:t>
            </w:r>
            <w:r w:rsidRPr="00871CA5">
              <w:rPr>
                <w:rFonts w:ascii="Times New Roman" w:hAnsi="Times New Roman" w:hint="eastAsia"/>
              </w:rPr>
              <w:t>日</w:t>
            </w:r>
          </w:p>
        </w:tc>
      </w:tr>
      <w:tr w:rsidR="00EC24C1" w:rsidRPr="00871CA5" w14:paraId="7749FCCE" w14:textId="77777777">
        <w:trPr>
          <w:trHeight w:val="416"/>
          <w:jc w:val="center"/>
        </w:trPr>
        <w:tc>
          <w:tcPr>
            <w:tcW w:w="8865" w:type="dxa"/>
            <w:gridSpan w:val="2"/>
          </w:tcPr>
          <w:p w14:paraId="172EBE5F" w14:textId="7029107A" w:rsidR="00EC24C1" w:rsidRPr="00871CA5" w:rsidRDefault="00CD54C2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71CA5">
              <w:rPr>
                <w:rFonts w:ascii="Times New Roman" w:hAnsi="Times New Roman" w:hint="eastAsia"/>
              </w:rPr>
              <w:t>会议记录人：葛淳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填表人：</w:t>
            </w:r>
            <w:r w:rsidRPr="00871CA5">
              <w:rPr>
                <w:rFonts w:ascii="Times New Roman" w:hAnsi="Times New Roman" w:hint="eastAsia"/>
              </w:rPr>
              <w:t>葛淳</w:t>
            </w:r>
            <w:r w:rsidRPr="00871CA5">
              <w:rPr>
                <w:rFonts w:ascii="Times New Roman" w:hAnsi="Times New Roman" w:hint="eastAsia"/>
              </w:rPr>
              <w:t xml:space="preserve"> </w:t>
            </w:r>
            <w:r w:rsidRPr="00871CA5">
              <w:rPr>
                <w:rFonts w:ascii="Times New Roman" w:hAnsi="Times New Roman"/>
              </w:rPr>
              <w:t xml:space="preserve"> </w:t>
            </w:r>
            <w:r w:rsidRPr="00871CA5">
              <w:rPr>
                <w:rFonts w:ascii="Times New Roman" w:hAnsi="Times New Roman"/>
              </w:rPr>
              <w:t>填表日期：</w:t>
            </w:r>
            <w:r w:rsidRPr="00871CA5">
              <w:rPr>
                <w:rFonts w:ascii="Times New Roman" w:hAnsi="Times New Roman" w:hint="eastAsia"/>
              </w:rPr>
              <w:t>2</w:t>
            </w:r>
            <w:r w:rsidRPr="00871CA5">
              <w:rPr>
                <w:rFonts w:ascii="Times New Roman" w:hAnsi="Times New Roman"/>
              </w:rPr>
              <w:t>02</w:t>
            </w:r>
            <w:r w:rsidRPr="00871CA5">
              <w:rPr>
                <w:rFonts w:ascii="Times New Roman" w:hAnsi="Times New Roman" w:hint="eastAsia"/>
              </w:rPr>
              <w:t>6</w:t>
            </w:r>
            <w:r w:rsidRPr="00871CA5">
              <w:rPr>
                <w:rFonts w:ascii="Times New Roman" w:hAnsi="Times New Roman"/>
              </w:rPr>
              <w:t>-</w:t>
            </w:r>
            <w:r w:rsidRPr="00871CA5">
              <w:rPr>
                <w:rFonts w:ascii="Times New Roman" w:hAnsi="Times New Roman" w:hint="eastAsia"/>
              </w:rPr>
              <w:t>07-</w:t>
            </w:r>
            <w:r w:rsidR="00EB6385">
              <w:rPr>
                <w:rFonts w:ascii="Times New Roman" w:hAnsi="Times New Roman" w:hint="eastAsia"/>
              </w:rPr>
              <w:t>1</w:t>
            </w:r>
            <w:r w:rsidR="00134645">
              <w:rPr>
                <w:rFonts w:ascii="Times New Roman" w:hAnsi="Times New Roman" w:hint="eastAsia"/>
              </w:rPr>
              <w:t>7</w:t>
            </w:r>
          </w:p>
        </w:tc>
      </w:tr>
    </w:tbl>
    <w:p w14:paraId="6C7450D0" w14:textId="77777777" w:rsidR="00EC24C1" w:rsidRPr="00871CA5" w:rsidRDefault="00EC24C1">
      <w:pPr>
        <w:spacing w:beforeLines="50" w:before="156" w:afterLines="50" w:after="156"/>
        <w:rPr>
          <w:rFonts w:ascii="Times New Roman" w:hAnsi="Times New Roman"/>
        </w:rPr>
      </w:pPr>
    </w:p>
    <w:sectPr w:rsidR="00EC24C1" w:rsidRPr="00871CA5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DF2A" w14:textId="77777777" w:rsidR="00EA2E2C" w:rsidRDefault="00EA2E2C" w:rsidP="00047D77">
      <w:pPr>
        <w:spacing w:after="0" w:line="240" w:lineRule="auto"/>
      </w:pPr>
      <w:r>
        <w:separator/>
      </w:r>
    </w:p>
  </w:endnote>
  <w:endnote w:type="continuationSeparator" w:id="0">
    <w:p w14:paraId="59CDB763" w14:textId="77777777" w:rsidR="00EA2E2C" w:rsidRDefault="00EA2E2C" w:rsidP="000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AC88" w14:textId="77777777" w:rsidR="00EA2E2C" w:rsidRDefault="00EA2E2C" w:rsidP="00047D77">
      <w:pPr>
        <w:spacing w:after="0" w:line="240" w:lineRule="auto"/>
      </w:pPr>
      <w:r>
        <w:separator/>
      </w:r>
    </w:p>
  </w:footnote>
  <w:footnote w:type="continuationSeparator" w:id="0">
    <w:p w14:paraId="139154BA" w14:textId="77777777" w:rsidR="00EA2E2C" w:rsidRDefault="00EA2E2C" w:rsidP="0004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2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59C2CB2"/>
    <w:multiLevelType w:val="hybridMultilevel"/>
    <w:tmpl w:val="B3985948"/>
    <w:lvl w:ilvl="0" w:tplc="E1C620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6215075">
    <w:abstractNumId w:val="0"/>
  </w:num>
  <w:num w:numId="2" w16cid:durableId="1717386251">
    <w:abstractNumId w:val="1"/>
  </w:num>
  <w:num w:numId="3" w16cid:durableId="169425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C1"/>
    <w:rsid w:val="0003674A"/>
    <w:rsid w:val="00047D77"/>
    <w:rsid w:val="0008006C"/>
    <w:rsid w:val="00090C70"/>
    <w:rsid w:val="000B047B"/>
    <w:rsid w:val="000B102D"/>
    <w:rsid w:val="000D03E2"/>
    <w:rsid w:val="000E2D0C"/>
    <w:rsid w:val="001055AE"/>
    <w:rsid w:val="00125E3C"/>
    <w:rsid w:val="0012789A"/>
    <w:rsid w:val="00130432"/>
    <w:rsid w:val="00134645"/>
    <w:rsid w:val="00134885"/>
    <w:rsid w:val="001A7F4D"/>
    <w:rsid w:val="001B0849"/>
    <w:rsid w:val="001D4D19"/>
    <w:rsid w:val="001F6257"/>
    <w:rsid w:val="00201CA5"/>
    <w:rsid w:val="00234D3C"/>
    <w:rsid w:val="00240918"/>
    <w:rsid w:val="0025106D"/>
    <w:rsid w:val="00273C3F"/>
    <w:rsid w:val="0027525C"/>
    <w:rsid w:val="002812D0"/>
    <w:rsid w:val="002868FD"/>
    <w:rsid w:val="002A3579"/>
    <w:rsid w:val="002B28AE"/>
    <w:rsid w:val="002C69C4"/>
    <w:rsid w:val="002E5591"/>
    <w:rsid w:val="00324C08"/>
    <w:rsid w:val="00332A16"/>
    <w:rsid w:val="00364F60"/>
    <w:rsid w:val="003653F6"/>
    <w:rsid w:val="00394EB5"/>
    <w:rsid w:val="003C1348"/>
    <w:rsid w:val="003E658B"/>
    <w:rsid w:val="003F3246"/>
    <w:rsid w:val="003F6E7D"/>
    <w:rsid w:val="00403E88"/>
    <w:rsid w:val="00445A2A"/>
    <w:rsid w:val="00462417"/>
    <w:rsid w:val="00462D5D"/>
    <w:rsid w:val="0047163C"/>
    <w:rsid w:val="0047260E"/>
    <w:rsid w:val="00473C2A"/>
    <w:rsid w:val="00490BD0"/>
    <w:rsid w:val="0049714B"/>
    <w:rsid w:val="004A23D6"/>
    <w:rsid w:val="004C4F83"/>
    <w:rsid w:val="004D6E64"/>
    <w:rsid w:val="00516DD1"/>
    <w:rsid w:val="00583DA0"/>
    <w:rsid w:val="00592242"/>
    <w:rsid w:val="005A577A"/>
    <w:rsid w:val="005E105E"/>
    <w:rsid w:val="005F08C1"/>
    <w:rsid w:val="005F3204"/>
    <w:rsid w:val="006A5882"/>
    <w:rsid w:val="006C7D58"/>
    <w:rsid w:val="006F1A55"/>
    <w:rsid w:val="00702296"/>
    <w:rsid w:val="007306B9"/>
    <w:rsid w:val="0074143B"/>
    <w:rsid w:val="007515BD"/>
    <w:rsid w:val="00770A96"/>
    <w:rsid w:val="0077592F"/>
    <w:rsid w:val="0078274E"/>
    <w:rsid w:val="007871F5"/>
    <w:rsid w:val="007A1D30"/>
    <w:rsid w:val="007A3D28"/>
    <w:rsid w:val="007B752D"/>
    <w:rsid w:val="007C5961"/>
    <w:rsid w:val="007C7A4F"/>
    <w:rsid w:val="007E0D27"/>
    <w:rsid w:val="0080789B"/>
    <w:rsid w:val="008502F8"/>
    <w:rsid w:val="00850764"/>
    <w:rsid w:val="00871CA5"/>
    <w:rsid w:val="008878F6"/>
    <w:rsid w:val="008948AA"/>
    <w:rsid w:val="008A6EEF"/>
    <w:rsid w:val="008B1611"/>
    <w:rsid w:val="00903D32"/>
    <w:rsid w:val="00934EE9"/>
    <w:rsid w:val="009369EE"/>
    <w:rsid w:val="00953CD5"/>
    <w:rsid w:val="00953F6E"/>
    <w:rsid w:val="00966D86"/>
    <w:rsid w:val="00992016"/>
    <w:rsid w:val="009B20AB"/>
    <w:rsid w:val="009D1F42"/>
    <w:rsid w:val="009E68C3"/>
    <w:rsid w:val="00A0156E"/>
    <w:rsid w:val="00A24466"/>
    <w:rsid w:val="00A26F90"/>
    <w:rsid w:val="00A567F2"/>
    <w:rsid w:val="00AA0E53"/>
    <w:rsid w:val="00AC760D"/>
    <w:rsid w:val="00B379ED"/>
    <w:rsid w:val="00B65F9F"/>
    <w:rsid w:val="00B72F47"/>
    <w:rsid w:val="00BC43EC"/>
    <w:rsid w:val="00BE7964"/>
    <w:rsid w:val="00C12B19"/>
    <w:rsid w:val="00C66B81"/>
    <w:rsid w:val="00C7589F"/>
    <w:rsid w:val="00CB7187"/>
    <w:rsid w:val="00CD34C6"/>
    <w:rsid w:val="00CD54C2"/>
    <w:rsid w:val="00CD667E"/>
    <w:rsid w:val="00CE567F"/>
    <w:rsid w:val="00D57E6E"/>
    <w:rsid w:val="00D615C7"/>
    <w:rsid w:val="00D7049A"/>
    <w:rsid w:val="00D77879"/>
    <w:rsid w:val="00DE50BF"/>
    <w:rsid w:val="00DF0F63"/>
    <w:rsid w:val="00DF7B87"/>
    <w:rsid w:val="00E03F34"/>
    <w:rsid w:val="00E05F1D"/>
    <w:rsid w:val="00E12040"/>
    <w:rsid w:val="00E460A6"/>
    <w:rsid w:val="00E528DE"/>
    <w:rsid w:val="00E80C57"/>
    <w:rsid w:val="00E91AC1"/>
    <w:rsid w:val="00EA15B3"/>
    <w:rsid w:val="00EA2E2C"/>
    <w:rsid w:val="00EB6385"/>
    <w:rsid w:val="00EC24C1"/>
    <w:rsid w:val="00EC3B5C"/>
    <w:rsid w:val="00ED6741"/>
    <w:rsid w:val="00EE6E18"/>
    <w:rsid w:val="00F229BF"/>
    <w:rsid w:val="00FC30A5"/>
    <w:rsid w:val="00FD4870"/>
    <w:rsid w:val="00FE07EC"/>
    <w:rsid w:val="00FF017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3E8B6"/>
  <w15:docId w15:val="{ACA1FD8E-6C4F-4E96-B837-96CCECB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styleId="af2">
    <w:name w:val="Strong"/>
    <w:basedOn w:val="a0"/>
    <w:uiPriority w:val="22"/>
    <w:qFormat/>
    <w:rsid w:val="00516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numbering" Target="numbering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ettings" Target="settings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tyles" Target="style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
</file>

<file path=customXml/item15.xml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50E1694-6046-456B-91CF-79A6CAD500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2.xml><?xml version="1.0" encoding="utf-8"?>
<ds:datastoreItem xmlns:ds="http://schemas.openxmlformats.org/officeDocument/2006/customXml" ds:itemID="{2A23A2EA-B1F1-4568-8F8C-062A25272258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180407D6-2717-4F6F-A438-9810FA01A7E4}"/>
</file>

<file path=customXml/itemProps15.xml><?xml version="1.0" encoding="utf-8"?>
<ds:datastoreItem xmlns:ds="http://schemas.openxmlformats.org/officeDocument/2006/customXml" ds:itemID="{28CE6BC7-D0AC-494D-9D50-82F599120EE6}"/>
</file>

<file path=customXml/itemProps16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E95C7503-898B-4154-8C0C-415A577A2871}"/>
</file>

<file path=customXml/itemProps2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CC17553D-1EEA-499F-896C-82043664312F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D27D47D0-F4FF-44F2-ADF2-F34F7E9A8885}"/>
</file>

<file path=customXml/itemProps9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255</Words>
  <Characters>1458</Characters>
  <Application>Microsoft Office Word</Application>
  <DocSecurity>0</DocSecurity>
  <Lines>12</Lines>
  <Paragraphs>3</Paragraphs>
  <ScaleCrop>false</ScaleCrop>
  <Company>微软用户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11</cp:revision>
  <cp:lastPrinted>2024-12-20T06:21:00Z</cp:lastPrinted>
  <dcterms:created xsi:type="dcterms:W3CDTF">2026-07-20T02:03:00Z</dcterms:created>
  <dcterms:modified xsi:type="dcterms:W3CDTF">2026-07-20T07:18:00Z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1f03cbe4f9ec4650b008516e1d0cb765_23</vt:lpwstr>
  </property>
</Properties>
</file>