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6F10" w14:textId="77777777" w:rsidR="008226C5" w:rsidRDefault="00000000">
      <w:pPr>
        <w:spacing w:beforeLines="50" w:before="120" w:afterLines="50" w:after="120" w:line="360" w:lineRule="auto"/>
        <w:jc w:val="both"/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</w:t>
      </w:r>
      <w:r>
        <w:rPr>
          <w:rFonts w:ascii="宋体" w:eastAsia="宋体" w:hAnsi="宋体" w:cs="宋体"/>
          <w:sz w:val="24"/>
        </w:rPr>
        <w:t>607                                   证券简称：</w:t>
      </w:r>
      <w:r>
        <w:rPr>
          <w:rFonts w:ascii="宋体" w:eastAsia="宋体" w:hAnsi="宋体" w:cs="宋体" w:hint="eastAsia"/>
          <w:sz w:val="24"/>
        </w:rPr>
        <w:t>康众医疗</w:t>
      </w:r>
    </w:p>
    <w:p w14:paraId="4AA37E6C" w14:textId="77777777" w:rsidR="008226C5" w:rsidRDefault="00000000">
      <w:pPr>
        <w:spacing w:beforeLines="50" w:before="120" w:afterLines="50" w:after="120" w:line="360" w:lineRule="auto"/>
        <w:jc w:val="center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江苏康众数字医疗</w:t>
      </w:r>
      <w:r>
        <w:rPr>
          <w:rFonts w:ascii="宋体" w:eastAsia="宋体" w:hAnsi="宋体" w:cs="宋体"/>
          <w:b/>
          <w:sz w:val="28"/>
          <w:szCs w:val="28"/>
        </w:rPr>
        <w:t>科技股份有限公司投资者关系活动记录表</w:t>
      </w:r>
    </w:p>
    <w:p w14:paraId="7D35C541" w14:textId="66D738A1" w:rsidR="008226C5" w:rsidRDefault="00000000">
      <w:pPr>
        <w:spacing w:after="0" w:line="240" w:lineRule="auto"/>
        <w:ind w:right="120"/>
        <w:jc w:val="right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编号：</w:t>
      </w:r>
      <w:r>
        <w:rPr>
          <w:rFonts w:ascii="宋体" w:eastAsia="宋体" w:hAnsi="宋体" w:cs="宋体" w:hint="eastAsia"/>
          <w:sz w:val="24"/>
          <w:szCs w:val="24"/>
        </w:rPr>
        <w:t>2026-00</w:t>
      </w:r>
      <w:r w:rsidR="00302505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Style w:val="TableGrid"/>
        <w:tblW w:w="5016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3611"/>
        <w:gridCol w:w="4695"/>
      </w:tblGrid>
      <w:tr w:rsidR="008226C5" w14:paraId="2E21CCF2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12DD4E85" w14:textId="77777777" w:rsidR="008226C5" w:rsidRDefault="0000000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2825" w:type="pct"/>
            <w:vAlign w:val="center"/>
          </w:tcPr>
          <w:p w14:paraId="4F19FA30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特定对象调研        □分析师会议 </w:t>
            </w:r>
          </w:p>
          <w:p w14:paraId="329FF448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□媒体采访            □业绩说明会 </w:t>
            </w:r>
          </w:p>
          <w:p w14:paraId="3D6B36C3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□新闻发布会          □路演活动 </w:t>
            </w:r>
          </w:p>
          <w:p w14:paraId="5520B10D" w14:textId="6B51D85E" w:rsidR="008226C5" w:rsidRDefault="0030250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□现场参观            □一对一沟通 </w:t>
            </w:r>
          </w:p>
          <w:p w14:paraId="6235343C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□其他  </w:t>
            </w:r>
          </w:p>
        </w:tc>
      </w:tr>
      <w:tr w:rsidR="008226C5" w14:paraId="5CA29C9F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61C03003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参与单位</w:t>
            </w:r>
          </w:p>
        </w:tc>
        <w:tc>
          <w:tcPr>
            <w:tcW w:w="2825" w:type="pct"/>
            <w:vAlign w:val="center"/>
          </w:tcPr>
          <w:p w14:paraId="24FEC399" w14:textId="62B49C38" w:rsidR="008226C5" w:rsidRDefault="00A227B6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 w:rsidRPr="00A227B6">
              <w:rPr>
                <w:rFonts w:eastAsia="宋体" w:hint="eastAsia"/>
                <w:sz w:val="24"/>
                <w:szCs w:val="24"/>
              </w:rPr>
              <w:t>华福证券、国金证券、开源证券、中信建投证券、国联民生证券、天风证券、财通资管、上银基金、招商基金、泰信基金、财通基金、六禾投资、平安基金、上海兆顺投资等</w:t>
            </w:r>
          </w:p>
        </w:tc>
      </w:tr>
      <w:tr w:rsidR="008226C5" w14:paraId="04FB2ED9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655F6A02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25" w:type="pct"/>
            <w:vAlign w:val="center"/>
          </w:tcPr>
          <w:p w14:paraId="1872BE4C" w14:textId="05826CC9" w:rsidR="008226C5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 w:rsidR="00302505">
              <w:rPr>
                <w:rFonts w:eastAsia="宋体" w:hint="eastAsia"/>
                <w:sz w:val="24"/>
                <w:szCs w:val="24"/>
              </w:rPr>
              <w:t>7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 w:rsidR="00302505"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8226C5" w14:paraId="2C963D16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3340E804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地点</w:t>
            </w:r>
          </w:p>
        </w:tc>
        <w:tc>
          <w:tcPr>
            <w:tcW w:w="2825" w:type="pct"/>
            <w:vAlign w:val="center"/>
          </w:tcPr>
          <w:p w14:paraId="5C11A93C" w14:textId="53E1743A" w:rsidR="008226C5" w:rsidRDefault="00A227B6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上海</w:t>
            </w:r>
          </w:p>
        </w:tc>
      </w:tr>
      <w:tr w:rsidR="008226C5" w14:paraId="45295D58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1AB24A1D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接待人员</w:t>
            </w:r>
          </w:p>
        </w:tc>
        <w:tc>
          <w:tcPr>
            <w:tcW w:w="2825" w:type="pct"/>
            <w:vAlign w:val="center"/>
          </w:tcPr>
          <w:p w14:paraId="79D9DF9B" w14:textId="77777777" w:rsidR="00302505" w:rsidRPr="00302505" w:rsidRDefault="00302505" w:rsidP="00302505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 w:rsidRPr="00302505">
              <w:rPr>
                <w:rFonts w:eastAsia="宋体"/>
                <w:sz w:val="24"/>
                <w:szCs w:val="24"/>
              </w:rPr>
              <w:t>脉得智能董事长：陈咏虹</w:t>
            </w:r>
          </w:p>
          <w:p w14:paraId="4F0670FC" w14:textId="51CAF6CA" w:rsidR="008226C5" w:rsidRPr="00302505" w:rsidRDefault="00302505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 w:rsidRPr="00302505">
              <w:rPr>
                <w:rFonts w:eastAsia="宋体"/>
                <w:sz w:val="24"/>
                <w:szCs w:val="24"/>
              </w:rPr>
              <w:t>康众医能战略顾问：王明辉</w:t>
            </w:r>
          </w:p>
        </w:tc>
      </w:tr>
      <w:tr w:rsidR="008226C5" w14:paraId="0DD78152" w14:textId="77777777">
        <w:trPr>
          <w:trHeight w:val="90"/>
          <w:jc w:val="center"/>
        </w:trPr>
        <w:tc>
          <w:tcPr>
            <w:tcW w:w="5000" w:type="pct"/>
            <w:gridSpan w:val="2"/>
            <w:vAlign w:val="center"/>
          </w:tcPr>
          <w:p w14:paraId="5EEEE517" w14:textId="77777777" w:rsidR="008226C5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投资者关系活动主要内容介绍</w:t>
            </w:r>
          </w:p>
        </w:tc>
      </w:tr>
      <w:tr w:rsidR="008226C5" w14:paraId="5C0DE450" w14:textId="77777777">
        <w:trPr>
          <w:trHeight w:val="397"/>
          <w:jc w:val="center"/>
        </w:trPr>
        <w:tc>
          <w:tcPr>
            <w:tcW w:w="5000" w:type="pct"/>
            <w:gridSpan w:val="2"/>
          </w:tcPr>
          <w:p w14:paraId="7C6EE7CF" w14:textId="67244270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投资者问题及回复</w:t>
            </w:r>
          </w:p>
          <w:p w14:paraId="45BFF426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问题1：公司现金收购脉得智能控制权的背景与战略意图是什么？</w:t>
            </w:r>
          </w:p>
          <w:p w14:paraId="70062AB2" w14:textId="7F8F0AF9" w:rsidR="008226C5" w:rsidRDefault="00000000">
            <w:pPr>
              <w:spacing w:after="40" w:line="276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回复：</w:t>
            </w:r>
            <w:r>
              <w:rPr>
                <w:rFonts w:ascii="宋体" w:eastAsia="宋体" w:hAnsi="宋体" w:cs="宋体"/>
                <w:sz w:val="24"/>
              </w:rPr>
              <w:t>公司旨在通过</w:t>
            </w:r>
            <w:r>
              <w:rPr>
                <w:rFonts w:ascii="宋体" w:eastAsia="宋体" w:hAnsi="宋体" w:cs="宋体" w:hint="eastAsia"/>
                <w:sz w:val="24"/>
              </w:rPr>
              <w:t>“</w:t>
            </w:r>
            <w:r w:rsidR="00B65009">
              <w:rPr>
                <w:rFonts w:ascii="宋体" w:eastAsia="宋体" w:hAnsi="宋体" w:cs="宋体" w:hint="eastAsia"/>
                <w:sz w:val="24"/>
              </w:rPr>
              <w:t>X</w:t>
            </w:r>
            <w:r>
              <w:rPr>
                <w:rFonts w:ascii="宋体" w:eastAsia="宋体" w:hAnsi="宋体" w:cs="宋体"/>
                <w:sz w:val="24"/>
              </w:rPr>
              <w:t>光+超声</w:t>
            </w:r>
            <w:r>
              <w:rPr>
                <w:rFonts w:ascii="宋体" w:eastAsia="宋体" w:hAnsi="宋体" w:cs="宋体" w:hint="eastAsia"/>
                <w:sz w:val="24"/>
              </w:rPr>
              <w:t>”“</w:t>
            </w:r>
            <w:r>
              <w:rPr>
                <w:rFonts w:ascii="宋体" w:eastAsia="宋体" w:hAnsi="宋体" w:cs="宋体"/>
                <w:sz w:val="24"/>
              </w:rPr>
              <w:t>硬件+软件</w:t>
            </w:r>
            <w:r>
              <w:rPr>
                <w:rFonts w:ascii="宋体" w:eastAsia="宋体" w:hAnsi="宋体" w:cs="宋体" w:hint="eastAsia"/>
                <w:sz w:val="24"/>
              </w:rPr>
              <w:t>”</w:t>
            </w:r>
            <w:r>
              <w:rPr>
                <w:rFonts w:ascii="宋体" w:eastAsia="宋体" w:hAnsi="宋体" w:cs="宋体"/>
                <w:sz w:val="24"/>
              </w:rPr>
              <w:t>互补协同，构建完整智能影像产品体系，推动AI多模态应用。依托</w:t>
            </w:r>
            <w:r w:rsidR="00B65009">
              <w:rPr>
                <w:rFonts w:ascii="宋体" w:eastAsia="宋体" w:hAnsi="宋体" w:cs="宋体" w:hint="eastAsia"/>
                <w:sz w:val="24"/>
              </w:rPr>
              <w:t>脉得智能</w:t>
            </w:r>
            <w:r>
              <w:rPr>
                <w:rFonts w:ascii="宋体" w:eastAsia="宋体" w:hAnsi="宋体" w:cs="宋体"/>
                <w:sz w:val="24"/>
              </w:rPr>
              <w:t>区域卫健合作渠道，</w:t>
            </w:r>
            <w:r w:rsidR="00B65009">
              <w:rPr>
                <w:rFonts w:ascii="宋体" w:eastAsia="宋体" w:hAnsi="宋体" w:cs="宋体" w:hint="eastAsia"/>
                <w:sz w:val="24"/>
              </w:rPr>
              <w:t>围绕</w:t>
            </w:r>
            <w:r w:rsidR="00B65009" w:rsidRPr="00B65009">
              <w:rPr>
                <w:rFonts w:ascii="宋体" w:eastAsia="宋体" w:hAnsi="宋体" w:cs="宋体"/>
                <w:sz w:val="24"/>
              </w:rPr>
              <w:t>“创新影像硬件系统+AI辅助诊断+基层医疗服务”推进战略升级，从传统医学影像硬件制造商向智能化诊断解决方案提供商转型。</w:t>
            </w:r>
            <w:r>
              <w:rPr>
                <w:rFonts w:ascii="宋体" w:eastAsia="宋体" w:hAnsi="宋体" w:cs="宋体"/>
                <w:sz w:val="24"/>
              </w:rPr>
              <w:t>公司将助力脉得智能产品标准化、规模化，同时借助其临床渠道资源拓展终端市场。</w:t>
            </w:r>
          </w:p>
          <w:p w14:paraId="7FF9B5FA" w14:textId="3D9090B3" w:rsidR="00B65009" w:rsidRPr="00B65009" w:rsidRDefault="00B65009" w:rsidP="00B65009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问题</w:t>
            </w:r>
            <w:r w:rsidRPr="00B65009">
              <w:rPr>
                <w:rFonts w:ascii="宋体" w:eastAsia="宋体" w:hAnsi="宋体"/>
                <w:b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</w:rPr>
              <w:t>：</w:t>
            </w:r>
            <w:r w:rsidRPr="00B65009">
              <w:rPr>
                <w:rFonts w:ascii="宋体" w:eastAsia="宋体" w:hAnsi="宋体"/>
                <w:b/>
                <w:sz w:val="24"/>
              </w:rPr>
              <w:t>脉得智能的产品</w:t>
            </w:r>
            <w:r w:rsidR="00EA1706">
              <w:rPr>
                <w:rFonts w:ascii="宋体" w:eastAsia="宋体" w:hAnsi="宋体" w:hint="eastAsia"/>
                <w:b/>
                <w:sz w:val="24"/>
              </w:rPr>
              <w:t>及优势是什么</w:t>
            </w:r>
            <w:r w:rsidRPr="00B65009">
              <w:rPr>
                <w:rFonts w:ascii="宋体" w:eastAsia="宋体" w:hAnsi="宋体"/>
                <w:b/>
                <w:sz w:val="24"/>
              </w:rPr>
              <w:t>？</w:t>
            </w:r>
          </w:p>
          <w:p w14:paraId="29C73541" w14:textId="3B03F85E" w:rsidR="00B65009" w:rsidRPr="00B65009" w:rsidRDefault="00B65009" w:rsidP="00B65009">
            <w:pPr>
              <w:spacing w:after="40" w:line="276" w:lineRule="auto"/>
              <w:jc w:val="both"/>
              <w:rPr>
                <w:rFonts w:ascii="宋体" w:eastAsia="宋体" w:hAnsi="宋体" w:hint="eastAsia"/>
                <w:bCs/>
                <w:sz w:val="24"/>
              </w:rPr>
            </w:pPr>
            <w:r w:rsidRPr="00B65009">
              <w:rPr>
                <w:rFonts w:ascii="宋体" w:eastAsia="宋体" w:hAnsi="宋体"/>
                <w:bCs/>
                <w:sz w:val="24"/>
              </w:rPr>
              <w:t>回复：脉得智能的产品体系主要围绕超声检查标准化、AI质控、A</w:t>
            </w:r>
            <w:r>
              <w:rPr>
                <w:rFonts w:ascii="宋体" w:eastAsia="宋体" w:hAnsi="宋体" w:hint="eastAsia"/>
                <w:bCs/>
                <w:sz w:val="24"/>
              </w:rPr>
              <w:t>I</w:t>
            </w:r>
            <w:r w:rsidRPr="00B65009">
              <w:rPr>
                <w:rFonts w:ascii="宋体" w:eastAsia="宋体" w:hAnsi="宋体"/>
                <w:bCs/>
                <w:sz w:val="24"/>
              </w:rPr>
              <w:t>辅助诊断和体检流程智能化展开，核心目标是提升基层及区域医疗场景下超声检查的规范性、效率和诊断辅助能力。</w:t>
            </w:r>
          </w:p>
          <w:p w14:paraId="5A52B4C9" w14:textId="77777777" w:rsidR="00B65009" w:rsidRPr="00B65009" w:rsidRDefault="00B65009" w:rsidP="00B65009">
            <w:pPr>
              <w:spacing w:after="40" w:line="276" w:lineRule="auto"/>
              <w:jc w:val="both"/>
              <w:rPr>
                <w:rFonts w:ascii="宋体" w:eastAsia="宋体" w:hAnsi="宋体" w:hint="eastAsia"/>
                <w:bCs/>
                <w:sz w:val="24"/>
              </w:rPr>
            </w:pPr>
            <w:r w:rsidRPr="00B65009">
              <w:rPr>
                <w:rFonts w:ascii="宋体" w:eastAsia="宋体" w:hAnsi="宋体"/>
                <w:bCs/>
                <w:sz w:val="24"/>
              </w:rPr>
              <w:t>（1）超声质控系统：旨在提升基层超声检查的标准化和质量控制水平。质控系统（声奈特）能够动态识别超声检查中的探头切面规范性、图像清晰度、标准切面留存完整性，从源头确保检查数据质量；针对报告撰写，系统内置标准</w:t>
            </w:r>
            <w:r w:rsidRPr="00B65009">
              <w:rPr>
                <w:rFonts w:ascii="宋体" w:eastAsia="宋体" w:hAnsi="宋体"/>
                <w:bCs/>
                <w:sz w:val="24"/>
              </w:rPr>
              <w:lastRenderedPageBreak/>
              <w:t>化术语库与逻辑校验模块，可辅助纠正术语不统一、描述不严谨等问题，提升医生操作与报告的合规水平。</w:t>
            </w:r>
          </w:p>
          <w:p w14:paraId="31EE695F" w14:textId="77777777" w:rsidR="00B65009" w:rsidRPr="00B65009" w:rsidRDefault="00B65009" w:rsidP="00B65009">
            <w:pPr>
              <w:spacing w:after="40" w:line="276" w:lineRule="auto"/>
              <w:jc w:val="both"/>
              <w:rPr>
                <w:rFonts w:ascii="宋体" w:eastAsia="宋体" w:hAnsi="宋体" w:hint="eastAsia"/>
                <w:bCs/>
                <w:sz w:val="24"/>
              </w:rPr>
            </w:pPr>
            <w:r w:rsidRPr="00B65009">
              <w:rPr>
                <w:rFonts w:ascii="宋体" w:eastAsia="宋体" w:hAnsi="宋体"/>
                <w:bCs/>
                <w:sz w:val="24"/>
              </w:rPr>
              <w:t>（2）体检全流程AI解决方案（让娜）：利用AI技术优化体检流程，围绕超声AI辅助分析、智能质控、标准留图、结构化报告生成及报告审核解读等环节，提高体检效率和筛查准确率。</w:t>
            </w:r>
          </w:p>
          <w:p w14:paraId="40F025D7" w14:textId="034E3CA7" w:rsidR="00B65009" w:rsidRPr="00EC55D1" w:rsidRDefault="00B65009">
            <w:pPr>
              <w:spacing w:after="40" w:line="276" w:lineRule="auto"/>
              <w:jc w:val="both"/>
              <w:rPr>
                <w:rFonts w:ascii="宋体" w:eastAsia="宋体" w:hAnsi="宋体" w:hint="eastAsia"/>
                <w:bCs/>
                <w:sz w:val="24"/>
              </w:rPr>
            </w:pPr>
            <w:r w:rsidRPr="00B65009">
              <w:rPr>
                <w:rFonts w:ascii="宋体" w:eastAsia="宋体" w:hAnsi="宋体"/>
                <w:bCs/>
                <w:sz w:val="24"/>
              </w:rPr>
              <w:t>（3）AI辅助诊断系统：基于国家药监局三类证——甲状腺结节超声影像辅助诊断软件，具备实时动态分析、高精准度识别和复杂病症辅助判断等功能。其AI给出的良恶性判断与组织病理活检结果具有较高一致性，能够在基层筛查和医生辅助诊断场景中发挥重要作用。</w:t>
            </w:r>
          </w:p>
          <w:p w14:paraId="76E579D9" w14:textId="39A4E70D" w:rsidR="00EC55D1" w:rsidRDefault="00EC55D1" w:rsidP="00EC55D1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 w:hint="eastAsia"/>
                <w:b/>
                <w:sz w:val="24"/>
              </w:rPr>
              <w:t>问题3：</w:t>
            </w:r>
            <w:r>
              <w:rPr>
                <w:rFonts w:ascii="宋体" w:eastAsia="宋体" w:hAnsi="宋体"/>
                <w:b/>
                <w:sz w:val="24"/>
              </w:rPr>
              <w:t>公司与脉得智能整合后如何展开合作？</w:t>
            </w:r>
          </w:p>
          <w:p w14:paraId="5C807AC8" w14:textId="77777777" w:rsidR="00EC55D1" w:rsidRDefault="00EC55D1" w:rsidP="00EC55D1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回复：本次</w:t>
            </w:r>
            <w:r>
              <w:rPr>
                <w:rFonts w:ascii="宋体" w:eastAsia="宋体" w:hAnsi="宋体" w:hint="eastAsia"/>
                <w:sz w:val="24"/>
              </w:rPr>
              <w:t>收购</w:t>
            </w:r>
            <w:r>
              <w:rPr>
                <w:rFonts w:ascii="宋体" w:eastAsia="宋体" w:hAnsi="宋体"/>
                <w:sz w:val="24"/>
              </w:rPr>
              <w:t>的战略价值，不是简单增加一个超声AI产品线，而是补齐公司从“创新硬件系统”走向“多模态智能诊断系统”的关键拼图。公司与脉得智能已进入深度整合阶段，正在从产品、数据、研发、市场四个层面系统推进：</w:t>
            </w:r>
          </w:p>
          <w:p w14:paraId="47F33BB9" w14:textId="77777777" w:rsidR="00EC55D1" w:rsidRDefault="00EC55D1" w:rsidP="00EC55D1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1）产品协同：公司在X光影像硬件、创新硬件系统、整机工程化和基层应用场景方面具备积累，脉得智能在超声AI、智能质控和辅助诊断方面具备优势。双方深度协同正在推动公司逐步形成覆盖X光、超声等影像模态的基层智能诊断产品组合。</w:t>
            </w:r>
          </w:p>
          <w:p w14:paraId="594705B7" w14:textId="77777777" w:rsidR="00EC55D1" w:rsidRDefault="00EC55D1" w:rsidP="00EC55D1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2）数据协同：脉得智能在超声标准切面、图像质控、结构化报告和包含病理金标准的数据体系方面的积累，正在显著增强公司的数据模态丰富度和模型训练、验证基础。公司原有X光影像数据能力与脉得超声数据能力的结合，正在为多模态融合诊断系统建设提供更高质量的数据支撑。</w:t>
            </w:r>
          </w:p>
          <w:p w14:paraId="14B331B2" w14:textId="77777777" w:rsidR="00EC55D1" w:rsidRDefault="00EC55D1" w:rsidP="00EC55D1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3）研发协同：脉得智能的AI开发团队正在帮助公司进一步从传统硬件产品开发走向“硬件为AI而设计、AI反向定义硬件”的研发范式。双方正围绕X光、超声及其他基层高频检查场景，共同推进边缘计算、实时质控、AI辅助诊断、报告自动化和多模态模型融合等能力建设。</w:t>
            </w:r>
          </w:p>
          <w:p w14:paraId="398648F0" w14:textId="77777777" w:rsidR="00EC55D1" w:rsidRDefault="00EC55D1" w:rsidP="00EC55D1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4）市场协同：公司正依托康众医能等渠道和基层医疗场景资源，推动脉得智能超声AI产品在基层医疗市场落地；脉得智能已验证的超声AI产品和服务模式，也正在增强公司面向区域医疗、基层筛查、体检中心和医疗集团的整体解决方案能力。</w:t>
            </w:r>
          </w:p>
          <w:p w14:paraId="43C6C25F" w14:textId="77777777" w:rsidR="00EC55D1" w:rsidRDefault="00EC55D1" w:rsidP="00EC55D1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整合节奏上，双方已按“分阶段、渐进式”的路径推进：短期聚焦渠道协同、产品导入和重点区域示范；中期推进X光与超声数据、算法和硬件系统融合；长期目标是打造可持续迭代的多模态智能诊断系统，提升基层医疗服务效率和诊断标准化水平。</w:t>
            </w:r>
          </w:p>
          <w:p w14:paraId="65293440" w14:textId="1944A911" w:rsidR="00EA1706" w:rsidRDefault="00EA1706" w:rsidP="00EA1706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 w:hint="eastAsia"/>
                <w:b/>
                <w:sz w:val="24"/>
              </w:rPr>
              <w:t>问题4：</w:t>
            </w:r>
            <w:r>
              <w:rPr>
                <w:rFonts w:ascii="宋体" w:eastAsia="宋体" w:hAnsi="宋体"/>
                <w:b/>
                <w:sz w:val="24"/>
              </w:rPr>
              <w:t>脉得智能今年的经营计划是什么？</w:t>
            </w:r>
          </w:p>
          <w:p w14:paraId="78C6595B" w14:textId="7A16C10C" w:rsidR="00EA1706" w:rsidRDefault="00EA1706" w:rsidP="00EA1706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lastRenderedPageBreak/>
              <w:t>回复：脉得智能今年的重点在于市场开拓、标杆区域示范、基层医生培训以及临床数据持续积累，并通过大规模临床验证和数据迭代，加速相关产品注册证（二/三类）的获批进程。</w:t>
            </w:r>
          </w:p>
          <w:p w14:paraId="6D9E1D5F" w14:textId="77777777" w:rsidR="005F2BB4" w:rsidRDefault="005F2BB4" w:rsidP="00E426A0">
            <w:pPr>
              <w:spacing w:before="80" w:after="40" w:line="276" w:lineRule="auto"/>
              <w:jc w:val="both"/>
              <w:rPr>
                <w:rFonts w:ascii="宋体" w:eastAsia="宋体" w:hAnsi="宋体"/>
                <w:sz w:val="24"/>
              </w:rPr>
            </w:pPr>
            <w:r w:rsidRPr="005F2BB4">
              <w:rPr>
                <w:rFonts w:ascii="宋体" w:eastAsia="宋体" w:hAnsi="宋体" w:hint="eastAsia"/>
                <w:sz w:val="24"/>
              </w:rPr>
              <w:t>在与公司协同方面，脉得智能将结合公司基层医疗场景、渠道服务能力和硬件产品体系，协同提高产品落地效率，并推动超声</w:t>
            </w:r>
            <w:r w:rsidRPr="005F2BB4">
              <w:rPr>
                <w:rFonts w:ascii="宋体" w:eastAsia="宋体" w:hAnsi="宋体"/>
                <w:sz w:val="24"/>
              </w:rPr>
              <w:t>AI</w:t>
            </w:r>
            <w:r w:rsidRPr="005F2BB4">
              <w:rPr>
                <w:rFonts w:ascii="宋体" w:eastAsia="宋体" w:hAnsi="宋体" w:hint="eastAsia"/>
                <w:sz w:val="24"/>
              </w:rPr>
              <w:t>与公司现有</w:t>
            </w:r>
            <w:r w:rsidRPr="005F2BB4">
              <w:rPr>
                <w:rFonts w:ascii="宋体" w:eastAsia="宋体" w:hAnsi="宋体"/>
                <w:sz w:val="24"/>
              </w:rPr>
              <w:t>X</w:t>
            </w:r>
            <w:r w:rsidRPr="005F2BB4">
              <w:rPr>
                <w:rFonts w:ascii="宋体" w:eastAsia="宋体" w:hAnsi="宋体" w:hint="eastAsia"/>
                <w:sz w:val="24"/>
              </w:rPr>
              <w:t>光创新硬件、基层医疗服务体系形成组合式解决方案。</w:t>
            </w:r>
          </w:p>
          <w:p w14:paraId="4B7EB76C" w14:textId="1DF225BA" w:rsidR="00E426A0" w:rsidRDefault="00E426A0" w:rsidP="00E426A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 w:hint="eastAsia"/>
                <w:b/>
                <w:sz w:val="24"/>
              </w:rPr>
              <w:t>问题5：</w:t>
            </w:r>
            <w:r w:rsidRPr="00E426A0">
              <w:rPr>
                <w:rFonts w:ascii="宋体" w:eastAsia="宋体" w:hAnsi="宋体"/>
                <w:b/>
                <w:sz w:val="24"/>
              </w:rPr>
              <w:t>脉得智能</w:t>
            </w:r>
            <w:r>
              <w:rPr>
                <w:rFonts w:ascii="宋体" w:eastAsia="宋体" w:hAnsi="宋体"/>
                <w:b/>
                <w:sz w:val="24"/>
              </w:rPr>
              <w:t>医疗AI</w:t>
            </w:r>
            <w:r>
              <w:rPr>
                <w:rFonts w:ascii="宋体" w:eastAsia="宋体" w:hAnsi="宋体" w:hint="eastAsia"/>
                <w:b/>
                <w:sz w:val="24"/>
              </w:rPr>
              <w:t>数据建设方面有哪些进展</w:t>
            </w:r>
            <w:r>
              <w:rPr>
                <w:rFonts w:ascii="宋体" w:eastAsia="宋体" w:hAnsi="宋体"/>
                <w:b/>
                <w:sz w:val="24"/>
              </w:rPr>
              <w:t>？</w:t>
            </w:r>
          </w:p>
          <w:p w14:paraId="1F628BE6" w14:textId="628576A0" w:rsidR="00E426A0" w:rsidRDefault="00E426A0" w:rsidP="00E426A0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回复：脉得智能非常重视高质量结构化数据的积累，严格的数据采集与标</w:t>
            </w:r>
            <w:r>
              <w:rPr>
                <w:rFonts w:ascii="宋体" w:eastAsia="宋体" w:hAnsi="宋体" w:hint="eastAsia"/>
                <w:sz w:val="24"/>
              </w:rPr>
              <w:t>准</w:t>
            </w:r>
            <w:r>
              <w:rPr>
                <w:rFonts w:ascii="宋体" w:eastAsia="宋体" w:hAnsi="宋体"/>
                <w:sz w:val="24"/>
              </w:rPr>
              <w:t>体系</w:t>
            </w:r>
            <w:r>
              <w:rPr>
                <w:rFonts w:ascii="宋体" w:eastAsia="宋体" w:hAnsi="宋体" w:hint="eastAsia"/>
                <w:sz w:val="24"/>
              </w:rPr>
              <w:t>的建立</w:t>
            </w:r>
            <w:r>
              <w:rPr>
                <w:rFonts w:ascii="宋体" w:eastAsia="宋体" w:hAnsi="宋体"/>
                <w:sz w:val="24"/>
              </w:rPr>
              <w:t>，并通过与权威医院合作，获取包含金标准的高质量数据集。</w:t>
            </w:r>
            <w:r>
              <w:rPr>
                <w:rFonts w:ascii="宋体" w:eastAsia="宋体" w:hAnsi="宋体" w:hint="eastAsia"/>
                <w:sz w:val="24"/>
              </w:rPr>
              <w:t>2026年7月，脉得智能凭借“高质量多模态超声医学数据集建设与应用”项目，成功入选2025年度人工智能应用典型案例。</w:t>
            </w:r>
            <w:r w:rsidRPr="00E426A0">
              <w:rPr>
                <w:rFonts w:ascii="宋体" w:eastAsia="宋体" w:hAnsi="宋体"/>
                <w:sz w:val="24"/>
              </w:rPr>
              <w:t>该项目依托全国多家三甲医院及医联体的广泛数据来源，在严格的隐私合规与脱敏处理基础上，构建了覆盖心脏、肝脏、甲状腺、乳腺、前列腺等十余个器官的超声医学数据库，病例数超过</w:t>
            </w:r>
            <w:r w:rsidR="00557894">
              <w:rPr>
                <w:rFonts w:ascii="宋体" w:eastAsia="宋体" w:hAnsi="宋体" w:hint="eastAsia"/>
                <w:sz w:val="24"/>
              </w:rPr>
              <w:t>数</w:t>
            </w:r>
            <w:r w:rsidRPr="00E426A0">
              <w:rPr>
                <w:rFonts w:ascii="宋体" w:eastAsia="宋体" w:hAnsi="宋体"/>
                <w:sz w:val="24"/>
              </w:rPr>
              <w:t>百万例，图像及视频数据总量超过</w:t>
            </w:r>
            <w:r w:rsidR="00557894">
              <w:rPr>
                <w:rFonts w:ascii="宋体" w:eastAsia="宋体" w:hAnsi="宋体" w:hint="eastAsia"/>
                <w:sz w:val="24"/>
              </w:rPr>
              <w:t>数</w:t>
            </w:r>
            <w:r w:rsidRPr="00E426A0">
              <w:rPr>
                <w:rFonts w:ascii="宋体" w:eastAsia="宋体" w:hAnsi="宋体"/>
                <w:sz w:val="24"/>
              </w:rPr>
              <w:t>千万份。项目采用“人机协同”的数据标注模式，结合AI辅助与专家复核机制，确保数据集的高质量与科学性。数据涵盖静态图像、动态视频、结构化报告及灰阶、血流、弹性、造影等多种模态，为AI模型训练提供了坚实的底层支撑。此外，脉得智能已在肝脏超声质控、甲状腺、乳腺及淋巴结结节辅助诊断等多个方向取得数据知识产权登记证书，并持续推进数据规模与质量目标的提升。</w:t>
            </w:r>
          </w:p>
          <w:p w14:paraId="24834C2B" w14:textId="50099329" w:rsidR="00E426A0" w:rsidRPr="00E426A0" w:rsidRDefault="00E426A0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E426A0">
              <w:rPr>
                <w:rFonts w:ascii="宋体" w:eastAsia="宋体" w:hAnsi="宋体"/>
                <w:sz w:val="24"/>
              </w:rPr>
              <w:t>此次入选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E426A0">
              <w:rPr>
                <w:rFonts w:ascii="宋体" w:eastAsia="宋体" w:hAnsi="宋体"/>
                <w:sz w:val="24"/>
              </w:rPr>
              <w:t>标志着脉得智能在医疗AI数据基础设施建设方面获得行业权威认可，为智慧医疗的创新发展注入了新的动力。未来随着</w:t>
            </w:r>
            <w:r>
              <w:rPr>
                <w:rFonts w:ascii="宋体" w:eastAsia="宋体" w:hAnsi="宋体" w:hint="eastAsia"/>
                <w:sz w:val="24"/>
              </w:rPr>
              <w:t>公司与脉得智能</w:t>
            </w:r>
            <w:r w:rsidRPr="00E426A0">
              <w:rPr>
                <w:rFonts w:ascii="宋体" w:eastAsia="宋体" w:hAnsi="宋体"/>
                <w:sz w:val="24"/>
              </w:rPr>
              <w:t>整合持续深化，公司将在多影像模态、高质量数据集和基层诊疗应用场景之间形成更强协同，为后续多模态AI诊断系统研发提供数据基础。</w:t>
            </w:r>
          </w:p>
        </w:tc>
      </w:tr>
      <w:tr w:rsidR="008226C5" w14:paraId="4303C864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1BFCB0F9" w14:textId="77777777" w:rsidR="008226C5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2825" w:type="pct"/>
            <w:vAlign w:val="center"/>
          </w:tcPr>
          <w:p w14:paraId="481E071D" w14:textId="0427D87A" w:rsidR="008226C5" w:rsidRDefault="00E4074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无</w:t>
            </w:r>
          </w:p>
        </w:tc>
      </w:tr>
      <w:tr w:rsidR="008226C5" w14:paraId="0C24FC4A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032B6A8A" w14:textId="77777777" w:rsidR="008226C5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2825" w:type="pct"/>
            <w:vAlign w:val="center"/>
          </w:tcPr>
          <w:p w14:paraId="33A2EB2D" w14:textId="760F74C4" w:rsidR="008226C5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</w:t>
            </w:r>
            <w:r>
              <w:rPr>
                <w:rFonts w:ascii="宋体" w:eastAsia="宋体" w:hAnsi="宋体" w:cs="宋体"/>
                <w:sz w:val="24"/>
              </w:rPr>
              <w:t>年</w:t>
            </w:r>
            <w:r w:rsidR="00754C35"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/>
                <w:sz w:val="24"/>
              </w:rPr>
              <w:t>月</w:t>
            </w:r>
            <w:r w:rsidR="00754C35">
              <w:rPr>
                <w:rFonts w:ascii="宋体" w:eastAsia="宋体" w:hAnsi="宋体" w:cs="宋体" w:hint="eastAsia"/>
                <w:sz w:val="24"/>
              </w:rPr>
              <w:t>21</w:t>
            </w:r>
            <w:r>
              <w:rPr>
                <w:rFonts w:ascii="宋体" w:eastAsia="宋体" w:hAnsi="宋体" w:cs="宋体"/>
                <w:sz w:val="24"/>
              </w:rPr>
              <w:t>日</w:t>
            </w:r>
          </w:p>
        </w:tc>
      </w:tr>
      <w:tr w:rsidR="008226C5" w14:paraId="0F49D9C4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01EF4C53" w14:textId="77777777" w:rsidR="008226C5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相关提示</w:t>
            </w:r>
          </w:p>
        </w:tc>
        <w:tc>
          <w:tcPr>
            <w:tcW w:w="2825" w:type="pct"/>
            <w:vAlign w:val="center"/>
          </w:tcPr>
          <w:p w14:paraId="544FAA6C" w14:textId="77777777" w:rsidR="008226C5" w:rsidRDefault="00000000">
            <w:pPr>
              <w:spacing w:after="0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调研内容均不涉及公司内幕信息及相关未披露的重大事项信息。内容涉及对行业的预测、公司发展战略规划等相关内容，不能视作公司或公司管理层对行业、公司发展的承诺和保证，敬请广大投资者注意投资风险。</w:t>
            </w:r>
          </w:p>
        </w:tc>
      </w:tr>
    </w:tbl>
    <w:p w14:paraId="1F33E73B" w14:textId="77777777" w:rsidR="008226C5" w:rsidRDefault="008226C5">
      <w:pPr>
        <w:spacing w:after="0"/>
        <w:jc w:val="both"/>
      </w:pPr>
    </w:p>
    <w:sectPr w:rsidR="008226C5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4029" w14:textId="77777777" w:rsidR="009D67BB" w:rsidRDefault="009D67BB">
      <w:pPr>
        <w:spacing w:line="240" w:lineRule="auto"/>
      </w:pPr>
      <w:r>
        <w:separator/>
      </w:r>
    </w:p>
  </w:endnote>
  <w:endnote w:type="continuationSeparator" w:id="0">
    <w:p w14:paraId="28C68F3D" w14:textId="77777777" w:rsidR="009D67BB" w:rsidRDefault="009D6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6035" w14:textId="77777777" w:rsidR="009D67BB" w:rsidRDefault="009D67BB">
      <w:pPr>
        <w:spacing w:after="0"/>
      </w:pPr>
      <w:r>
        <w:separator/>
      </w:r>
    </w:p>
  </w:footnote>
  <w:footnote w:type="continuationSeparator" w:id="0">
    <w:p w14:paraId="2A46154A" w14:textId="77777777" w:rsidR="009D67BB" w:rsidRDefault="009D67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62B5A"/>
    <w:rsid w:val="000E20EC"/>
    <w:rsid w:val="0012282F"/>
    <w:rsid w:val="00143A17"/>
    <w:rsid w:val="00191663"/>
    <w:rsid w:val="001E2D48"/>
    <w:rsid w:val="002C7A59"/>
    <w:rsid w:val="00300E83"/>
    <w:rsid w:val="00302505"/>
    <w:rsid w:val="0035121A"/>
    <w:rsid w:val="00362245"/>
    <w:rsid w:val="003C4DC7"/>
    <w:rsid w:val="004A1F4F"/>
    <w:rsid w:val="004A5AEB"/>
    <w:rsid w:val="00557894"/>
    <w:rsid w:val="005B4516"/>
    <w:rsid w:val="005F2BB4"/>
    <w:rsid w:val="006B15E8"/>
    <w:rsid w:val="006E45BA"/>
    <w:rsid w:val="006E7E2B"/>
    <w:rsid w:val="00732B07"/>
    <w:rsid w:val="00754C35"/>
    <w:rsid w:val="00765771"/>
    <w:rsid w:val="007C68EC"/>
    <w:rsid w:val="008226C5"/>
    <w:rsid w:val="008A592E"/>
    <w:rsid w:val="008C04FD"/>
    <w:rsid w:val="008E3110"/>
    <w:rsid w:val="008F5504"/>
    <w:rsid w:val="0091778C"/>
    <w:rsid w:val="009952C4"/>
    <w:rsid w:val="009C1CDF"/>
    <w:rsid w:val="009D67BB"/>
    <w:rsid w:val="009F5C9A"/>
    <w:rsid w:val="00A227B6"/>
    <w:rsid w:val="00A438CC"/>
    <w:rsid w:val="00A54DA5"/>
    <w:rsid w:val="00B017D5"/>
    <w:rsid w:val="00B045D0"/>
    <w:rsid w:val="00B50CAF"/>
    <w:rsid w:val="00B65009"/>
    <w:rsid w:val="00BA64BA"/>
    <w:rsid w:val="00BB2DB1"/>
    <w:rsid w:val="00BE6EB3"/>
    <w:rsid w:val="00C94CAE"/>
    <w:rsid w:val="00D26AC3"/>
    <w:rsid w:val="00DD76C4"/>
    <w:rsid w:val="00E0201F"/>
    <w:rsid w:val="00E06817"/>
    <w:rsid w:val="00E12638"/>
    <w:rsid w:val="00E40744"/>
    <w:rsid w:val="00E426A0"/>
    <w:rsid w:val="00E7582B"/>
    <w:rsid w:val="00EA1706"/>
    <w:rsid w:val="00EC55D1"/>
    <w:rsid w:val="00EC730F"/>
    <w:rsid w:val="00F67C98"/>
    <w:rsid w:val="00F8663A"/>
    <w:rsid w:val="0393640F"/>
    <w:rsid w:val="03A85738"/>
    <w:rsid w:val="03AD10E5"/>
    <w:rsid w:val="05F314D1"/>
    <w:rsid w:val="062F1292"/>
    <w:rsid w:val="0766087E"/>
    <w:rsid w:val="07D74BD2"/>
    <w:rsid w:val="083E2F6B"/>
    <w:rsid w:val="088F37C7"/>
    <w:rsid w:val="08F04266"/>
    <w:rsid w:val="09A1725A"/>
    <w:rsid w:val="09F62C0E"/>
    <w:rsid w:val="0AB51CD2"/>
    <w:rsid w:val="0C8F023A"/>
    <w:rsid w:val="0E265BA8"/>
    <w:rsid w:val="0F04350F"/>
    <w:rsid w:val="0F0A5C29"/>
    <w:rsid w:val="12FE2C52"/>
    <w:rsid w:val="141379A2"/>
    <w:rsid w:val="16225115"/>
    <w:rsid w:val="167E0D44"/>
    <w:rsid w:val="16813D27"/>
    <w:rsid w:val="172906EC"/>
    <w:rsid w:val="183C554F"/>
    <w:rsid w:val="1ACB068F"/>
    <w:rsid w:val="1C465FC9"/>
    <w:rsid w:val="1C7D58D7"/>
    <w:rsid w:val="1D525097"/>
    <w:rsid w:val="1D594678"/>
    <w:rsid w:val="1E200CF1"/>
    <w:rsid w:val="1EAC6A29"/>
    <w:rsid w:val="20EF6679"/>
    <w:rsid w:val="21335230"/>
    <w:rsid w:val="21D963F2"/>
    <w:rsid w:val="220C2B08"/>
    <w:rsid w:val="232D01A6"/>
    <w:rsid w:val="24250489"/>
    <w:rsid w:val="25A9183B"/>
    <w:rsid w:val="272F4DFF"/>
    <w:rsid w:val="27C7526B"/>
    <w:rsid w:val="28300D49"/>
    <w:rsid w:val="291D5E12"/>
    <w:rsid w:val="29486A84"/>
    <w:rsid w:val="2C3F74E5"/>
    <w:rsid w:val="2E443808"/>
    <w:rsid w:val="2F120BC6"/>
    <w:rsid w:val="2F374163"/>
    <w:rsid w:val="31277A6D"/>
    <w:rsid w:val="31480833"/>
    <w:rsid w:val="328D4906"/>
    <w:rsid w:val="33326771"/>
    <w:rsid w:val="33ED3A8A"/>
    <w:rsid w:val="34CC177B"/>
    <w:rsid w:val="35AB75E3"/>
    <w:rsid w:val="36C21264"/>
    <w:rsid w:val="38060AE2"/>
    <w:rsid w:val="3944674A"/>
    <w:rsid w:val="3A0164D6"/>
    <w:rsid w:val="3BA47F47"/>
    <w:rsid w:val="3D396A0A"/>
    <w:rsid w:val="3D6B054C"/>
    <w:rsid w:val="3E964C3B"/>
    <w:rsid w:val="3FCD52EF"/>
    <w:rsid w:val="40730CFD"/>
    <w:rsid w:val="40820021"/>
    <w:rsid w:val="40D53171"/>
    <w:rsid w:val="41847415"/>
    <w:rsid w:val="42161379"/>
    <w:rsid w:val="429D6505"/>
    <w:rsid w:val="44930287"/>
    <w:rsid w:val="45BF7B8E"/>
    <w:rsid w:val="46CE0352"/>
    <w:rsid w:val="474B2FD1"/>
    <w:rsid w:val="47B972D2"/>
    <w:rsid w:val="48761676"/>
    <w:rsid w:val="4B90799F"/>
    <w:rsid w:val="50ED61DF"/>
    <w:rsid w:val="51326CC3"/>
    <w:rsid w:val="51350D3F"/>
    <w:rsid w:val="515526FB"/>
    <w:rsid w:val="519F5DF6"/>
    <w:rsid w:val="55525286"/>
    <w:rsid w:val="557E0544"/>
    <w:rsid w:val="55B74816"/>
    <w:rsid w:val="55F9697E"/>
    <w:rsid w:val="57060E24"/>
    <w:rsid w:val="581846D9"/>
    <w:rsid w:val="59381C91"/>
    <w:rsid w:val="59B03888"/>
    <w:rsid w:val="5A89578F"/>
    <w:rsid w:val="5A9B1124"/>
    <w:rsid w:val="5E716381"/>
    <w:rsid w:val="607E3B0F"/>
    <w:rsid w:val="618464E0"/>
    <w:rsid w:val="61AC7224"/>
    <w:rsid w:val="65426D6C"/>
    <w:rsid w:val="663604F1"/>
    <w:rsid w:val="66E83943"/>
    <w:rsid w:val="67AF3547"/>
    <w:rsid w:val="692A3719"/>
    <w:rsid w:val="6AE67270"/>
    <w:rsid w:val="6B8270EE"/>
    <w:rsid w:val="6BCF2A70"/>
    <w:rsid w:val="6BE22CDD"/>
    <w:rsid w:val="6CBB6060"/>
    <w:rsid w:val="6EDE6AF0"/>
    <w:rsid w:val="6FCD7A7D"/>
    <w:rsid w:val="70802F2C"/>
    <w:rsid w:val="70A80AB3"/>
    <w:rsid w:val="720346C8"/>
    <w:rsid w:val="74784BA3"/>
    <w:rsid w:val="74C209E5"/>
    <w:rsid w:val="74FD0501"/>
    <w:rsid w:val="753913DE"/>
    <w:rsid w:val="75803351"/>
    <w:rsid w:val="77077B18"/>
    <w:rsid w:val="77ED4A39"/>
    <w:rsid w:val="78E75F57"/>
    <w:rsid w:val="796F7551"/>
    <w:rsid w:val="7A1B4F29"/>
    <w:rsid w:val="7AAF6D8C"/>
    <w:rsid w:val="7E2D7C04"/>
    <w:rsid w:val="7EBE35E4"/>
    <w:rsid w:val="7EDC687C"/>
    <w:rsid w:val="7F2870AA"/>
    <w:rsid w:val="7FE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88F0"/>
  <w15:docId w15:val="{812E9F20-E7EB-40A2-B254-E57E089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修订1"/>
    <w:hidden/>
    <w:uiPriority w:val="99"/>
    <w:unhideWhenUsed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2">
    <w:name w:val="修订2"/>
    <w:hidden/>
    <w:uiPriority w:val="99"/>
    <w:unhideWhenUsed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5">
    <w:name w:val="Revision"/>
    <w:hidden/>
    <w:uiPriority w:val="99"/>
    <w:unhideWhenUsed/>
    <w:rsid w:val="00E40744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426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26A0"/>
    <w:rPr>
      <w:rFonts w:ascii="Calibri" w:eastAsia="Calibri" w:hAnsi="Calibri" w:cs="Calibri"/>
      <w:color w:val="000000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26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26A0"/>
    <w:rPr>
      <w:rFonts w:ascii="Calibri" w:eastAsia="Calibri" w:hAnsi="Calibri" w:cs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388</Words>
  <Characters>2217</Characters>
  <Application>Microsoft Office Word</Application>
  <DocSecurity>0</DocSecurity>
  <Lines>18</Lines>
  <Paragraphs>5</Paragraphs>
  <ScaleCrop>false</ScaleCrop>
  <Company>QN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Zou Yue</cp:lastModifiedBy>
  <cp:revision>14</cp:revision>
  <cp:lastPrinted>2026-07-21T09:16:00Z</cp:lastPrinted>
  <dcterms:created xsi:type="dcterms:W3CDTF">2026-04-29T08:23:00Z</dcterms:created>
  <dcterms:modified xsi:type="dcterms:W3CDTF">2026-07-21T10:12:00Z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eyJoZGlkIjoiY2M2ZWQ2NDJkMzFlZDE1MWEzNTgxZDE1OWY2OTEwYjIiLCJ1c2VySWQiOiIxODIzMjYzOTU5In0=</vt:lpwstr>
  </property>
  <property fmtid="{D5CDD505-2E9C-101B-9397-08002B2CF9AE}" pid="3" name="KSOProductBuildVer">
    <vt:lpwstr>2052-12.1.0.26895</vt:lpwstr>
  </property>
  <property fmtid="{D5CDD505-2E9C-101B-9397-08002B2CF9AE}" pid="4" name="ICV">
    <vt:lpwstr>10EFCD3F1D654331A5F347FBE0CD6234_12</vt:lpwstr>
  </property>
</Properties>
</file>