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69D84" w14:textId="77777777" w:rsidR="00823BD4" w:rsidRDefault="00365D67">
      <w:pPr>
        <w:spacing w:beforeLines="50" w:before="156" w:afterLines="50" w:after="156" w:line="400" w:lineRule="exact"/>
        <w:rPr>
          <w:rFonts w:ascii="TimesNewRoman" w:hAnsi="TimesNewRoman" w:hint="eastAsia"/>
          <w:sz w:val="24"/>
        </w:rPr>
      </w:pPr>
      <w:r>
        <w:rPr>
          <w:rFonts w:ascii="TimesNewRoman" w:hAnsi="宋体" w:hint="eastAsia"/>
          <w:sz w:val="24"/>
        </w:rPr>
        <w:t>证券代码：</w:t>
      </w:r>
      <w:r>
        <w:rPr>
          <w:rFonts w:ascii="TimesNewRoman" w:hAnsi="TimesNewRoman"/>
          <w:sz w:val="24"/>
        </w:rPr>
        <w:t>688306</w:t>
      </w:r>
      <w:r>
        <w:rPr>
          <w:rFonts w:ascii="TimesNewRoman" w:hAnsi="TimesNewRoman" w:hint="eastAsia"/>
          <w:sz w:val="24"/>
        </w:rPr>
        <w:t xml:space="preserve">                                </w:t>
      </w:r>
      <w:r>
        <w:rPr>
          <w:rFonts w:ascii="TimesNewRoman" w:hAnsi="TimesNewRoman"/>
          <w:sz w:val="24"/>
        </w:rPr>
        <w:t xml:space="preserve">    </w:t>
      </w:r>
      <w:r>
        <w:rPr>
          <w:rFonts w:ascii="TimesNewRoman" w:hAnsi="宋体" w:hint="eastAsia"/>
          <w:sz w:val="24"/>
        </w:rPr>
        <w:t>证券简称：均普智能</w:t>
      </w:r>
    </w:p>
    <w:p w14:paraId="57358481" w14:textId="77777777" w:rsidR="00823BD4" w:rsidRDefault="00365D67">
      <w:pPr>
        <w:spacing w:beforeLines="100" w:before="312" w:afterLines="100" w:after="312" w:line="400" w:lineRule="exact"/>
        <w:jc w:val="center"/>
        <w:rPr>
          <w:rFonts w:ascii="TimesNewRoman" w:hAnsi="宋体" w:hint="eastAsia"/>
          <w:b/>
          <w:sz w:val="32"/>
          <w:szCs w:val="32"/>
        </w:rPr>
      </w:pPr>
      <w:r>
        <w:rPr>
          <w:rFonts w:ascii="TimesNewRoman" w:hAnsi="宋体" w:hint="eastAsia"/>
          <w:b/>
          <w:sz w:val="32"/>
          <w:szCs w:val="32"/>
        </w:rPr>
        <w:t>宁波均普智能制造股份有限公司</w:t>
      </w:r>
    </w:p>
    <w:p w14:paraId="3B292181" w14:textId="4A491EB5" w:rsidR="00823BD4" w:rsidRDefault="00365D67">
      <w:pPr>
        <w:spacing w:beforeLines="100" w:before="312" w:afterLines="100" w:after="312" w:line="400" w:lineRule="exact"/>
        <w:jc w:val="center"/>
        <w:rPr>
          <w:rFonts w:ascii="TimesNewRoman" w:hAnsi="TimesNewRoman" w:hint="eastAsia"/>
          <w:b/>
          <w:sz w:val="32"/>
          <w:szCs w:val="32"/>
        </w:rPr>
      </w:pPr>
      <w:r>
        <w:rPr>
          <w:rFonts w:ascii="TimesNewRoman" w:hAnsi="宋体" w:hint="eastAsia"/>
          <w:b/>
          <w:sz w:val="32"/>
          <w:szCs w:val="32"/>
        </w:rPr>
        <w:t>202</w:t>
      </w:r>
      <w:r w:rsidR="00DA13F3">
        <w:rPr>
          <w:rFonts w:ascii="TimesNewRoman" w:hAnsi="宋体" w:hint="eastAsia"/>
          <w:b/>
          <w:sz w:val="32"/>
          <w:szCs w:val="32"/>
        </w:rPr>
        <w:t>6</w:t>
      </w:r>
      <w:r>
        <w:rPr>
          <w:rFonts w:ascii="TimesNewRoman" w:hAnsi="宋体" w:hint="eastAsia"/>
          <w:b/>
          <w:sz w:val="32"/>
          <w:szCs w:val="32"/>
        </w:rPr>
        <w:t>年</w:t>
      </w:r>
      <w:r w:rsidR="001B477A">
        <w:rPr>
          <w:rFonts w:ascii="TimesNewRoman" w:hAnsi="宋体" w:hint="eastAsia"/>
          <w:b/>
          <w:sz w:val="32"/>
          <w:szCs w:val="32"/>
        </w:rPr>
        <w:t>7</w:t>
      </w:r>
      <w:r>
        <w:rPr>
          <w:rFonts w:ascii="TimesNewRoman" w:hAnsi="宋体" w:hint="eastAsia"/>
          <w:b/>
          <w:sz w:val="32"/>
          <w:szCs w:val="32"/>
        </w:rPr>
        <w:t>月投资者关系活动记录表</w:t>
      </w:r>
    </w:p>
    <w:p w14:paraId="33F72722" w14:textId="16B50CD6" w:rsidR="00823BD4" w:rsidRDefault="00365D67">
      <w:pPr>
        <w:spacing w:line="400" w:lineRule="exact"/>
        <w:rPr>
          <w:rFonts w:ascii="TimesNewRoman" w:hAnsi="TimesNewRoman" w:hint="eastAsia"/>
          <w:sz w:val="24"/>
        </w:rPr>
      </w:pPr>
      <w:r>
        <w:rPr>
          <w:rFonts w:ascii="TimesNewRoman" w:hAnsi="TimesNewRoman" w:hint="eastAsia"/>
          <w:sz w:val="24"/>
        </w:rPr>
        <w:t xml:space="preserve">                                                     </w:t>
      </w:r>
      <w:r>
        <w:rPr>
          <w:rFonts w:ascii="TimesNewRoman" w:hAnsi="TimesNewRoman"/>
          <w:sz w:val="24"/>
        </w:rPr>
        <w:t xml:space="preserve">  </w:t>
      </w:r>
      <w:r w:rsidR="00760CA7">
        <w:rPr>
          <w:rFonts w:ascii="TimesNewRoman" w:hAnsi="TimesNewRoman"/>
          <w:sz w:val="24"/>
        </w:rPr>
        <w:t xml:space="preserve"> </w:t>
      </w:r>
      <w:r>
        <w:rPr>
          <w:rFonts w:ascii="TimesNewRoman" w:hAnsi="宋体" w:hint="eastAsia"/>
          <w:sz w:val="24"/>
        </w:rPr>
        <w:t>编号：</w:t>
      </w:r>
      <w:r>
        <w:rPr>
          <w:rFonts w:ascii="TimesNewRoman" w:hAnsi="宋体" w:hint="eastAsia"/>
          <w:sz w:val="24"/>
        </w:rPr>
        <w:t>20</w:t>
      </w:r>
      <w:r w:rsidRPr="00B90E6B">
        <w:rPr>
          <w:rFonts w:ascii="TimesNewRoman" w:hAnsi="宋体" w:hint="eastAsia"/>
          <w:sz w:val="24"/>
        </w:rPr>
        <w:t>2</w:t>
      </w:r>
      <w:r w:rsidR="00DA13F3" w:rsidRPr="00B90E6B">
        <w:rPr>
          <w:rFonts w:ascii="TimesNewRoman" w:hAnsi="宋体" w:hint="eastAsia"/>
          <w:sz w:val="24"/>
        </w:rPr>
        <w:t>6</w:t>
      </w:r>
      <w:r w:rsidRPr="00B90E6B">
        <w:rPr>
          <w:rFonts w:ascii="TimesNewRoman" w:hAnsi="宋体" w:hint="eastAsia"/>
          <w:sz w:val="24"/>
        </w:rPr>
        <w:t>-</w:t>
      </w:r>
      <w:r w:rsidR="00EF2A6C">
        <w:rPr>
          <w:rFonts w:ascii="TimesNewRoman" w:hAnsi="宋体" w:hint="eastAsia"/>
          <w:sz w:val="24"/>
        </w:rPr>
        <w:t>00</w:t>
      </w:r>
      <w:r w:rsidR="001B477A">
        <w:rPr>
          <w:rFonts w:ascii="TimesNewRoman" w:hAnsi="宋体" w:hint="eastAsia"/>
          <w:sz w:val="24"/>
        </w:rPr>
        <w:t>2</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7117"/>
      </w:tblGrid>
      <w:tr w:rsidR="00823BD4" w:rsidRPr="003461EA" w14:paraId="5F6F3654" w14:textId="77777777">
        <w:trPr>
          <w:trHeight w:val="2555"/>
          <w:jc w:val="center"/>
        </w:trPr>
        <w:tc>
          <w:tcPr>
            <w:tcW w:w="1908" w:type="dxa"/>
            <w:vAlign w:val="center"/>
          </w:tcPr>
          <w:p w14:paraId="2BA511F4" w14:textId="77777777" w:rsidR="00823BD4" w:rsidRPr="003461EA" w:rsidRDefault="00365D67">
            <w:pPr>
              <w:spacing w:line="480" w:lineRule="atLeast"/>
              <w:rPr>
                <w:rFonts w:ascii="TimesNewRoman" w:hAnsi="TimesNewRoman" w:hint="eastAsia"/>
                <w:b/>
                <w:sz w:val="24"/>
                <w:szCs w:val="24"/>
              </w:rPr>
            </w:pPr>
            <w:r w:rsidRPr="003461EA">
              <w:rPr>
                <w:rFonts w:ascii="TimesNewRoman" w:hAnsi="宋体" w:hint="eastAsia"/>
                <w:b/>
                <w:sz w:val="24"/>
                <w:szCs w:val="24"/>
              </w:rPr>
              <w:t>投资者关系活动类别</w:t>
            </w:r>
          </w:p>
          <w:p w14:paraId="76AE85DE" w14:textId="77777777" w:rsidR="00823BD4" w:rsidRPr="003461EA" w:rsidRDefault="00823BD4">
            <w:pPr>
              <w:spacing w:line="480" w:lineRule="atLeast"/>
              <w:rPr>
                <w:rFonts w:ascii="TimesNewRoman" w:hAnsi="TimesNewRoman" w:hint="eastAsia"/>
                <w:b/>
                <w:sz w:val="24"/>
                <w:szCs w:val="24"/>
              </w:rPr>
            </w:pPr>
          </w:p>
        </w:tc>
        <w:tc>
          <w:tcPr>
            <w:tcW w:w="7117" w:type="dxa"/>
            <w:tcBorders>
              <w:bottom w:val="single" w:sz="4" w:space="0" w:color="auto"/>
            </w:tcBorders>
          </w:tcPr>
          <w:p w14:paraId="205299C0" w14:textId="2F43164C" w:rsidR="00823BD4" w:rsidRPr="003461EA" w:rsidRDefault="001D09E1">
            <w:pPr>
              <w:spacing w:line="480" w:lineRule="atLeast"/>
              <w:rPr>
                <w:rFonts w:ascii="TimesNewRoman" w:hAnsi="TimesNewRoman" w:hint="eastAsia"/>
                <w:sz w:val="24"/>
                <w:szCs w:val="24"/>
              </w:rPr>
            </w:pPr>
            <w:r w:rsidRPr="003461EA">
              <w:rPr>
                <w:rFonts w:ascii="TimesNewRoman" w:hAnsi="TimesNewRoman" w:hint="eastAsia"/>
                <w:sz w:val="24"/>
                <w:szCs w:val="24"/>
              </w:rPr>
              <w:t>☑</w:t>
            </w:r>
            <w:r w:rsidR="00365D67" w:rsidRPr="003461EA">
              <w:rPr>
                <w:rFonts w:ascii="TimesNewRoman" w:hAnsi="宋体" w:hint="eastAsia"/>
                <w:sz w:val="24"/>
                <w:szCs w:val="24"/>
              </w:rPr>
              <w:t>特定对象调研</w:t>
            </w:r>
            <w:r w:rsidR="00365D67" w:rsidRPr="003461EA">
              <w:rPr>
                <w:rFonts w:ascii="TimesNewRoman" w:hAnsi="TimesNewRoman" w:hint="eastAsia"/>
                <w:sz w:val="24"/>
                <w:szCs w:val="24"/>
              </w:rPr>
              <w:t xml:space="preserve">        </w:t>
            </w:r>
            <w:r w:rsidR="00365D67" w:rsidRPr="003461EA">
              <w:rPr>
                <w:rFonts w:ascii="TimesNewRoman" w:hAnsi="TimesNewRoman" w:hint="eastAsia"/>
                <w:sz w:val="24"/>
                <w:szCs w:val="24"/>
              </w:rPr>
              <w:t>□</w:t>
            </w:r>
            <w:r w:rsidR="00365D67" w:rsidRPr="003461EA">
              <w:rPr>
                <w:rFonts w:ascii="TimesNewRoman" w:hAnsi="宋体" w:hint="eastAsia"/>
                <w:sz w:val="24"/>
                <w:szCs w:val="24"/>
              </w:rPr>
              <w:t>分析师会议</w:t>
            </w:r>
          </w:p>
          <w:p w14:paraId="1BE11738" w14:textId="3BBB2CBA" w:rsidR="00823BD4" w:rsidRPr="003461EA" w:rsidRDefault="00365D67">
            <w:pPr>
              <w:spacing w:line="480" w:lineRule="atLeast"/>
              <w:rPr>
                <w:rFonts w:ascii="TimesNewRoman" w:hAnsi="TimesNewRoman" w:hint="eastAsia"/>
                <w:sz w:val="24"/>
                <w:szCs w:val="24"/>
              </w:rPr>
            </w:pPr>
            <w:r w:rsidRPr="003461EA">
              <w:rPr>
                <w:rFonts w:ascii="TimesNewRoman" w:hAnsi="TimesNewRoman" w:hint="eastAsia"/>
                <w:sz w:val="24"/>
                <w:szCs w:val="24"/>
              </w:rPr>
              <w:t>□</w:t>
            </w:r>
            <w:r w:rsidRPr="003461EA">
              <w:rPr>
                <w:rFonts w:ascii="TimesNewRoman" w:hAnsi="宋体" w:hint="eastAsia"/>
                <w:sz w:val="24"/>
                <w:szCs w:val="24"/>
              </w:rPr>
              <w:t>媒体采访</w:t>
            </w:r>
            <w:r w:rsidRPr="003461EA">
              <w:rPr>
                <w:rFonts w:ascii="TimesNewRoman" w:hAnsi="TimesNewRoman" w:hint="eastAsia"/>
                <w:sz w:val="24"/>
                <w:szCs w:val="24"/>
              </w:rPr>
              <w:t xml:space="preserve">          </w:t>
            </w:r>
            <w:r w:rsidR="001D09E1" w:rsidRPr="003461EA">
              <w:rPr>
                <w:rFonts w:ascii="TimesNewRoman" w:hAnsi="TimesNewRoman"/>
                <w:sz w:val="24"/>
                <w:szCs w:val="24"/>
              </w:rPr>
              <w:t xml:space="preserve"> </w:t>
            </w:r>
            <w:r w:rsidRPr="003461EA">
              <w:rPr>
                <w:rFonts w:ascii="TimesNewRoman" w:hAnsi="TimesNewRoman" w:hint="eastAsia"/>
                <w:sz w:val="24"/>
                <w:szCs w:val="24"/>
              </w:rPr>
              <w:t xml:space="preserve">  </w:t>
            </w:r>
            <w:r w:rsidRPr="003461EA">
              <w:rPr>
                <w:rFonts w:ascii="TimesNewRoman" w:hAnsi="TimesNewRoman" w:hint="eastAsia"/>
                <w:sz w:val="24"/>
                <w:szCs w:val="24"/>
              </w:rPr>
              <w:t>□</w:t>
            </w:r>
            <w:r w:rsidRPr="003461EA">
              <w:rPr>
                <w:rFonts w:ascii="TimesNewRoman" w:hAnsi="宋体" w:hint="eastAsia"/>
                <w:sz w:val="24"/>
                <w:szCs w:val="24"/>
              </w:rPr>
              <w:t>业绩说明会</w:t>
            </w:r>
          </w:p>
          <w:p w14:paraId="2544893A" w14:textId="16AFA5DD" w:rsidR="00823BD4" w:rsidRPr="003461EA" w:rsidRDefault="00365D67">
            <w:pPr>
              <w:spacing w:line="480" w:lineRule="atLeast"/>
              <w:rPr>
                <w:rFonts w:ascii="TimesNewRoman" w:hAnsi="TimesNewRoman" w:hint="eastAsia"/>
                <w:sz w:val="24"/>
                <w:szCs w:val="24"/>
              </w:rPr>
            </w:pPr>
            <w:r w:rsidRPr="003461EA">
              <w:rPr>
                <w:rFonts w:ascii="TimesNewRoman" w:hAnsi="TimesNewRoman" w:hint="eastAsia"/>
                <w:sz w:val="24"/>
                <w:szCs w:val="24"/>
              </w:rPr>
              <w:t>□</w:t>
            </w:r>
            <w:r w:rsidRPr="003461EA">
              <w:rPr>
                <w:rFonts w:ascii="TimesNewRoman" w:hAnsi="宋体" w:hint="eastAsia"/>
                <w:sz w:val="24"/>
                <w:szCs w:val="24"/>
              </w:rPr>
              <w:t>新闻发布会</w:t>
            </w:r>
            <w:r w:rsidRPr="003461EA">
              <w:rPr>
                <w:rFonts w:ascii="TimesNewRoman" w:hAnsi="TimesNewRoman" w:hint="eastAsia"/>
                <w:sz w:val="24"/>
                <w:szCs w:val="24"/>
              </w:rPr>
              <w:t xml:space="preserve">        </w:t>
            </w:r>
            <w:r w:rsidR="001D09E1" w:rsidRPr="003461EA">
              <w:rPr>
                <w:rFonts w:ascii="TimesNewRoman" w:hAnsi="TimesNewRoman"/>
                <w:sz w:val="24"/>
                <w:szCs w:val="24"/>
              </w:rPr>
              <w:t xml:space="preserve"> </w:t>
            </w:r>
            <w:r w:rsidRPr="003461EA">
              <w:rPr>
                <w:rFonts w:ascii="TimesNewRoman" w:hAnsi="TimesNewRoman" w:hint="eastAsia"/>
                <w:sz w:val="24"/>
                <w:szCs w:val="24"/>
              </w:rPr>
              <w:t xml:space="preserve">  </w:t>
            </w:r>
            <w:r w:rsidRPr="003461EA">
              <w:rPr>
                <w:rFonts w:ascii="TimesNewRoman" w:hAnsi="TimesNewRoman" w:hint="eastAsia"/>
                <w:sz w:val="24"/>
                <w:szCs w:val="24"/>
              </w:rPr>
              <w:t>□</w:t>
            </w:r>
            <w:r w:rsidRPr="003461EA">
              <w:rPr>
                <w:rFonts w:ascii="TimesNewRoman" w:hAnsi="宋体" w:hint="eastAsia"/>
                <w:sz w:val="24"/>
                <w:szCs w:val="24"/>
              </w:rPr>
              <w:t>路演活动</w:t>
            </w:r>
          </w:p>
          <w:p w14:paraId="51512D4B" w14:textId="77777777" w:rsidR="00823BD4" w:rsidRPr="003461EA" w:rsidRDefault="00365D67">
            <w:pPr>
              <w:tabs>
                <w:tab w:val="left" w:pos="3045"/>
                <w:tab w:val="center" w:pos="3199"/>
              </w:tabs>
              <w:spacing w:line="480" w:lineRule="atLeast"/>
              <w:rPr>
                <w:rFonts w:ascii="TimesNewRoman" w:hAnsi="TimesNewRoman" w:hint="eastAsia"/>
                <w:sz w:val="24"/>
                <w:szCs w:val="24"/>
              </w:rPr>
            </w:pPr>
            <w:r w:rsidRPr="003461EA">
              <w:rPr>
                <w:rFonts w:ascii="TimesNewRoman" w:hAnsi="TimesNewRoman" w:hint="eastAsia"/>
                <w:sz w:val="24"/>
                <w:szCs w:val="24"/>
              </w:rPr>
              <w:t>☑</w:t>
            </w:r>
            <w:r w:rsidRPr="003461EA">
              <w:rPr>
                <w:rFonts w:ascii="TimesNewRoman" w:hAnsi="宋体" w:hint="eastAsia"/>
                <w:sz w:val="24"/>
                <w:szCs w:val="24"/>
              </w:rPr>
              <w:t>现场参观</w:t>
            </w:r>
            <w:r w:rsidRPr="003461EA">
              <w:rPr>
                <w:rFonts w:ascii="TimesNewRoman" w:hAnsi="TimesNewRoman"/>
                <w:sz w:val="24"/>
                <w:szCs w:val="24"/>
              </w:rPr>
              <w:tab/>
            </w:r>
          </w:p>
          <w:p w14:paraId="32436B11" w14:textId="132A5A38" w:rsidR="00823BD4" w:rsidRPr="003461EA" w:rsidRDefault="00365D67">
            <w:pPr>
              <w:tabs>
                <w:tab w:val="left" w:pos="3045"/>
                <w:tab w:val="center" w:pos="3199"/>
              </w:tabs>
              <w:spacing w:line="480" w:lineRule="atLeast"/>
              <w:rPr>
                <w:rFonts w:ascii="TimesNewRoman" w:hAnsi="TimesNewRoman" w:hint="eastAsia"/>
                <w:sz w:val="24"/>
                <w:szCs w:val="24"/>
              </w:rPr>
            </w:pPr>
            <w:r w:rsidRPr="003461EA">
              <w:rPr>
                <w:rFonts w:ascii="宋体" w:hAnsi="宋体" w:hint="eastAsia"/>
                <w:sz w:val="24"/>
                <w:szCs w:val="24"/>
              </w:rPr>
              <w:sym w:font="Wingdings 2" w:char="00A3"/>
            </w:r>
            <w:r w:rsidRPr="003461EA">
              <w:rPr>
                <w:rFonts w:ascii="TimesNewRoman" w:hAnsi="TimesNewRoman" w:hint="eastAsia"/>
                <w:sz w:val="24"/>
                <w:szCs w:val="24"/>
              </w:rPr>
              <w:t>其他（电话会议）</w:t>
            </w:r>
          </w:p>
        </w:tc>
      </w:tr>
      <w:tr w:rsidR="00823BD4" w:rsidRPr="003461EA" w14:paraId="2D234CF0" w14:textId="77777777">
        <w:trPr>
          <w:jc w:val="center"/>
        </w:trPr>
        <w:tc>
          <w:tcPr>
            <w:tcW w:w="1908" w:type="dxa"/>
            <w:vAlign w:val="center"/>
          </w:tcPr>
          <w:p w14:paraId="48841579" w14:textId="77777777" w:rsidR="00823BD4" w:rsidRPr="003461EA" w:rsidRDefault="00365D67">
            <w:pPr>
              <w:spacing w:line="480" w:lineRule="atLeast"/>
              <w:rPr>
                <w:rFonts w:ascii="TimesNewRoman" w:hAnsi="TimesNewRoman" w:hint="eastAsia"/>
                <w:b/>
                <w:sz w:val="24"/>
                <w:szCs w:val="24"/>
              </w:rPr>
            </w:pPr>
            <w:r w:rsidRPr="003461EA">
              <w:rPr>
                <w:rFonts w:ascii="TimesNewRoman" w:hAnsi="宋体" w:hint="eastAsia"/>
                <w:b/>
                <w:sz w:val="24"/>
                <w:szCs w:val="24"/>
              </w:rPr>
              <w:t>参与单位和时间</w:t>
            </w:r>
          </w:p>
        </w:tc>
        <w:tc>
          <w:tcPr>
            <w:tcW w:w="7117" w:type="dxa"/>
          </w:tcPr>
          <w:p w14:paraId="3E1DE2A7" w14:textId="78971F73" w:rsidR="00972EF6" w:rsidRDefault="00B90E6B" w:rsidP="00F3154B">
            <w:pPr>
              <w:spacing w:line="480" w:lineRule="atLeast"/>
              <w:rPr>
                <w:rFonts w:ascii="TimesNewRoman" w:hAnsi="TimesNewRoman" w:hint="eastAsia"/>
                <w:sz w:val="24"/>
                <w:szCs w:val="24"/>
              </w:rPr>
            </w:pPr>
            <w:r>
              <w:rPr>
                <w:rFonts w:ascii="TimesNewRoman" w:hAnsi="TimesNewRoman" w:hint="eastAsia"/>
                <w:sz w:val="24"/>
                <w:szCs w:val="24"/>
              </w:rPr>
              <w:t>时间：</w:t>
            </w:r>
            <w:r w:rsidR="00365D67" w:rsidRPr="003461EA">
              <w:rPr>
                <w:rFonts w:ascii="TimesNewRoman" w:hAnsi="TimesNewRoman" w:hint="eastAsia"/>
                <w:sz w:val="24"/>
                <w:szCs w:val="24"/>
              </w:rPr>
              <w:t>2</w:t>
            </w:r>
            <w:r w:rsidR="00365D67" w:rsidRPr="003461EA">
              <w:rPr>
                <w:rFonts w:ascii="TimesNewRoman" w:hAnsi="TimesNewRoman"/>
                <w:sz w:val="24"/>
                <w:szCs w:val="24"/>
              </w:rPr>
              <w:t>02</w:t>
            </w:r>
            <w:r w:rsidR="00DA13F3">
              <w:rPr>
                <w:rFonts w:ascii="TimesNewRoman" w:hAnsi="TimesNewRoman" w:hint="eastAsia"/>
                <w:sz w:val="24"/>
                <w:szCs w:val="24"/>
              </w:rPr>
              <w:t>6</w:t>
            </w:r>
            <w:r w:rsidR="00365D67" w:rsidRPr="003461EA">
              <w:rPr>
                <w:rFonts w:ascii="TimesNewRoman" w:hAnsi="TimesNewRoman" w:hint="eastAsia"/>
                <w:sz w:val="24"/>
                <w:szCs w:val="24"/>
              </w:rPr>
              <w:t>年</w:t>
            </w:r>
            <w:r w:rsidR="001B477A">
              <w:rPr>
                <w:rFonts w:ascii="TimesNewRoman" w:hAnsi="TimesNewRoman" w:hint="eastAsia"/>
                <w:sz w:val="24"/>
                <w:szCs w:val="24"/>
              </w:rPr>
              <w:t>7</w:t>
            </w:r>
            <w:r w:rsidR="00365D67" w:rsidRPr="003461EA">
              <w:rPr>
                <w:rFonts w:ascii="TimesNewRoman" w:hAnsi="TimesNewRoman" w:hint="eastAsia"/>
                <w:sz w:val="24"/>
                <w:szCs w:val="24"/>
              </w:rPr>
              <w:t>月</w:t>
            </w:r>
            <w:r w:rsidR="001B477A">
              <w:rPr>
                <w:rFonts w:ascii="TimesNewRoman" w:hAnsi="TimesNewRoman" w:hint="eastAsia"/>
                <w:sz w:val="24"/>
                <w:szCs w:val="24"/>
              </w:rPr>
              <w:t>21</w:t>
            </w:r>
            <w:r w:rsidR="00365D67" w:rsidRPr="003461EA">
              <w:rPr>
                <w:rFonts w:ascii="TimesNewRoman" w:hAnsi="TimesNewRoman" w:hint="eastAsia"/>
                <w:sz w:val="24"/>
                <w:szCs w:val="24"/>
              </w:rPr>
              <w:t>日</w:t>
            </w:r>
            <w:r w:rsidR="00972EF6">
              <w:rPr>
                <w:rFonts w:ascii="TimesNewRoman" w:hAnsi="TimesNewRoman" w:hint="eastAsia"/>
                <w:sz w:val="24"/>
                <w:szCs w:val="24"/>
              </w:rPr>
              <w:t xml:space="preserve"> </w:t>
            </w:r>
            <w:r w:rsidR="00DA13F3">
              <w:rPr>
                <w:rFonts w:ascii="TimesNewRoman" w:hAnsi="TimesNewRoman" w:hint="eastAsia"/>
                <w:sz w:val="24"/>
                <w:szCs w:val="24"/>
              </w:rPr>
              <w:t>下</w:t>
            </w:r>
            <w:r w:rsidR="00972EF6">
              <w:rPr>
                <w:rFonts w:ascii="TimesNewRoman" w:hAnsi="TimesNewRoman" w:hint="eastAsia"/>
                <w:sz w:val="24"/>
                <w:szCs w:val="24"/>
              </w:rPr>
              <w:t>午</w:t>
            </w:r>
            <w:r w:rsidR="001B477A" w:rsidRPr="001B477A">
              <w:rPr>
                <w:rFonts w:ascii="TimesNewRoman" w:hAnsi="TimesNewRoman"/>
                <w:sz w:val="24"/>
                <w:szCs w:val="24"/>
              </w:rPr>
              <w:t>13:30-</w:t>
            </w:r>
            <w:r w:rsidR="001B477A">
              <w:rPr>
                <w:rFonts w:ascii="TimesNewRoman" w:hAnsi="TimesNewRoman"/>
                <w:sz w:val="24"/>
                <w:szCs w:val="24"/>
              </w:rPr>
              <w:t>16</w:t>
            </w:r>
            <w:r w:rsidR="001B477A" w:rsidRPr="001B477A">
              <w:rPr>
                <w:rFonts w:ascii="TimesNewRoman" w:hAnsi="TimesNewRoman"/>
                <w:sz w:val="24"/>
                <w:szCs w:val="24"/>
              </w:rPr>
              <w:t>:</w:t>
            </w:r>
            <w:r w:rsidR="001B477A">
              <w:rPr>
                <w:rFonts w:ascii="TimesNewRoman" w:hAnsi="TimesNewRoman"/>
                <w:sz w:val="24"/>
                <w:szCs w:val="24"/>
              </w:rPr>
              <w:t>0</w:t>
            </w:r>
            <w:r w:rsidR="001B477A" w:rsidRPr="001B477A">
              <w:rPr>
                <w:rFonts w:ascii="TimesNewRoman" w:hAnsi="TimesNewRoman"/>
                <w:sz w:val="24"/>
                <w:szCs w:val="24"/>
              </w:rPr>
              <w:t>0</w:t>
            </w:r>
          </w:p>
          <w:p w14:paraId="0E389E73" w14:textId="0956A750" w:rsidR="00DA13F3" w:rsidRPr="003461EA" w:rsidRDefault="00B90E6B" w:rsidP="00B90E6B">
            <w:pPr>
              <w:spacing w:line="480" w:lineRule="atLeast"/>
              <w:rPr>
                <w:rFonts w:ascii="TimesNewRoman" w:hAnsi="TimesNewRoman" w:hint="eastAsia"/>
                <w:sz w:val="24"/>
                <w:szCs w:val="24"/>
              </w:rPr>
            </w:pPr>
            <w:r>
              <w:rPr>
                <w:rFonts w:ascii="TimesNewRoman" w:hAnsi="TimesNewRoman" w:hint="eastAsia"/>
                <w:sz w:val="24"/>
                <w:szCs w:val="24"/>
              </w:rPr>
              <w:t>参会机构：</w:t>
            </w:r>
            <w:r w:rsidR="001B477A" w:rsidRPr="001B477A">
              <w:rPr>
                <w:rFonts w:ascii="TimesNewRoman" w:hAnsi="TimesNewRoman" w:hint="eastAsia"/>
                <w:sz w:val="24"/>
                <w:szCs w:val="24"/>
              </w:rPr>
              <w:t>财通基金、国泰海通证券、浙江伟星资产、上海嘉融投资、广东邦领</w:t>
            </w:r>
            <w:r w:rsidR="00EC75E4">
              <w:rPr>
                <w:rFonts w:ascii="TimesNewRoman" w:hAnsi="TimesNewRoman" w:hint="eastAsia"/>
                <w:sz w:val="24"/>
                <w:szCs w:val="24"/>
              </w:rPr>
              <w:t>等</w:t>
            </w:r>
            <w:r w:rsidR="00EC75E4">
              <w:rPr>
                <w:rFonts w:ascii="TimesNewRoman" w:hAnsi="TimesNewRoman" w:hint="eastAsia"/>
                <w:sz w:val="24"/>
                <w:szCs w:val="24"/>
              </w:rPr>
              <w:t>9</w:t>
            </w:r>
            <w:r w:rsidR="00EC75E4">
              <w:rPr>
                <w:rFonts w:ascii="TimesNewRoman" w:hAnsi="TimesNewRoman" w:hint="eastAsia"/>
                <w:sz w:val="24"/>
                <w:szCs w:val="24"/>
              </w:rPr>
              <w:t>位</w:t>
            </w:r>
          </w:p>
        </w:tc>
      </w:tr>
      <w:tr w:rsidR="00823BD4" w:rsidRPr="003461EA" w14:paraId="34F4E75D" w14:textId="77777777" w:rsidTr="003461EA">
        <w:trPr>
          <w:trHeight w:val="380"/>
          <w:jc w:val="center"/>
        </w:trPr>
        <w:tc>
          <w:tcPr>
            <w:tcW w:w="1908" w:type="dxa"/>
            <w:vAlign w:val="center"/>
          </w:tcPr>
          <w:p w14:paraId="3E4B5EA4" w14:textId="77777777" w:rsidR="00823BD4" w:rsidRPr="003461EA" w:rsidRDefault="00365D67" w:rsidP="003461EA">
            <w:pPr>
              <w:spacing w:line="480" w:lineRule="atLeast"/>
              <w:rPr>
                <w:rFonts w:ascii="TimesNewRoman" w:hAnsi="TimesNewRoman" w:hint="eastAsia"/>
                <w:b/>
                <w:sz w:val="24"/>
                <w:szCs w:val="24"/>
              </w:rPr>
            </w:pPr>
            <w:r w:rsidRPr="003461EA">
              <w:rPr>
                <w:rFonts w:ascii="TimesNewRoman" w:hAnsi="宋体" w:hint="eastAsia"/>
                <w:b/>
                <w:sz w:val="24"/>
                <w:szCs w:val="24"/>
              </w:rPr>
              <w:t>地点</w:t>
            </w:r>
          </w:p>
        </w:tc>
        <w:tc>
          <w:tcPr>
            <w:tcW w:w="7117" w:type="dxa"/>
          </w:tcPr>
          <w:p w14:paraId="6C7A900B" w14:textId="536B199C" w:rsidR="00823BD4" w:rsidRPr="003461EA" w:rsidRDefault="001B477A">
            <w:pPr>
              <w:spacing w:line="480" w:lineRule="atLeast"/>
              <w:rPr>
                <w:rFonts w:ascii="TimesNewRoman" w:hAnsi="TimesNewRoman" w:hint="eastAsia"/>
                <w:sz w:val="24"/>
                <w:szCs w:val="24"/>
              </w:rPr>
            </w:pPr>
            <w:r w:rsidRPr="001B477A">
              <w:rPr>
                <w:rFonts w:ascii="TimesNewRoman" w:hAnsi="TimesNewRoman" w:hint="eastAsia"/>
                <w:sz w:val="24"/>
                <w:szCs w:val="24"/>
              </w:rPr>
              <w:t>浙江省宁波市高新区清逸路</w:t>
            </w:r>
            <w:r w:rsidRPr="001B477A">
              <w:rPr>
                <w:rFonts w:ascii="TimesNewRoman" w:hAnsi="TimesNewRoman" w:hint="eastAsia"/>
                <w:sz w:val="24"/>
                <w:szCs w:val="24"/>
              </w:rPr>
              <w:t>98</w:t>
            </w:r>
            <w:r w:rsidRPr="001B477A">
              <w:rPr>
                <w:rFonts w:ascii="TimesNewRoman" w:hAnsi="TimesNewRoman" w:hint="eastAsia"/>
                <w:sz w:val="24"/>
                <w:szCs w:val="24"/>
              </w:rPr>
              <w:t>号</w:t>
            </w:r>
          </w:p>
        </w:tc>
      </w:tr>
      <w:tr w:rsidR="00823BD4" w:rsidRPr="003461EA" w14:paraId="1A246E44" w14:textId="77777777">
        <w:trPr>
          <w:jc w:val="center"/>
        </w:trPr>
        <w:tc>
          <w:tcPr>
            <w:tcW w:w="1908" w:type="dxa"/>
            <w:vAlign w:val="center"/>
          </w:tcPr>
          <w:p w14:paraId="325CADE2" w14:textId="77777777" w:rsidR="00823BD4" w:rsidRPr="003461EA" w:rsidRDefault="00365D67">
            <w:pPr>
              <w:spacing w:line="480" w:lineRule="atLeast"/>
              <w:rPr>
                <w:rFonts w:ascii="TimesNewRoman" w:hAnsi="TimesNewRoman" w:hint="eastAsia"/>
                <w:b/>
                <w:sz w:val="24"/>
                <w:szCs w:val="24"/>
              </w:rPr>
            </w:pPr>
            <w:r w:rsidRPr="003461EA">
              <w:rPr>
                <w:rFonts w:ascii="TimesNewRoman" w:hAnsi="宋体" w:hint="eastAsia"/>
                <w:b/>
                <w:sz w:val="24"/>
                <w:szCs w:val="24"/>
              </w:rPr>
              <w:t>上市公司接待人员姓名</w:t>
            </w:r>
          </w:p>
        </w:tc>
        <w:tc>
          <w:tcPr>
            <w:tcW w:w="7117" w:type="dxa"/>
          </w:tcPr>
          <w:p w14:paraId="558154B7" w14:textId="08AD0FCC" w:rsidR="001B477A" w:rsidRDefault="00AF688A">
            <w:pPr>
              <w:spacing w:line="480" w:lineRule="atLeast"/>
              <w:rPr>
                <w:rFonts w:ascii="TimesNewRoman" w:hAnsi="宋体" w:hint="eastAsia"/>
                <w:sz w:val="24"/>
                <w:szCs w:val="24"/>
              </w:rPr>
            </w:pPr>
            <w:r>
              <w:rPr>
                <w:rFonts w:ascii="TimesNewRoman" w:hAnsi="宋体" w:hint="eastAsia"/>
                <w:sz w:val="24"/>
                <w:szCs w:val="24"/>
              </w:rPr>
              <w:t>董事、</w:t>
            </w:r>
            <w:r w:rsidR="001B477A" w:rsidRPr="001B477A">
              <w:rPr>
                <w:rFonts w:ascii="TimesNewRoman" w:hAnsi="宋体" w:hint="eastAsia"/>
                <w:sz w:val="24"/>
                <w:szCs w:val="24"/>
              </w:rPr>
              <w:t>具身智能事业部董事长</w:t>
            </w:r>
            <w:r w:rsidR="001B477A">
              <w:rPr>
                <w:rFonts w:ascii="TimesNewRoman" w:hAnsi="宋体" w:hint="eastAsia"/>
                <w:sz w:val="24"/>
                <w:szCs w:val="24"/>
              </w:rPr>
              <w:t xml:space="preserve"> </w:t>
            </w:r>
            <w:r w:rsidR="001B477A" w:rsidRPr="001B477A">
              <w:rPr>
                <w:rFonts w:ascii="TimesNewRoman" w:hAnsi="宋体" w:hint="eastAsia"/>
                <w:sz w:val="24"/>
                <w:szCs w:val="24"/>
              </w:rPr>
              <w:t>周兴宥</w:t>
            </w:r>
          </w:p>
          <w:p w14:paraId="38C467DD" w14:textId="3B8EB897" w:rsidR="001B477A" w:rsidRDefault="00AF688A">
            <w:pPr>
              <w:spacing w:line="480" w:lineRule="atLeast"/>
              <w:rPr>
                <w:rFonts w:ascii="TimesNewRoman" w:hAnsi="宋体" w:hint="eastAsia"/>
                <w:sz w:val="24"/>
                <w:szCs w:val="24"/>
              </w:rPr>
            </w:pPr>
            <w:r>
              <w:rPr>
                <w:rFonts w:ascii="TimesNewRoman" w:hAnsi="宋体" w:hint="eastAsia"/>
                <w:sz w:val="24"/>
                <w:szCs w:val="24"/>
              </w:rPr>
              <w:t>董事、</w:t>
            </w:r>
            <w:r w:rsidR="00DA13F3">
              <w:rPr>
                <w:rFonts w:ascii="TimesNewRoman" w:hAnsi="宋体" w:hint="eastAsia"/>
                <w:sz w:val="24"/>
                <w:szCs w:val="24"/>
              </w:rPr>
              <w:t>财务总监</w:t>
            </w:r>
            <w:r w:rsidR="00DA13F3">
              <w:rPr>
                <w:rFonts w:ascii="TimesNewRoman" w:hAnsi="宋体" w:hint="eastAsia"/>
                <w:sz w:val="24"/>
                <w:szCs w:val="24"/>
              </w:rPr>
              <w:t xml:space="preserve"> </w:t>
            </w:r>
            <w:r w:rsidR="00DA13F3">
              <w:rPr>
                <w:rFonts w:ascii="TimesNewRoman" w:hAnsi="宋体" w:hint="eastAsia"/>
                <w:sz w:val="24"/>
                <w:szCs w:val="24"/>
              </w:rPr>
              <w:t>陶然</w:t>
            </w:r>
          </w:p>
          <w:p w14:paraId="7D83DCEB" w14:textId="77777777" w:rsidR="001B477A" w:rsidRDefault="00110002">
            <w:pPr>
              <w:spacing w:line="480" w:lineRule="atLeast"/>
              <w:rPr>
                <w:rFonts w:ascii="TimesNewRoman" w:hAnsi="宋体" w:hint="eastAsia"/>
                <w:sz w:val="24"/>
                <w:szCs w:val="24"/>
              </w:rPr>
            </w:pPr>
            <w:r>
              <w:rPr>
                <w:rFonts w:ascii="TimesNewRoman" w:hAnsi="宋体" w:hint="eastAsia"/>
                <w:sz w:val="24"/>
                <w:szCs w:val="24"/>
              </w:rPr>
              <w:t>董事会秘书</w:t>
            </w:r>
            <w:r w:rsidR="00EF2A6C">
              <w:rPr>
                <w:rFonts w:ascii="TimesNewRoman" w:hAnsi="宋体" w:hint="eastAsia"/>
                <w:sz w:val="24"/>
                <w:szCs w:val="24"/>
              </w:rPr>
              <w:t xml:space="preserve"> </w:t>
            </w:r>
            <w:r w:rsidR="00647A6E" w:rsidRPr="003461EA">
              <w:rPr>
                <w:rFonts w:ascii="TimesNewRoman" w:hAnsi="宋体" w:hint="eastAsia"/>
                <w:sz w:val="24"/>
                <w:szCs w:val="24"/>
              </w:rPr>
              <w:t>柴俊</w:t>
            </w:r>
          </w:p>
          <w:p w14:paraId="24FC8ABF" w14:textId="77777777" w:rsidR="001B477A" w:rsidRDefault="00DA13F3">
            <w:pPr>
              <w:spacing w:line="480" w:lineRule="atLeast"/>
              <w:rPr>
                <w:rFonts w:ascii="TimesNewRoman" w:hAnsi="宋体" w:hint="eastAsia"/>
                <w:sz w:val="24"/>
                <w:szCs w:val="24"/>
              </w:rPr>
            </w:pPr>
            <w:r>
              <w:rPr>
                <w:rFonts w:ascii="TimesNewRoman" w:hAnsi="宋体" w:hint="eastAsia"/>
                <w:sz w:val="24"/>
                <w:szCs w:val="24"/>
              </w:rPr>
              <w:t>总经理助理</w:t>
            </w:r>
            <w:r w:rsidR="001B477A">
              <w:rPr>
                <w:rFonts w:ascii="TimesNewRoman" w:hAnsi="宋体" w:hint="eastAsia"/>
                <w:sz w:val="24"/>
                <w:szCs w:val="24"/>
              </w:rPr>
              <w:t>、</w:t>
            </w:r>
            <w:r w:rsidR="001B477A" w:rsidRPr="001B477A">
              <w:rPr>
                <w:rFonts w:ascii="TimesNewRoman" w:hAnsi="宋体" w:hint="eastAsia"/>
                <w:sz w:val="24"/>
                <w:szCs w:val="24"/>
              </w:rPr>
              <w:t>机器人研究院总经理</w:t>
            </w:r>
            <w:r w:rsidR="001B477A">
              <w:rPr>
                <w:rFonts w:ascii="TimesNewRoman" w:hAnsi="宋体" w:hint="eastAsia"/>
                <w:sz w:val="24"/>
                <w:szCs w:val="24"/>
              </w:rPr>
              <w:t xml:space="preserve"> </w:t>
            </w:r>
            <w:r>
              <w:rPr>
                <w:rFonts w:ascii="TimesNewRoman" w:hAnsi="宋体" w:hint="eastAsia"/>
                <w:sz w:val="24"/>
                <w:szCs w:val="24"/>
              </w:rPr>
              <w:t>何川</w:t>
            </w:r>
          </w:p>
          <w:p w14:paraId="35F1FE6E" w14:textId="77777777" w:rsidR="00823BD4" w:rsidRDefault="001B477A">
            <w:pPr>
              <w:spacing w:line="480" w:lineRule="atLeast"/>
              <w:rPr>
                <w:rFonts w:ascii="TimesNewRoman" w:hAnsi="宋体" w:hint="eastAsia"/>
                <w:sz w:val="24"/>
                <w:szCs w:val="24"/>
              </w:rPr>
            </w:pPr>
            <w:r w:rsidRPr="001B477A">
              <w:rPr>
                <w:rFonts w:ascii="TimesNewRoman" w:hAnsi="宋体" w:hint="eastAsia"/>
                <w:sz w:val="24"/>
                <w:szCs w:val="24"/>
              </w:rPr>
              <w:t>全球市场总监</w:t>
            </w:r>
            <w:r>
              <w:rPr>
                <w:rFonts w:ascii="TimesNewRoman" w:hAnsi="宋体" w:hint="eastAsia"/>
                <w:sz w:val="24"/>
                <w:szCs w:val="24"/>
              </w:rPr>
              <w:t xml:space="preserve"> </w:t>
            </w:r>
            <w:r w:rsidRPr="001B477A">
              <w:rPr>
                <w:rFonts w:ascii="TimesNewRoman" w:hAnsi="宋体" w:hint="eastAsia"/>
                <w:sz w:val="24"/>
                <w:szCs w:val="24"/>
              </w:rPr>
              <w:t>蔡泉姬</w:t>
            </w:r>
          </w:p>
          <w:p w14:paraId="76259079" w14:textId="7BD4B940" w:rsidR="001B477A" w:rsidRPr="003461EA" w:rsidRDefault="000564E1">
            <w:pPr>
              <w:spacing w:line="480" w:lineRule="atLeast"/>
              <w:rPr>
                <w:rFonts w:ascii="TimesNewRoman" w:hAnsi="宋体" w:hint="eastAsia"/>
                <w:sz w:val="24"/>
                <w:szCs w:val="24"/>
              </w:rPr>
            </w:pPr>
            <w:r w:rsidRPr="000564E1">
              <w:rPr>
                <w:rFonts w:ascii="TimesNewRoman" w:hAnsi="宋体" w:hint="eastAsia"/>
                <w:sz w:val="24"/>
                <w:szCs w:val="24"/>
              </w:rPr>
              <w:t>医疗项目负责人</w:t>
            </w:r>
            <w:r w:rsidR="001B477A">
              <w:rPr>
                <w:rFonts w:ascii="TimesNewRoman" w:hAnsi="宋体" w:hint="eastAsia"/>
                <w:sz w:val="24"/>
                <w:szCs w:val="24"/>
              </w:rPr>
              <w:t xml:space="preserve"> </w:t>
            </w:r>
            <w:r w:rsidR="001B477A" w:rsidRPr="001B477A">
              <w:rPr>
                <w:rFonts w:ascii="TimesNewRoman" w:hAnsi="宋体" w:hint="eastAsia"/>
                <w:sz w:val="24"/>
                <w:szCs w:val="24"/>
              </w:rPr>
              <w:t>任科达</w:t>
            </w:r>
          </w:p>
        </w:tc>
      </w:tr>
      <w:tr w:rsidR="00823BD4" w:rsidRPr="003461EA" w14:paraId="7E44A92F" w14:textId="77777777">
        <w:trPr>
          <w:jc w:val="center"/>
        </w:trPr>
        <w:tc>
          <w:tcPr>
            <w:tcW w:w="1908" w:type="dxa"/>
            <w:vAlign w:val="center"/>
          </w:tcPr>
          <w:p w14:paraId="02A6E75F" w14:textId="77777777" w:rsidR="00823BD4" w:rsidRPr="003461EA" w:rsidRDefault="00365D67">
            <w:pPr>
              <w:spacing w:line="480" w:lineRule="atLeast"/>
              <w:rPr>
                <w:rFonts w:ascii="TimesNewRoman" w:hAnsi="宋体" w:hint="eastAsia"/>
                <w:b/>
                <w:color w:val="000000" w:themeColor="text1"/>
                <w:sz w:val="24"/>
                <w:szCs w:val="24"/>
              </w:rPr>
            </w:pPr>
            <w:bookmarkStart w:id="0" w:name="_Hlk229560418"/>
            <w:r w:rsidRPr="003461EA">
              <w:rPr>
                <w:rFonts w:ascii="TimesNewRoman" w:hAnsi="宋体" w:hint="eastAsia"/>
                <w:b/>
                <w:color w:val="000000" w:themeColor="text1"/>
                <w:sz w:val="24"/>
                <w:szCs w:val="24"/>
              </w:rPr>
              <w:t>投资者关系活动主要内容介绍</w:t>
            </w:r>
          </w:p>
        </w:tc>
        <w:tc>
          <w:tcPr>
            <w:tcW w:w="7117" w:type="dxa"/>
            <w:vAlign w:val="center"/>
          </w:tcPr>
          <w:p w14:paraId="13A82AC8" w14:textId="575E519A" w:rsidR="003E71C4" w:rsidRPr="003E71C4" w:rsidRDefault="003E71C4" w:rsidP="003E71C4">
            <w:pPr>
              <w:spacing w:line="480" w:lineRule="atLeas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公司相关人员带领投资人参观了公司工厂并介绍了公司的基本情况及战略布局，同时就以下问题同投资者进行了交流：</w:t>
            </w:r>
          </w:p>
          <w:p w14:paraId="2517B468" w14:textId="271F241F" w:rsidR="0042303C" w:rsidRDefault="00365D67">
            <w:pPr>
              <w:numPr>
                <w:ilvl w:val="0"/>
                <w:numId w:val="1"/>
              </w:numPr>
              <w:spacing w:line="480" w:lineRule="atLeast"/>
              <w:rPr>
                <w:rFonts w:asciiTheme="minorEastAsia" w:eastAsiaTheme="minorEastAsia" w:hAnsiTheme="minorEastAsia" w:cstheme="minorEastAsia" w:hint="eastAsia"/>
                <w:sz w:val="24"/>
                <w:szCs w:val="24"/>
              </w:rPr>
            </w:pPr>
            <w:r w:rsidRPr="003461EA">
              <w:rPr>
                <w:rFonts w:asciiTheme="minorEastAsia" w:eastAsiaTheme="minorEastAsia" w:hAnsiTheme="minorEastAsia" w:cstheme="minorEastAsia" w:hint="eastAsia"/>
                <w:b/>
                <w:bCs/>
                <w:sz w:val="24"/>
                <w:szCs w:val="24"/>
              </w:rPr>
              <w:t>提问：</w:t>
            </w:r>
            <w:r w:rsidR="004174DC" w:rsidRPr="004174DC">
              <w:rPr>
                <w:rFonts w:asciiTheme="minorEastAsia" w:eastAsiaTheme="minorEastAsia" w:hAnsiTheme="minorEastAsia" w:cstheme="minorEastAsia" w:hint="eastAsia"/>
                <w:b/>
                <w:bCs/>
                <w:sz w:val="24"/>
                <w:szCs w:val="24"/>
              </w:rPr>
              <w:t>公司布局具身智能的核心逻辑是什么，以及该布局将给公司业务、商业模式带来哪些改变？</w:t>
            </w:r>
          </w:p>
          <w:p w14:paraId="679ECD7D" w14:textId="77777777" w:rsidR="004174DC" w:rsidRPr="004174DC" w:rsidRDefault="00365D67" w:rsidP="004174DC">
            <w:pPr>
              <w:spacing w:line="480" w:lineRule="atLeast"/>
              <w:rPr>
                <w:rFonts w:asciiTheme="minorEastAsia" w:eastAsiaTheme="minorEastAsia" w:hAnsiTheme="minorEastAsia" w:cstheme="minorEastAsia" w:hint="eastAsia"/>
                <w:sz w:val="24"/>
                <w:szCs w:val="24"/>
              </w:rPr>
            </w:pPr>
            <w:r w:rsidRPr="003461EA">
              <w:rPr>
                <w:rFonts w:asciiTheme="minorEastAsia" w:eastAsiaTheme="minorEastAsia" w:hAnsiTheme="minorEastAsia" w:cstheme="minorEastAsia" w:hint="eastAsia"/>
                <w:sz w:val="24"/>
                <w:szCs w:val="24"/>
              </w:rPr>
              <w:t>回答：</w:t>
            </w:r>
            <w:r w:rsidR="004174DC" w:rsidRPr="004174DC">
              <w:rPr>
                <w:rFonts w:asciiTheme="minorEastAsia" w:eastAsiaTheme="minorEastAsia" w:hAnsiTheme="minorEastAsia" w:cstheme="minorEastAsia" w:hint="eastAsia"/>
                <w:sz w:val="24"/>
                <w:szCs w:val="24"/>
              </w:rPr>
              <w:t>公司布局具身智能核心是依托工业智能制造底层体系，解决传统自动化非标、人力、规模化难题，核心分三大逻辑：</w:t>
            </w:r>
          </w:p>
          <w:p w14:paraId="523E31B1" w14:textId="77777777" w:rsidR="004174DC" w:rsidRPr="004174DC" w:rsidRDefault="004174DC" w:rsidP="004174DC">
            <w:pPr>
              <w:spacing w:line="480" w:lineRule="atLeast"/>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t>一、替代产线人工，缓解制造用工痛点</w:t>
            </w:r>
          </w:p>
          <w:p w14:paraId="370521C0" w14:textId="77777777" w:rsidR="004174DC" w:rsidRPr="004174DC" w:rsidRDefault="004174DC" w:rsidP="004174DC">
            <w:pPr>
              <w:spacing w:line="480" w:lineRule="atLeast"/>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lastRenderedPageBreak/>
              <w:t>传统产线柔性装配、物料转运、巡检等工位离不开人工，行业长期存在招工难、人力成本攀升、人员流失问题。工业具身智能体泛化能力强，可覆盖上料、插接、转运、质检等重复工位，完整落地机器换人，削减人力开支，支持全天候多班生产，提升产线稼动效率。</w:t>
            </w:r>
          </w:p>
          <w:p w14:paraId="5AECA368" w14:textId="77777777" w:rsidR="004174DC" w:rsidRPr="004174DC" w:rsidRDefault="004174DC" w:rsidP="004174DC">
            <w:pPr>
              <w:spacing w:line="480" w:lineRule="atLeast"/>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t>二、重塑产线模式，破解非标规模化难题</w:t>
            </w:r>
          </w:p>
          <w:p w14:paraId="4345B2C2" w14:textId="77777777" w:rsidR="004174DC" w:rsidRPr="004174DC" w:rsidRDefault="004174DC" w:rsidP="004174DC">
            <w:pPr>
              <w:spacing w:line="480" w:lineRule="atLeast"/>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t>传统自动化为定制化项目模式，不同产品需单独设计调试产线，周期长、边际成本高、难形成规模。具身智能执行端可替代专属定制工站，标准化机器人搭配可快速迁移工艺软件，无需大幅改造硬件即可切换生产品类，把非标项目业务转化为可复制的标准化软硬件业务，压缩交付周期、摊薄成本，实现跨场景规模效应。</w:t>
            </w:r>
          </w:p>
          <w:p w14:paraId="63E79E7B" w14:textId="77777777" w:rsidR="004174DC" w:rsidRPr="004174DC" w:rsidRDefault="004174DC" w:rsidP="004174DC">
            <w:pPr>
              <w:spacing w:line="480" w:lineRule="atLeast"/>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t>三、搭建工业数据飞轮，完成战略层级跃迁</w:t>
            </w:r>
          </w:p>
          <w:p w14:paraId="47B7C500" w14:textId="77777777" w:rsidR="004174DC" w:rsidRPr="004174DC" w:rsidRDefault="004174DC" w:rsidP="004174DC">
            <w:pPr>
              <w:spacing w:line="480" w:lineRule="atLeast"/>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t>依托六十余年积累的工艺数据打造技术壁垒，形成三重升级：</w:t>
            </w:r>
          </w:p>
          <w:p w14:paraId="700D758D" w14:textId="77777777" w:rsidR="004174DC" w:rsidRPr="004174DC" w:rsidRDefault="004174DC" w:rsidP="004174DC">
            <w:pPr>
              <w:spacing w:line="480" w:lineRule="atLeast"/>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t>1.技术迭代闭环</w:t>
            </w:r>
          </w:p>
          <w:p w14:paraId="4F639948" w14:textId="77777777" w:rsidR="004174DC" w:rsidRPr="004174DC" w:rsidRDefault="004174DC" w:rsidP="004174DC">
            <w:pPr>
              <w:spacing w:line="480" w:lineRule="atLeast"/>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t>产线运行持续采集力控、视觉、位姿等稀缺工业数据，反哺AI大模型与工艺算法，形成场景-数据-算法优化的自进化飞轮；</w:t>
            </w:r>
          </w:p>
          <w:p w14:paraId="3AFC511F" w14:textId="77777777" w:rsidR="004174DC" w:rsidRPr="004174DC" w:rsidRDefault="004174DC" w:rsidP="004174DC">
            <w:pPr>
              <w:spacing w:line="480" w:lineRule="atLeast"/>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t>2.商业模式升级</w:t>
            </w:r>
          </w:p>
          <w:p w14:paraId="7CC0F6AA" w14:textId="77777777" w:rsidR="004174DC" w:rsidRPr="004174DC" w:rsidRDefault="004174DC" w:rsidP="004174DC">
            <w:pPr>
              <w:spacing w:line="480" w:lineRule="atLeast"/>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t>摆脱装备一次性项目收入模式，依托数据平台构建长期可持续的数据增值业务，深度切入工业智能底层体系；</w:t>
            </w:r>
          </w:p>
          <w:p w14:paraId="11C3C0E3" w14:textId="77777777" w:rsidR="004174DC" w:rsidRPr="004174DC" w:rsidRDefault="004174DC" w:rsidP="004174DC">
            <w:pPr>
              <w:spacing w:line="480" w:lineRule="atLeast"/>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t>3.拓宽赛道边界</w:t>
            </w:r>
          </w:p>
          <w:p w14:paraId="1DCB71F3" w14:textId="77777777" w:rsidR="004174DC" w:rsidRPr="004174DC" w:rsidRDefault="004174DC" w:rsidP="004174DC">
            <w:pPr>
              <w:spacing w:line="480" w:lineRule="atLeast"/>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t>成熟的具身智能技术可横向复制至储能、医疗、消费等高端制造赛道，对冲单一行业周期，搭建AI+泛智能装备平台化布局。</w:t>
            </w:r>
          </w:p>
          <w:p w14:paraId="616CAA5D" w14:textId="20DF3492" w:rsidR="0042303C" w:rsidRDefault="004174DC" w:rsidP="004174DC">
            <w:pPr>
              <w:spacing w:line="480" w:lineRule="atLeast"/>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t>公司通过机器人研究院、机器人产业平台、数据采集平台、开源生态搭建完整闭环，让产线从单纯制造终端变为物理AI技术枢纽，完成从装备集成商到工业智能基础设施提供者的定位升级。</w:t>
            </w:r>
          </w:p>
          <w:p w14:paraId="00A4CB17" w14:textId="77777777" w:rsidR="004174DC" w:rsidRPr="004174DC" w:rsidRDefault="004174DC" w:rsidP="004174DC">
            <w:pPr>
              <w:spacing w:line="480" w:lineRule="atLeast"/>
              <w:rPr>
                <w:rFonts w:asciiTheme="minorEastAsia" w:eastAsiaTheme="minorEastAsia" w:hAnsiTheme="minorEastAsia" w:cstheme="minorEastAsia" w:hint="eastAsia"/>
                <w:sz w:val="24"/>
                <w:szCs w:val="24"/>
              </w:rPr>
            </w:pPr>
          </w:p>
          <w:p w14:paraId="15C39DBE" w14:textId="0A363CD4" w:rsidR="0042303C" w:rsidRDefault="00365D67">
            <w:pPr>
              <w:numPr>
                <w:ilvl w:val="0"/>
                <w:numId w:val="1"/>
              </w:numPr>
              <w:spacing w:line="480" w:lineRule="atLeast"/>
              <w:rPr>
                <w:rFonts w:asciiTheme="minorEastAsia" w:eastAsiaTheme="minorEastAsia" w:hAnsiTheme="minorEastAsia" w:cstheme="minorEastAsia" w:hint="eastAsia"/>
                <w:sz w:val="24"/>
                <w:szCs w:val="24"/>
              </w:rPr>
            </w:pPr>
            <w:r w:rsidRPr="003461EA">
              <w:rPr>
                <w:rFonts w:asciiTheme="minorEastAsia" w:eastAsiaTheme="minorEastAsia" w:hAnsiTheme="minorEastAsia" w:cstheme="minorEastAsia" w:hint="eastAsia"/>
                <w:b/>
                <w:bCs/>
                <w:sz w:val="24"/>
                <w:szCs w:val="24"/>
              </w:rPr>
              <w:t>提问：</w:t>
            </w:r>
            <w:r w:rsidR="004174DC" w:rsidRPr="004174DC">
              <w:rPr>
                <w:rFonts w:asciiTheme="minorEastAsia" w:eastAsiaTheme="minorEastAsia" w:hAnsiTheme="minorEastAsia" w:cstheme="minorEastAsia" w:hint="eastAsia"/>
                <w:b/>
                <w:bCs/>
                <w:sz w:val="24"/>
                <w:szCs w:val="24"/>
              </w:rPr>
              <w:t>公司近期发布的PrimusForge具身智能数据平台有什么核心优势？</w:t>
            </w:r>
          </w:p>
          <w:p w14:paraId="5B8F7F05" w14:textId="5703566B" w:rsidR="004174DC" w:rsidRPr="004174DC" w:rsidRDefault="00365D67" w:rsidP="004174DC">
            <w:pPr>
              <w:spacing w:line="360" w:lineRule="auto"/>
              <w:rPr>
                <w:rFonts w:asciiTheme="minorEastAsia" w:eastAsiaTheme="minorEastAsia" w:hAnsiTheme="minorEastAsia" w:cstheme="minorEastAsia" w:hint="eastAsia"/>
                <w:sz w:val="24"/>
                <w:szCs w:val="24"/>
              </w:rPr>
            </w:pPr>
            <w:r w:rsidRPr="003461EA">
              <w:rPr>
                <w:rFonts w:asciiTheme="minorEastAsia" w:eastAsiaTheme="minorEastAsia" w:hAnsiTheme="minorEastAsia" w:cstheme="minorEastAsia" w:hint="eastAsia"/>
                <w:sz w:val="24"/>
                <w:szCs w:val="24"/>
              </w:rPr>
              <w:t>回答：</w:t>
            </w:r>
            <w:r w:rsidR="004174DC" w:rsidRPr="004174DC">
              <w:rPr>
                <w:rFonts w:asciiTheme="minorEastAsia" w:eastAsiaTheme="minorEastAsia" w:hAnsiTheme="minorEastAsia" w:cstheme="minorEastAsia" w:hint="eastAsia"/>
                <w:sz w:val="24"/>
                <w:szCs w:val="24"/>
              </w:rPr>
              <w:t>PrimusForge工业具身智能数据平台构建了从采集到质检、标注、训练、测评、部署的具身数据全链路闭环。同期还发布</w:t>
            </w:r>
            <w:r w:rsidR="00577188">
              <w:rPr>
                <w:rFonts w:asciiTheme="minorEastAsia" w:eastAsiaTheme="minorEastAsia" w:hAnsiTheme="minorEastAsia" w:cstheme="minorEastAsia" w:hint="eastAsia"/>
                <w:sz w:val="24"/>
                <w:szCs w:val="24"/>
              </w:rPr>
              <w:t>了</w:t>
            </w:r>
            <w:r w:rsidR="004174DC" w:rsidRPr="004174DC">
              <w:rPr>
                <w:rFonts w:asciiTheme="minorEastAsia" w:eastAsiaTheme="minorEastAsia" w:hAnsiTheme="minorEastAsia" w:cstheme="minorEastAsia" w:hint="eastAsia"/>
                <w:sz w:val="24"/>
                <w:szCs w:val="24"/>
              </w:rPr>
              <w:lastRenderedPageBreak/>
              <w:t>PrimusEgo数据采集设备，面向工业场景，可以将生产流程直接转化为数据资产。其核心价值有两点：</w:t>
            </w:r>
          </w:p>
          <w:p w14:paraId="2B08C353" w14:textId="77777777" w:rsidR="004174DC" w:rsidRPr="004174DC" w:rsidRDefault="004174DC" w:rsidP="004174DC">
            <w:pPr>
              <w:spacing w:line="360" w:lineRule="auto"/>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t>一、构筑独家工业数据护城河</w:t>
            </w:r>
          </w:p>
          <w:p w14:paraId="0A3A1F32" w14:textId="77777777" w:rsidR="004174DC" w:rsidRPr="004174DC" w:rsidRDefault="004174DC" w:rsidP="004174DC">
            <w:pPr>
              <w:spacing w:line="360" w:lineRule="auto"/>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t>依托云边协同架构，机器人现场同步采集多模态作业数据；搭配SAM3、DA3前沿视觉基础模型组合，做到80%标注工序无需人工，自动清洗对齐工业原始数据。依托公司海量产线持续沉淀稀缺工业数据集，数据回流迭代具身大模型，形成越用越强大的数据飞轮，可解决行业缺高质量工业数据的核心痛点。</w:t>
            </w:r>
          </w:p>
          <w:p w14:paraId="72CB850C" w14:textId="77777777" w:rsidR="004174DC" w:rsidRPr="004174DC" w:rsidRDefault="004174DC" w:rsidP="004174DC">
            <w:pPr>
              <w:spacing w:line="360" w:lineRule="auto"/>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t>二、开辟持续性数据增值业务</w:t>
            </w:r>
          </w:p>
          <w:p w14:paraId="6889A004" w14:textId="04BC0CEE" w:rsidR="00972EF6" w:rsidRPr="004174DC" w:rsidRDefault="004174DC" w:rsidP="004174DC">
            <w:pPr>
              <w:spacing w:line="360" w:lineRule="auto"/>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t>平台覆盖机器人整机厂、AI实验室、方案商、高校、制造企业多层客户，未来可售卖标准化数据集、开放平台订阅、提供数据加工服务。</w:t>
            </w:r>
          </w:p>
          <w:p w14:paraId="2957AD9C" w14:textId="77777777" w:rsidR="00DA13F3" w:rsidRDefault="00DA13F3" w:rsidP="00F3154B">
            <w:pPr>
              <w:spacing w:line="360" w:lineRule="auto"/>
              <w:rPr>
                <w:rFonts w:asciiTheme="minorEastAsia" w:eastAsiaTheme="minorEastAsia" w:hAnsiTheme="minorEastAsia" w:cstheme="minorEastAsia" w:hint="eastAsia"/>
                <w:sz w:val="24"/>
                <w:szCs w:val="24"/>
              </w:rPr>
            </w:pPr>
          </w:p>
          <w:p w14:paraId="16A7119E" w14:textId="47C10084" w:rsidR="00DA13F3" w:rsidRDefault="00DA13F3" w:rsidP="00DA13F3">
            <w:pPr>
              <w:numPr>
                <w:ilvl w:val="0"/>
                <w:numId w:val="1"/>
              </w:numPr>
              <w:spacing w:line="480" w:lineRule="atLeast"/>
              <w:rPr>
                <w:rFonts w:asciiTheme="minorEastAsia" w:eastAsiaTheme="minorEastAsia" w:hAnsiTheme="minorEastAsia" w:cstheme="minorEastAsia" w:hint="eastAsia"/>
                <w:b/>
                <w:bCs/>
                <w:sz w:val="24"/>
                <w:szCs w:val="24"/>
              </w:rPr>
            </w:pPr>
            <w:r w:rsidRPr="00DA13F3">
              <w:rPr>
                <w:rFonts w:asciiTheme="minorEastAsia" w:eastAsiaTheme="minorEastAsia" w:hAnsiTheme="minorEastAsia" w:cstheme="minorEastAsia" w:hint="eastAsia"/>
                <w:b/>
                <w:bCs/>
                <w:sz w:val="24"/>
                <w:szCs w:val="24"/>
              </w:rPr>
              <w:t>提问：</w:t>
            </w:r>
            <w:r w:rsidR="004174DC" w:rsidRPr="004174DC">
              <w:rPr>
                <w:rFonts w:asciiTheme="minorEastAsia" w:eastAsiaTheme="minorEastAsia" w:hAnsiTheme="minorEastAsia" w:cstheme="minorEastAsia" w:hint="eastAsia"/>
                <w:b/>
                <w:bCs/>
                <w:sz w:val="24"/>
                <w:szCs w:val="24"/>
              </w:rPr>
              <w:t>WAIC展出的多机协同BMS中试产线，相比行业其他具身机器人的特点？</w:t>
            </w:r>
          </w:p>
          <w:p w14:paraId="42603A03" w14:textId="593E2797" w:rsidR="004174DC" w:rsidRDefault="00DA13F3" w:rsidP="004174DC">
            <w:pPr>
              <w:spacing w:line="360" w:lineRule="auto"/>
              <w:rPr>
                <w:rFonts w:asciiTheme="minorEastAsia" w:eastAsiaTheme="minorEastAsia" w:hAnsiTheme="minorEastAsia" w:cstheme="minorEastAsia" w:hint="eastAsia"/>
                <w:sz w:val="24"/>
                <w:szCs w:val="24"/>
              </w:rPr>
            </w:pPr>
            <w:r w:rsidRPr="00DA13F3">
              <w:rPr>
                <w:rFonts w:asciiTheme="minorEastAsia" w:eastAsiaTheme="minorEastAsia" w:hAnsiTheme="minorEastAsia" w:cstheme="minorEastAsia" w:hint="eastAsia"/>
                <w:sz w:val="24"/>
                <w:szCs w:val="24"/>
              </w:rPr>
              <w:t>回答：</w:t>
            </w:r>
            <w:r w:rsidR="004174DC">
              <w:rPr>
                <w:rFonts w:asciiTheme="minorEastAsia" w:eastAsiaTheme="minorEastAsia" w:hAnsiTheme="minorEastAsia" w:cstheme="minorEastAsia" w:hint="eastAsia"/>
                <w:sz w:val="24"/>
                <w:szCs w:val="24"/>
              </w:rPr>
              <w:t>主要有以下三点：</w:t>
            </w:r>
          </w:p>
          <w:p w14:paraId="7C439176" w14:textId="5C18E6EF" w:rsidR="004174DC" w:rsidRPr="004174DC" w:rsidRDefault="004174DC" w:rsidP="004174DC">
            <w:pPr>
              <w:spacing w:line="360" w:lineRule="auto"/>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t>一、真正量产级落地，而非概念演示</w:t>
            </w:r>
          </w:p>
          <w:p w14:paraId="47306642" w14:textId="77777777" w:rsidR="004174DC" w:rsidRPr="004174DC" w:rsidRDefault="004174DC" w:rsidP="004174DC">
            <w:pPr>
              <w:spacing w:line="360" w:lineRule="auto"/>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t>行业多数厂商仅单机展示动作，本产线完成上万小时不间断实测，整个产线由6台G2机器人全工序协同，7×24小时无人生产，运行稳定率99.9%、单工序节拍≤70秒，满足工厂量产标准。</w:t>
            </w:r>
          </w:p>
          <w:p w14:paraId="26CFDEB3" w14:textId="77777777" w:rsidR="004174DC" w:rsidRPr="004174DC" w:rsidRDefault="004174DC" w:rsidP="004174DC">
            <w:pPr>
              <w:spacing w:line="360" w:lineRule="auto"/>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t>二、六层全栈技术体系，覆盖软硬件、数据、工艺</w:t>
            </w:r>
          </w:p>
          <w:p w14:paraId="0F9F4203" w14:textId="77777777" w:rsidR="004174DC" w:rsidRPr="004174DC" w:rsidRDefault="004174DC" w:rsidP="004174DC">
            <w:pPr>
              <w:spacing w:line="360" w:lineRule="auto"/>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t>区别于纯算法或单纯硬件厂商，我们拥有完整六层全栈技术体系：自产G2机器人硬件、JIK零代码开发套件、标准化工业工艺库、PIA视觉+LineGPT工业大模型、PrimusForge数据闭环平台、自建中试验证基地，一站式解决多机调度、精密装配、产线换型慢三大行业痛点。</w:t>
            </w:r>
          </w:p>
          <w:p w14:paraId="6BB41D6B" w14:textId="77777777" w:rsidR="004174DC" w:rsidRPr="004174DC" w:rsidRDefault="004174DC" w:rsidP="004174DC">
            <w:pPr>
              <w:spacing w:line="360" w:lineRule="auto"/>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t>三、方案可标准化复制</w:t>
            </w:r>
          </w:p>
          <w:p w14:paraId="09EC2CA2" w14:textId="77D971C7" w:rsidR="00B677CC" w:rsidRPr="004174DC" w:rsidRDefault="004174DC" w:rsidP="004174DC">
            <w:pPr>
              <w:spacing w:line="360" w:lineRule="auto"/>
              <w:rPr>
                <w:rFonts w:asciiTheme="minorEastAsia" w:eastAsiaTheme="minorEastAsia" w:hAnsiTheme="minorEastAsia" w:cstheme="minorEastAsia" w:hint="eastAsia"/>
                <w:sz w:val="24"/>
                <w:szCs w:val="24"/>
              </w:rPr>
            </w:pPr>
            <w:r w:rsidRPr="004174DC">
              <w:rPr>
                <w:rFonts w:asciiTheme="minorEastAsia" w:eastAsiaTheme="minorEastAsia" w:hAnsiTheme="minorEastAsia" w:cstheme="minorEastAsia" w:hint="eastAsia"/>
                <w:sz w:val="24"/>
                <w:szCs w:val="24"/>
              </w:rPr>
              <w:t>依托沉淀六十年制造工艺，把非标产线转化为具身智能解决方案，除汽车BMS外，可快速拓展至3C、医疗、仓储多赛道，具备批量商</w:t>
            </w:r>
            <w:r w:rsidRPr="004174DC">
              <w:rPr>
                <w:rFonts w:asciiTheme="minorEastAsia" w:eastAsiaTheme="minorEastAsia" w:hAnsiTheme="minorEastAsia" w:cstheme="minorEastAsia" w:hint="eastAsia"/>
                <w:sz w:val="24"/>
                <w:szCs w:val="24"/>
              </w:rPr>
              <w:lastRenderedPageBreak/>
              <w:t>业化交付能力。</w:t>
            </w:r>
          </w:p>
          <w:p w14:paraId="18A49DC1" w14:textId="766FCC03" w:rsidR="0042303C" w:rsidRPr="003C3709" w:rsidRDefault="003C3709" w:rsidP="0042303C">
            <w:pPr>
              <w:spacing w:line="480" w:lineRule="atLeast"/>
              <w:rPr>
                <w:rFonts w:asciiTheme="minorEastAsia" w:eastAsiaTheme="minorEastAsia" w:hAnsiTheme="minorEastAsia" w:cstheme="minorEastAsia" w:hint="eastAsia"/>
                <w:b/>
                <w:bCs/>
                <w:sz w:val="24"/>
                <w:szCs w:val="24"/>
              </w:rPr>
            </w:pPr>
            <w:r w:rsidRPr="003C3709">
              <w:rPr>
                <w:rFonts w:asciiTheme="minorEastAsia" w:eastAsiaTheme="minorEastAsia" w:hAnsiTheme="minorEastAsia" w:cstheme="minorEastAsia" w:hint="eastAsia"/>
                <w:b/>
                <w:bCs/>
                <w:sz w:val="24"/>
                <w:szCs w:val="24"/>
              </w:rPr>
              <w:t>本次活动没有涉及应披露重大信息的情况。</w:t>
            </w:r>
          </w:p>
        </w:tc>
      </w:tr>
      <w:bookmarkEnd w:id="0"/>
      <w:tr w:rsidR="00823BD4" w:rsidRPr="003461EA" w14:paraId="1417BFEA" w14:textId="77777777">
        <w:trPr>
          <w:jc w:val="center"/>
        </w:trPr>
        <w:tc>
          <w:tcPr>
            <w:tcW w:w="1908" w:type="dxa"/>
          </w:tcPr>
          <w:p w14:paraId="44C2A6FE" w14:textId="77777777" w:rsidR="00823BD4" w:rsidRDefault="00365D67">
            <w:pPr>
              <w:spacing w:line="480" w:lineRule="atLeast"/>
              <w:rPr>
                <w:rFonts w:ascii="TimesNewRoman" w:hAnsi="宋体" w:hint="eastAsia"/>
                <w:b/>
                <w:color w:val="000000" w:themeColor="text1"/>
                <w:sz w:val="24"/>
                <w:szCs w:val="24"/>
              </w:rPr>
            </w:pPr>
            <w:r w:rsidRPr="003461EA">
              <w:rPr>
                <w:rFonts w:ascii="TimesNewRoman" w:hAnsi="宋体" w:hint="eastAsia"/>
                <w:b/>
                <w:color w:val="000000" w:themeColor="text1"/>
                <w:sz w:val="24"/>
                <w:szCs w:val="24"/>
              </w:rPr>
              <w:lastRenderedPageBreak/>
              <w:t>附件清单（如有）</w:t>
            </w:r>
          </w:p>
          <w:p w14:paraId="2B1B797F" w14:textId="77777777" w:rsidR="00C7263A" w:rsidRPr="003461EA" w:rsidRDefault="00C7263A">
            <w:pPr>
              <w:spacing w:line="480" w:lineRule="atLeast"/>
              <w:rPr>
                <w:rFonts w:ascii="TimesNewRoman" w:hAnsi="宋体" w:hint="eastAsia"/>
                <w:b/>
                <w:color w:val="000000" w:themeColor="text1"/>
                <w:sz w:val="24"/>
                <w:szCs w:val="24"/>
              </w:rPr>
            </w:pPr>
          </w:p>
        </w:tc>
        <w:tc>
          <w:tcPr>
            <w:tcW w:w="7117" w:type="dxa"/>
          </w:tcPr>
          <w:p w14:paraId="5810B5B5" w14:textId="77777777" w:rsidR="00823BD4" w:rsidRPr="003461EA" w:rsidRDefault="00365D67">
            <w:pPr>
              <w:tabs>
                <w:tab w:val="left" w:pos="854"/>
              </w:tabs>
              <w:spacing w:line="480" w:lineRule="atLeast"/>
              <w:rPr>
                <w:rFonts w:ascii="TimesNewRoman" w:hAnsi="宋体" w:hint="eastAsia"/>
                <w:color w:val="000000" w:themeColor="text1"/>
                <w:sz w:val="24"/>
                <w:szCs w:val="24"/>
              </w:rPr>
            </w:pPr>
            <w:r w:rsidRPr="003461EA">
              <w:rPr>
                <w:rFonts w:ascii="TimesNewRoman" w:hAnsi="宋体" w:hint="eastAsia"/>
                <w:color w:val="000000" w:themeColor="text1"/>
                <w:sz w:val="24"/>
                <w:szCs w:val="24"/>
              </w:rPr>
              <w:t>无</w:t>
            </w:r>
            <w:r w:rsidRPr="003461EA">
              <w:rPr>
                <w:rFonts w:ascii="TimesNewRoman" w:hAnsi="宋体" w:hint="eastAsia"/>
                <w:color w:val="000000" w:themeColor="text1"/>
                <w:sz w:val="24"/>
                <w:szCs w:val="24"/>
              </w:rPr>
              <w:tab/>
            </w:r>
          </w:p>
        </w:tc>
      </w:tr>
      <w:tr w:rsidR="00823BD4" w:rsidRPr="003461EA" w14:paraId="19DCDEF8" w14:textId="77777777">
        <w:trPr>
          <w:jc w:val="center"/>
        </w:trPr>
        <w:tc>
          <w:tcPr>
            <w:tcW w:w="1908" w:type="dxa"/>
            <w:vAlign w:val="center"/>
          </w:tcPr>
          <w:p w14:paraId="6E2A41B5" w14:textId="77777777" w:rsidR="00823BD4" w:rsidRPr="003461EA" w:rsidRDefault="00365D67">
            <w:pPr>
              <w:spacing w:line="480" w:lineRule="atLeast"/>
              <w:rPr>
                <w:rFonts w:ascii="TimesNewRoman" w:hAnsi="TimesNewRoman" w:hint="eastAsia"/>
                <w:b/>
                <w:color w:val="000000" w:themeColor="text1"/>
                <w:sz w:val="24"/>
                <w:szCs w:val="24"/>
              </w:rPr>
            </w:pPr>
            <w:r w:rsidRPr="003461EA">
              <w:rPr>
                <w:rFonts w:ascii="TimesNewRoman" w:hAnsi="宋体" w:hint="eastAsia"/>
                <w:b/>
                <w:color w:val="000000" w:themeColor="text1"/>
                <w:sz w:val="24"/>
                <w:szCs w:val="24"/>
              </w:rPr>
              <w:t>日期</w:t>
            </w:r>
          </w:p>
        </w:tc>
        <w:tc>
          <w:tcPr>
            <w:tcW w:w="7117" w:type="dxa"/>
          </w:tcPr>
          <w:p w14:paraId="6627A474" w14:textId="4C1F4CED" w:rsidR="00823BD4" w:rsidRPr="003461EA" w:rsidRDefault="00365D67">
            <w:pPr>
              <w:spacing w:line="480" w:lineRule="atLeast"/>
              <w:rPr>
                <w:rFonts w:ascii="TimesNewRoman" w:hAnsi="TimesNewRoman" w:hint="eastAsia"/>
                <w:color w:val="000000" w:themeColor="text1"/>
                <w:sz w:val="24"/>
                <w:szCs w:val="24"/>
              </w:rPr>
            </w:pPr>
            <w:r w:rsidRPr="003461EA">
              <w:rPr>
                <w:rFonts w:ascii="TimesNewRoman" w:hAnsi="宋体" w:hint="eastAsia"/>
                <w:color w:val="000000" w:themeColor="text1"/>
                <w:sz w:val="24"/>
                <w:szCs w:val="24"/>
              </w:rPr>
              <w:t>2</w:t>
            </w:r>
            <w:r w:rsidRPr="003461EA">
              <w:rPr>
                <w:rFonts w:ascii="TimesNewRoman" w:hAnsi="宋体"/>
                <w:color w:val="000000" w:themeColor="text1"/>
                <w:sz w:val="24"/>
                <w:szCs w:val="24"/>
              </w:rPr>
              <w:t>02</w:t>
            </w:r>
            <w:r w:rsidR="00DA13F3">
              <w:rPr>
                <w:rFonts w:ascii="TimesNewRoman" w:hAnsi="宋体" w:hint="eastAsia"/>
                <w:color w:val="000000" w:themeColor="text1"/>
                <w:sz w:val="24"/>
                <w:szCs w:val="24"/>
              </w:rPr>
              <w:t>6</w:t>
            </w:r>
            <w:r w:rsidRPr="003461EA">
              <w:rPr>
                <w:rFonts w:ascii="TimesNewRoman" w:hAnsi="宋体" w:hint="eastAsia"/>
                <w:color w:val="000000" w:themeColor="text1"/>
                <w:sz w:val="24"/>
                <w:szCs w:val="24"/>
              </w:rPr>
              <w:t>年</w:t>
            </w:r>
            <w:r w:rsidR="004174DC">
              <w:rPr>
                <w:rFonts w:ascii="TimesNewRoman" w:hAnsi="宋体" w:hint="eastAsia"/>
                <w:color w:val="000000" w:themeColor="text1"/>
                <w:sz w:val="24"/>
                <w:szCs w:val="24"/>
              </w:rPr>
              <w:t>7</w:t>
            </w:r>
            <w:r w:rsidRPr="003461EA">
              <w:rPr>
                <w:rFonts w:ascii="TimesNewRoman" w:hAnsi="宋体" w:hint="eastAsia"/>
                <w:color w:val="000000" w:themeColor="text1"/>
                <w:sz w:val="24"/>
                <w:szCs w:val="24"/>
              </w:rPr>
              <w:t>月</w:t>
            </w:r>
            <w:r w:rsidR="004174DC">
              <w:rPr>
                <w:rFonts w:ascii="TimesNewRoman" w:hAnsi="宋体" w:hint="eastAsia"/>
                <w:color w:val="000000" w:themeColor="text1"/>
                <w:sz w:val="24"/>
                <w:szCs w:val="24"/>
              </w:rPr>
              <w:t>21</w:t>
            </w:r>
            <w:r w:rsidRPr="003461EA">
              <w:rPr>
                <w:rFonts w:ascii="TimesNewRoman" w:hAnsi="宋体" w:hint="eastAsia"/>
                <w:color w:val="000000" w:themeColor="text1"/>
                <w:sz w:val="24"/>
                <w:szCs w:val="24"/>
              </w:rPr>
              <w:t>日</w:t>
            </w:r>
          </w:p>
        </w:tc>
      </w:tr>
    </w:tbl>
    <w:p w14:paraId="496287FD" w14:textId="77777777" w:rsidR="00823BD4" w:rsidRDefault="00823BD4">
      <w:pPr>
        <w:rPr>
          <w:rFonts w:ascii="TimesNewRoman" w:hAnsi="TimesNewRoman" w:hint="eastAsia"/>
          <w:color w:val="000000" w:themeColor="text1"/>
        </w:rPr>
      </w:pPr>
    </w:p>
    <w:sectPr w:rsidR="00823BD4">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3B9A5" w14:textId="77777777" w:rsidR="00C22E37" w:rsidRDefault="00C22E37">
      <w:r>
        <w:separator/>
      </w:r>
    </w:p>
  </w:endnote>
  <w:endnote w:type="continuationSeparator" w:id="0">
    <w:p w14:paraId="12015225" w14:textId="77777777" w:rsidR="00C22E37" w:rsidRDefault="00C2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NewRoman">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Cambria">
    <w:altName w:val="Noto Sans Syriac Easter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555993"/>
    </w:sdtPr>
    <w:sdtContent>
      <w:p w14:paraId="6CBAC4F8" w14:textId="77777777" w:rsidR="00823BD4" w:rsidRDefault="00365D67">
        <w:pPr>
          <w:pStyle w:val="a7"/>
          <w:jc w:val="center"/>
        </w:pPr>
        <w:r>
          <w:fldChar w:fldCharType="begin"/>
        </w:r>
        <w:r>
          <w:instrText>PAGE   \* MERGEFORMAT</w:instrText>
        </w:r>
        <w:r>
          <w:fldChar w:fldCharType="separate"/>
        </w:r>
        <w:r>
          <w:rPr>
            <w:lang w:val="zh-CN"/>
          </w:rPr>
          <w:t>3</w:t>
        </w:r>
        <w:r>
          <w:fldChar w:fldCharType="end"/>
        </w:r>
      </w:p>
    </w:sdtContent>
  </w:sdt>
  <w:p w14:paraId="54235B5F" w14:textId="77777777" w:rsidR="00823BD4" w:rsidRDefault="00823B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D97AF" w14:textId="77777777" w:rsidR="00C22E37" w:rsidRDefault="00C22E37">
      <w:r>
        <w:separator/>
      </w:r>
    </w:p>
  </w:footnote>
  <w:footnote w:type="continuationSeparator" w:id="0">
    <w:p w14:paraId="3ED07C15" w14:textId="77777777" w:rsidR="00C22E37" w:rsidRDefault="00C22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6EB0A"/>
    <w:multiLevelType w:val="singleLevel"/>
    <w:tmpl w:val="8BACF1E6"/>
    <w:lvl w:ilvl="0">
      <w:start w:val="1"/>
      <w:numFmt w:val="decimal"/>
      <w:suff w:val="nothing"/>
      <w:lvlText w:val="%1、"/>
      <w:lvlJc w:val="left"/>
      <w:rPr>
        <w:b/>
        <w:bCs/>
      </w:rPr>
    </w:lvl>
  </w:abstractNum>
  <w:num w:numId="1" w16cid:durableId="64948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QyODEwMzBiYmQ1ZmZkN2NlYjhiNDk2Mjk5ZWVmN2YifQ=="/>
  </w:docVars>
  <w:rsids>
    <w:rsidRoot w:val="00D3704D"/>
    <w:rsid w:val="00007235"/>
    <w:rsid w:val="00007434"/>
    <w:rsid w:val="00007A64"/>
    <w:rsid w:val="0001134B"/>
    <w:rsid w:val="00016D7C"/>
    <w:rsid w:val="000244C5"/>
    <w:rsid w:val="000304EE"/>
    <w:rsid w:val="00036F22"/>
    <w:rsid w:val="00041BD6"/>
    <w:rsid w:val="00045A41"/>
    <w:rsid w:val="000564E1"/>
    <w:rsid w:val="000649C3"/>
    <w:rsid w:val="00081817"/>
    <w:rsid w:val="00082349"/>
    <w:rsid w:val="000846EC"/>
    <w:rsid w:val="000850B9"/>
    <w:rsid w:val="0008567C"/>
    <w:rsid w:val="000963FF"/>
    <w:rsid w:val="000A6856"/>
    <w:rsid w:val="000B0A21"/>
    <w:rsid w:val="000B431E"/>
    <w:rsid w:val="000D0E7C"/>
    <w:rsid w:val="000D29EC"/>
    <w:rsid w:val="000F1006"/>
    <w:rsid w:val="00100FB7"/>
    <w:rsid w:val="00110002"/>
    <w:rsid w:val="001123B3"/>
    <w:rsid w:val="001254C0"/>
    <w:rsid w:val="00132274"/>
    <w:rsid w:val="00134783"/>
    <w:rsid w:val="00136249"/>
    <w:rsid w:val="00136A3B"/>
    <w:rsid w:val="00140353"/>
    <w:rsid w:val="0014748C"/>
    <w:rsid w:val="0015153F"/>
    <w:rsid w:val="0015416D"/>
    <w:rsid w:val="00163F1B"/>
    <w:rsid w:val="001662AD"/>
    <w:rsid w:val="00174E5B"/>
    <w:rsid w:val="001752A3"/>
    <w:rsid w:val="0018028C"/>
    <w:rsid w:val="00181FB2"/>
    <w:rsid w:val="001828EB"/>
    <w:rsid w:val="0018610C"/>
    <w:rsid w:val="00194D2D"/>
    <w:rsid w:val="001A5A36"/>
    <w:rsid w:val="001B477A"/>
    <w:rsid w:val="001C1223"/>
    <w:rsid w:val="001C59B7"/>
    <w:rsid w:val="001C6DC4"/>
    <w:rsid w:val="001D09E1"/>
    <w:rsid w:val="001D0DA3"/>
    <w:rsid w:val="001E0B31"/>
    <w:rsid w:val="001F4725"/>
    <w:rsid w:val="00206444"/>
    <w:rsid w:val="002137E2"/>
    <w:rsid w:val="002245F4"/>
    <w:rsid w:val="002264AA"/>
    <w:rsid w:val="002276A0"/>
    <w:rsid w:val="0023721D"/>
    <w:rsid w:val="002405BF"/>
    <w:rsid w:val="00241ED6"/>
    <w:rsid w:val="00246516"/>
    <w:rsid w:val="00252FA6"/>
    <w:rsid w:val="00256CBC"/>
    <w:rsid w:val="002633B7"/>
    <w:rsid w:val="002713D9"/>
    <w:rsid w:val="002749ED"/>
    <w:rsid w:val="00281C82"/>
    <w:rsid w:val="002910E9"/>
    <w:rsid w:val="002932A1"/>
    <w:rsid w:val="00293B2A"/>
    <w:rsid w:val="002941F4"/>
    <w:rsid w:val="002A5EDA"/>
    <w:rsid w:val="002B2BC2"/>
    <w:rsid w:val="002C249C"/>
    <w:rsid w:val="002C2A88"/>
    <w:rsid w:val="002C6BF0"/>
    <w:rsid w:val="002D60DE"/>
    <w:rsid w:val="002D7AAC"/>
    <w:rsid w:val="002E0F3F"/>
    <w:rsid w:val="002F11E3"/>
    <w:rsid w:val="003017A7"/>
    <w:rsid w:val="00311D91"/>
    <w:rsid w:val="00312019"/>
    <w:rsid w:val="00316A4E"/>
    <w:rsid w:val="00322B99"/>
    <w:rsid w:val="0032749B"/>
    <w:rsid w:val="0033388C"/>
    <w:rsid w:val="00333CEA"/>
    <w:rsid w:val="00337761"/>
    <w:rsid w:val="0034225E"/>
    <w:rsid w:val="003461EA"/>
    <w:rsid w:val="00350008"/>
    <w:rsid w:val="00363EEA"/>
    <w:rsid w:val="00365D67"/>
    <w:rsid w:val="00366D14"/>
    <w:rsid w:val="00370EE6"/>
    <w:rsid w:val="003711B6"/>
    <w:rsid w:val="003854B4"/>
    <w:rsid w:val="003A4BC5"/>
    <w:rsid w:val="003A6AD9"/>
    <w:rsid w:val="003B1A17"/>
    <w:rsid w:val="003B4E90"/>
    <w:rsid w:val="003B678A"/>
    <w:rsid w:val="003C23EA"/>
    <w:rsid w:val="003C3709"/>
    <w:rsid w:val="003D0B0D"/>
    <w:rsid w:val="003D208E"/>
    <w:rsid w:val="003D4D8C"/>
    <w:rsid w:val="003E6CF9"/>
    <w:rsid w:val="003E71C4"/>
    <w:rsid w:val="003F018A"/>
    <w:rsid w:val="003F15D2"/>
    <w:rsid w:val="003F1AE1"/>
    <w:rsid w:val="003F251F"/>
    <w:rsid w:val="00402CC2"/>
    <w:rsid w:val="00415E89"/>
    <w:rsid w:val="00416724"/>
    <w:rsid w:val="004174DC"/>
    <w:rsid w:val="00421CAC"/>
    <w:rsid w:val="00422D27"/>
    <w:rsid w:val="0042303C"/>
    <w:rsid w:val="004401A3"/>
    <w:rsid w:val="004422C1"/>
    <w:rsid w:val="0044659F"/>
    <w:rsid w:val="0044774A"/>
    <w:rsid w:val="004511AD"/>
    <w:rsid w:val="00454CD4"/>
    <w:rsid w:val="00455EC7"/>
    <w:rsid w:val="0046364D"/>
    <w:rsid w:val="00471670"/>
    <w:rsid w:val="00473C72"/>
    <w:rsid w:val="00474CEB"/>
    <w:rsid w:val="0047551A"/>
    <w:rsid w:val="0048666F"/>
    <w:rsid w:val="00490731"/>
    <w:rsid w:val="004A0EBC"/>
    <w:rsid w:val="004A705C"/>
    <w:rsid w:val="004B2D4B"/>
    <w:rsid w:val="004C4573"/>
    <w:rsid w:val="004C57EA"/>
    <w:rsid w:val="004C5D18"/>
    <w:rsid w:val="004C6D8D"/>
    <w:rsid w:val="004D2728"/>
    <w:rsid w:val="004F11A6"/>
    <w:rsid w:val="004F3751"/>
    <w:rsid w:val="004F605B"/>
    <w:rsid w:val="00502D46"/>
    <w:rsid w:val="00506085"/>
    <w:rsid w:val="00511DA7"/>
    <w:rsid w:val="0052046F"/>
    <w:rsid w:val="00526844"/>
    <w:rsid w:val="00532440"/>
    <w:rsid w:val="005341CB"/>
    <w:rsid w:val="005360D7"/>
    <w:rsid w:val="00537F78"/>
    <w:rsid w:val="00550615"/>
    <w:rsid w:val="00551555"/>
    <w:rsid w:val="00572AA7"/>
    <w:rsid w:val="00577188"/>
    <w:rsid w:val="0059469B"/>
    <w:rsid w:val="005A4790"/>
    <w:rsid w:val="005B5582"/>
    <w:rsid w:val="005B6EB0"/>
    <w:rsid w:val="005C1B38"/>
    <w:rsid w:val="005C7F55"/>
    <w:rsid w:val="005E11B8"/>
    <w:rsid w:val="005F06D4"/>
    <w:rsid w:val="00601EB3"/>
    <w:rsid w:val="006057CA"/>
    <w:rsid w:val="00606691"/>
    <w:rsid w:val="00633E3A"/>
    <w:rsid w:val="00647A6E"/>
    <w:rsid w:val="006518E2"/>
    <w:rsid w:val="00664FB0"/>
    <w:rsid w:val="00674522"/>
    <w:rsid w:val="00690777"/>
    <w:rsid w:val="00691AD0"/>
    <w:rsid w:val="006946AA"/>
    <w:rsid w:val="006A52E0"/>
    <w:rsid w:val="006A6F3C"/>
    <w:rsid w:val="006B3223"/>
    <w:rsid w:val="006B6159"/>
    <w:rsid w:val="006C21D6"/>
    <w:rsid w:val="006D42A9"/>
    <w:rsid w:val="006D59F1"/>
    <w:rsid w:val="006E18AA"/>
    <w:rsid w:val="006F05CE"/>
    <w:rsid w:val="006F3FA6"/>
    <w:rsid w:val="0070033E"/>
    <w:rsid w:val="00704870"/>
    <w:rsid w:val="00705C27"/>
    <w:rsid w:val="00717633"/>
    <w:rsid w:val="00722173"/>
    <w:rsid w:val="00727BEB"/>
    <w:rsid w:val="00727C04"/>
    <w:rsid w:val="0073041F"/>
    <w:rsid w:val="0073572A"/>
    <w:rsid w:val="00741124"/>
    <w:rsid w:val="007455B6"/>
    <w:rsid w:val="00746AA1"/>
    <w:rsid w:val="007504E7"/>
    <w:rsid w:val="00750D65"/>
    <w:rsid w:val="00760CA7"/>
    <w:rsid w:val="007640EC"/>
    <w:rsid w:val="0076447D"/>
    <w:rsid w:val="007662F1"/>
    <w:rsid w:val="00777579"/>
    <w:rsid w:val="007821B2"/>
    <w:rsid w:val="007847FE"/>
    <w:rsid w:val="007933A1"/>
    <w:rsid w:val="007944E5"/>
    <w:rsid w:val="007B054E"/>
    <w:rsid w:val="007B1CEE"/>
    <w:rsid w:val="007B641E"/>
    <w:rsid w:val="007B76EC"/>
    <w:rsid w:val="007D4640"/>
    <w:rsid w:val="007D694F"/>
    <w:rsid w:val="007D7DAD"/>
    <w:rsid w:val="007E0E61"/>
    <w:rsid w:val="007E49F6"/>
    <w:rsid w:val="007E737F"/>
    <w:rsid w:val="007E7623"/>
    <w:rsid w:val="008034E4"/>
    <w:rsid w:val="0080366D"/>
    <w:rsid w:val="00812B86"/>
    <w:rsid w:val="00816D5A"/>
    <w:rsid w:val="00822259"/>
    <w:rsid w:val="00823BD4"/>
    <w:rsid w:val="00825D5E"/>
    <w:rsid w:val="00831441"/>
    <w:rsid w:val="00847AFF"/>
    <w:rsid w:val="00847C3F"/>
    <w:rsid w:val="00856EEF"/>
    <w:rsid w:val="00871A26"/>
    <w:rsid w:val="00883D42"/>
    <w:rsid w:val="008909B9"/>
    <w:rsid w:val="008A130A"/>
    <w:rsid w:val="008A13EF"/>
    <w:rsid w:val="008B460B"/>
    <w:rsid w:val="008C175B"/>
    <w:rsid w:val="008C2268"/>
    <w:rsid w:val="008C2CC0"/>
    <w:rsid w:val="008C6760"/>
    <w:rsid w:val="008E1538"/>
    <w:rsid w:val="008E246B"/>
    <w:rsid w:val="008E2BFB"/>
    <w:rsid w:val="008E7682"/>
    <w:rsid w:val="008E76FF"/>
    <w:rsid w:val="008E7984"/>
    <w:rsid w:val="008F1F47"/>
    <w:rsid w:val="008F4155"/>
    <w:rsid w:val="008F6B58"/>
    <w:rsid w:val="008F70F5"/>
    <w:rsid w:val="008F7B85"/>
    <w:rsid w:val="00900C17"/>
    <w:rsid w:val="009027BF"/>
    <w:rsid w:val="009204B8"/>
    <w:rsid w:val="00924D44"/>
    <w:rsid w:val="00930702"/>
    <w:rsid w:val="00932A6C"/>
    <w:rsid w:val="00941380"/>
    <w:rsid w:val="00943D37"/>
    <w:rsid w:val="00943E94"/>
    <w:rsid w:val="00947A75"/>
    <w:rsid w:val="009536D5"/>
    <w:rsid w:val="0095733F"/>
    <w:rsid w:val="00964B56"/>
    <w:rsid w:val="00972EF6"/>
    <w:rsid w:val="00977C54"/>
    <w:rsid w:val="00986394"/>
    <w:rsid w:val="009A2BDB"/>
    <w:rsid w:val="009A64A5"/>
    <w:rsid w:val="009B1061"/>
    <w:rsid w:val="009C0B5A"/>
    <w:rsid w:val="009C50BB"/>
    <w:rsid w:val="009D0B5E"/>
    <w:rsid w:val="009D11B8"/>
    <w:rsid w:val="009D2D7D"/>
    <w:rsid w:val="009D5F85"/>
    <w:rsid w:val="009E0AD4"/>
    <w:rsid w:val="009E1DF1"/>
    <w:rsid w:val="009E68F0"/>
    <w:rsid w:val="009F68B1"/>
    <w:rsid w:val="00A02A37"/>
    <w:rsid w:val="00A0744B"/>
    <w:rsid w:val="00A113FC"/>
    <w:rsid w:val="00A11C23"/>
    <w:rsid w:val="00A30CC8"/>
    <w:rsid w:val="00A4293E"/>
    <w:rsid w:val="00A44D2C"/>
    <w:rsid w:val="00A57249"/>
    <w:rsid w:val="00A60105"/>
    <w:rsid w:val="00A64ABE"/>
    <w:rsid w:val="00A736DB"/>
    <w:rsid w:val="00A7584E"/>
    <w:rsid w:val="00A92AD4"/>
    <w:rsid w:val="00A931C5"/>
    <w:rsid w:val="00AA0E54"/>
    <w:rsid w:val="00AA29AA"/>
    <w:rsid w:val="00AA7CF7"/>
    <w:rsid w:val="00AB6086"/>
    <w:rsid w:val="00AD4C75"/>
    <w:rsid w:val="00AE7FF6"/>
    <w:rsid w:val="00AF688A"/>
    <w:rsid w:val="00AF6F58"/>
    <w:rsid w:val="00B00CDE"/>
    <w:rsid w:val="00B11A28"/>
    <w:rsid w:val="00B246C1"/>
    <w:rsid w:val="00B37BD0"/>
    <w:rsid w:val="00B37DDB"/>
    <w:rsid w:val="00B40F71"/>
    <w:rsid w:val="00B42907"/>
    <w:rsid w:val="00B45FBA"/>
    <w:rsid w:val="00B559A3"/>
    <w:rsid w:val="00B677CC"/>
    <w:rsid w:val="00B7520F"/>
    <w:rsid w:val="00B85DA8"/>
    <w:rsid w:val="00B87599"/>
    <w:rsid w:val="00B90BC3"/>
    <w:rsid w:val="00B90DD9"/>
    <w:rsid w:val="00B90E6B"/>
    <w:rsid w:val="00B94466"/>
    <w:rsid w:val="00BA73F6"/>
    <w:rsid w:val="00BB2769"/>
    <w:rsid w:val="00BB2DB5"/>
    <w:rsid w:val="00BB47EF"/>
    <w:rsid w:val="00BB7D88"/>
    <w:rsid w:val="00BC7406"/>
    <w:rsid w:val="00BE4D98"/>
    <w:rsid w:val="00BE643C"/>
    <w:rsid w:val="00BF1090"/>
    <w:rsid w:val="00BF3679"/>
    <w:rsid w:val="00C04DF9"/>
    <w:rsid w:val="00C10C0F"/>
    <w:rsid w:val="00C11C7A"/>
    <w:rsid w:val="00C22E37"/>
    <w:rsid w:val="00C25D36"/>
    <w:rsid w:val="00C30B8F"/>
    <w:rsid w:val="00C320A4"/>
    <w:rsid w:val="00C35433"/>
    <w:rsid w:val="00C35BAD"/>
    <w:rsid w:val="00C64189"/>
    <w:rsid w:val="00C7263A"/>
    <w:rsid w:val="00C746E2"/>
    <w:rsid w:val="00C97EE8"/>
    <w:rsid w:val="00CA6204"/>
    <w:rsid w:val="00CA774D"/>
    <w:rsid w:val="00CD03F9"/>
    <w:rsid w:val="00CE3A25"/>
    <w:rsid w:val="00CE3BE3"/>
    <w:rsid w:val="00D004CF"/>
    <w:rsid w:val="00D20834"/>
    <w:rsid w:val="00D21866"/>
    <w:rsid w:val="00D23CAF"/>
    <w:rsid w:val="00D305D4"/>
    <w:rsid w:val="00D310AF"/>
    <w:rsid w:val="00D3704D"/>
    <w:rsid w:val="00D5243A"/>
    <w:rsid w:val="00D57055"/>
    <w:rsid w:val="00D654EC"/>
    <w:rsid w:val="00D6667D"/>
    <w:rsid w:val="00D66C56"/>
    <w:rsid w:val="00D75691"/>
    <w:rsid w:val="00D800A6"/>
    <w:rsid w:val="00D9280E"/>
    <w:rsid w:val="00D934AE"/>
    <w:rsid w:val="00DA05C2"/>
    <w:rsid w:val="00DA1279"/>
    <w:rsid w:val="00DA13F3"/>
    <w:rsid w:val="00DA2DE9"/>
    <w:rsid w:val="00DA48B4"/>
    <w:rsid w:val="00DA6B6B"/>
    <w:rsid w:val="00DB0B87"/>
    <w:rsid w:val="00DC3E35"/>
    <w:rsid w:val="00DC6488"/>
    <w:rsid w:val="00DC6CD4"/>
    <w:rsid w:val="00DD553E"/>
    <w:rsid w:val="00DD76E4"/>
    <w:rsid w:val="00DE1483"/>
    <w:rsid w:val="00DE56A1"/>
    <w:rsid w:val="00E05343"/>
    <w:rsid w:val="00E2330B"/>
    <w:rsid w:val="00E233D3"/>
    <w:rsid w:val="00E23AE5"/>
    <w:rsid w:val="00E3771B"/>
    <w:rsid w:val="00E41DBA"/>
    <w:rsid w:val="00E425C7"/>
    <w:rsid w:val="00E542BE"/>
    <w:rsid w:val="00E62CC4"/>
    <w:rsid w:val="00E63DE3"/>
    <w:rsid w:val="00E67912"/>
    <w:rsid w:val="00E73989"/>
    <w:rsid w:val="00E743CC"/>
    <w:rsid w:val="00E772E3"/>
    <w:rsid w:val="00E80235"/>
    <w:rsid w:val="00E83A63"/>
    <w:rsid w:val="00E87D09"/>
    <w:rsid w:val="00EA6167"/>
    <w:rsid w:val="00EA6F7B"/>
    <w:rsid w:val="00EA759E"/>
    <w:rsid w:val="00EB1469"/>
    <w:rsid w:val="00EB3942"/>
    <w:rsid w:val="00EC00D0"/>
    <w:rsid w:val="00EC1D56"/>
    <w:rsid w:val="00EC4BAE"/>
    <w:rsid w:val="00EC591A"/>
    <w:rsid w:val="00EC75E4"/>
    <w:rsid w:val="00EE5D8A"/>
    <w:rsid w:val="00EE62D5"/>
    <w:rsid w:val="00EE6DEE"/>
    <w:rsid w:val="00EE7ADB"/>
    <w:rsid w:val="00EF2A6C"/>
    <w:rsid w:val="00EF3B7D"/>
    <w:rsid w:val="00EF41A9"/>
    <w:rsid w:val="00F019FE"/>
    <w:rsid w:val="00F01A7F"/>
    <w:rsid w:val="00F02620"/>
    <w:rsid w:val="00F06CF7"/>
    <w:rsid w:val="00F10609"/>
    <w:rsid w:val="00F108D6"/>
    <w:rsid w:val="00F1618E"/>
    <w:rsid w:val="00F21A30"/>
    <w:rsid w:val="00F22C6B"/>
    <w:rsid w:val="00F22E84"/>
    <w:rsid w:val="00F313A6"/>
    <w:rsid w:val="00F3154B"/>
    <w:rsid w:val="00F317EE"/>
    <w:rsid w:val="00F32670"/>
    <w:rsid w:val="00F4181D"/>
    <w:rsid w:val="00F575CB"/>
    <w:rsid w:val="00F6410B"/>
    <w:rsid w:val="00F67693"/>
    <w:rsid w:val="00F8703D"/>
    <w:rsid w:val="00F91AFD"/>
    <w:rsid w:val="00F95DD9"/>
    <w:rsid w:val="00F97B2F"/>
    <w:rsid w:val="00FB20BD"/>
    <w:rsid w:val="00FB6328"/>
    <w:rsid w:val="00FB739E"/>
    <w:rsid w:val="00FC0A2D"/>
    <w:rsid w:val="00FD064F"/>
    <w:rsid w:val="00FD7484"/>
    <w:rsid w:val="00FE3549"/>
    <w:rsid w:val="00FE669E"/>
    <w:rsid w:val="00FF11B5"/>
    <w:rsid w:val="00FF4A17"/>
    <w:rsid w:val="00FF76B3"/>
    <w:rsid w:val="04E91183"/>
    <w:rsid w:val="0D5154EF"/>
    <w:rsid w:val="1F5E7E98"/>
    <w:rsid w:val="20C35EB7"/>
    <w:rsid w:val="248144B4"/>
    <w:rsid w:val="26D2669E"/>
    <w:rsid w:val="286F0DF6"/>
    <w:rsid w:val="28FD0CF8"/>
    <w:rsid w:val="2A557F75"/>
    <w:rsid w:val="323176B0"/>
    <w:rsid w:val="37F30DCD"/>
    <w:rsid w:val="3FC97621"/>
    <w:rsid w:val="412F2E76"/>
    <w:rsid w:val="4536470B"/>
    <w:rsid w:val="46516CCD"/>
    <w:rsid w:val="4A0D21C2"/>
    <w:rsid w:val="4FC21359"/>
    <w:rsid w:val="68805A92"/>
    <w:rsid w:val="69211EF4"/>
    <w:rsid w:val="6DC046AA"/>
    <w:rsid w:val="6E55152A"/>
    <w:rsid w:val="6F2F3762"/>
    <w:rsid w:val="6FE8386C"/>
    <w:rsid w:val="75E26F4C"/>
    <w:rsid w:val="7A071E69"/>
    <w:rsid w:val="7A333DE0"/>
    <w:rsid w:val="7BA92BC7"/>
    <w:rsid w:val="7BFE4935"/>
    <w:rsid w:val="7FD33E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9CF19"/>
  <w15:docId w15:val="{A0B04D41-C354-408A-9950-06455B4C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bCs/>
    </w:rPr>
  </w:style>
  <w:style w:type="character" w:styleId="af">
    <w:name w:val="Emphasis"/>
    <w:basedOn w:val="a0"/>
    <w:autoRedefine/>
    <w:uiPriority w:val="20"/>
    <w:qFormat/>
    <w:rPr>
      <w:i/>
      <w:i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宋体" w:hAnsiTheme="minorHAnsi" w:cs="宋体"/>
      <w:color w:val="000000"/>
      <w:sz w:val="24"/>
      <w:szCs w:val="24"/>
    </w:rPr>
  </w:style>
  <w:style w:type="character" w:customStyle="1" w:styleId="a4">
    <w:name w:val="批注文字 字符"/>
    <w:basedOn w:val="a0"/>
    <w:link w:val="a3"/>
    <w:uiPriority w:val="99"/>
    <w:semiHidden/>
    <w:qFormat/>
    <w:rPr>
      <w:rFonts w:ascii="Times New Roman" w:eastAsia="宋体" w:hAnsi="Times New Roman" w:cs="Times New Roman"/>
      <w:szCs w:val="20"/>
    </w:rPr>
  </w:style>
  <w:style w:type="character" w:customStyle="1" w:styleId="ad">
    <w:name w:val="批注主题 字符"/>
    <w:basedOn w:val="a4"/>
    <w:link w:val="ac"/>
    <w:uiPriority w:val="99"/>
    <w:semiHidden/>
    <w:qFormat/>
    <w:rPr>
      <w:rFonts w:ascii="Times New Roman" w:eastAsia="宋体" w:hAnsi="Times New Roman" w:cs="Times New Roman"/>
      <w:b/>
      <w:bCs/>
      <w:szCs w:val="20"/>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hrefstyle">
    <w:name w:val="hrefstyle"/>
    <w:basedOn w:val="a0"/>
    <w:qFormat/>
  </w:style>
  <w:style w:type="paragraph" w:styleId="af1">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msolistparagraph0">
    <w:name w:val="msolistparagraph"/>
    <w:basedOn w:val="a"/>
    <w:autoRedefine/>
    <w:qFormat/>
    <w:pPr>
      <w:ind w:firstLineChars="200" w:firstLine="420"/>
    </w:pPr>
    <w:rPr>
      <w:rFonts w:ascii="等线" w:eastAsia="等线" w:hAnsi="等线" w:hint="eastAsia"/>
      <w:szCs w:val="22"/>
    </w:rPr>
  </w:style>
  <w:style w:type="character" w:customStyle="1" w:styleId="emailstyle16">
    <w:name w:val="emailstyle16"/>
    <w:basedOn w:val="a0"/>
    <w:autoRedefine/>
    <w:qFormat/>
    <w:rPr>
      <w:rFonts w:ascii="等线" w:eastAsia="微软雅黑" w:hAnsi="等线" w:cs="Times New Roman" w:hint="eastAsia"/>
      <w:color w:val="auto"/>
      <w:sz w:val="24"/>
      <w:szCs w:val="22"/>
    </w:rPr>
  </w:style>
  <w:style w:type="paragraph" w:styleId="af2">
    <w:name w:val="Revision"/>
    <w:hidden/>
    <w:uiPriority w:val="99"/>
    <w:unhideWhenUsed/>
    <w:rsid w:val="00EE5D8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040911">
      <w:bodyDiv w:val="1"/>
      <w:marLeft w:val="0"/>
      <w:marRight w:val="0"/>
      <w:marTop w:val="0"/>
      <w:marBottom w:val="0"/>
      <w:divBdr>
        <w:top w:val="none" w:sz="0" w:space="0" w:color="auto"/>
        <w:left w:val="none" w:sz="0" w:space="0" w:color="auto"/>
        <w:bottom w:val="none" w:sz="0" w:space="0" w:color="auto"/>
        <w:right w:val="none" w:sz="0" w:space="0" w:color="auto"/>
      </w:divBdr>
      <w:divsChild>
        <w:div w:id="21320860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~WRL0969.tmp</Template>
  <TotalTime>1029</TotalTime>
  <Pages>4</Pages>
  <Words>997</Words>
  <Characters>1057</Characters>
  <Application>Microsoft Office Word</Application>
  <DocSecurity>0</DocSecurity>
  <Lines>105</Lines>
  <Paragraphs>85</Paragraphs>
  <ScaleCrop>false</ScaleCrop>
  <Company>Microsoft</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yuanyuzhu</dc:creator>
  <cp:lastModifiedBy>Wang Michelle Xue</cp:lastModifiedBy>
  <cp:revision>52</cp:revision>
  <cp:lastPrinted>2022-11-11T00:58:00Z</cp:lastPrinted>
  <dcterms:created xsi:type="dcterms:W3CDTF">2022-12-28T05:32:00Z</dcterms:created>
  <dcterms:modified xsi:type="dcterms:W3CDTF">2026-07-22T03:52:00Z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A7D18E57DA074E5F9C1D83DD62C36E53</vt:lpwstr>
  </property>
  <property fmtid="{D5CDD505-2E9C-101B-9397-08002B2CF9AE}" pid="4" name="MSIP_Label_9bca8f0e-860b-4858-8ab9-c0b9a4c57f6b_Enabled">
    <vt:lpwstr>true</vt:lpwstr>
  </property>
  <property fmtid="{D5CDD505-2E9C-101B-9397-08002B2CF9AE}" pid="5" name="MSIP_Label_9bca8f0e-860b-4858-8ab9-c0b9a4c57f6b_SetDate">
    <vt:lpwstr>2024-06-17T08:44:00Z</vt:lpwstr>
  </property>
  <property fmtid="{D5CDD505-2E9C-101B-9397-08002B2CF9AE}" pid="6" name="MSIP_Label_9bca8f0e-860b-4858-8ab9-c0b9a4c57f6b_Method">
    <vt:lpwstr>Standard</vt:lpwstr>
  </property>
  <property fmtid="{D5CDD505-2E9C-101B-9397-08002B2CF9AE}" pid="7" name="MSIP_Label_9bca8f0e-860b-4858-8ab9-c0b9a4c57f6b_Name">
    <vt:lpwstr>NJE-Internal</vt:lpwstr>
  </property>
  <property fmtid="{D5CDD505-2E9C-101B-9397-08002B2CF9AE}" pid="8" name="MSIP_Label_9bca8f0e-860b-4858-8ab9-c0b9a4c57f6b_SiteId">
    <vt:lpwstr>b953e8d2-f5f3-4cff-a9b1-e5b91ce608ad</vt:lpwstr>
  </property>
  <property fmtid="{D5CDD505-2E9C-101B-9397-08002B2CF9AE}" pid="9" name="MSIP_Label_9bca8f0e-860b-4858-8ab9-c0b9a4c57f6b_ActionId">
    <vt:lpwstr>be926d68-f4c2-4dbf-bc51-e0eef31d7201</vt:lpwstr>
  </property>
  <property fmtid="{D5CDD505-2E9C-101B-9397-08002B2CF9AE}" pid="10" name="MSIP_Label_9bca8f0e-860b-4858-8ab9-c0b9a4c57f6b_ContentBits">
    <vt:lpwstr>0</vt:lpwstr>
  </property>
</Properties>
</file>