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36DD0">
      <w:pPr>
        <w:pStyle w:val="2"/>
        <w:ind w:right="824"/>
        <w:jc w:val="center"/>
      </w:pPr>
      <w:r>
        <w:rPr>
          <w:rFonts w:hint="eastAsia"/>
          <w:lang w:val="en-US"/>
        </w:rPr>
        <w:t xml:space="preserve">      杭州格林达电子材料</w:t>
      </w:r>
      <w:r>
        <w:t>股份有限公司</w:t>
      </w:r>
    </w:p>
    <w:p w14:paraId="1B760853">
      <w:pPr>
        <w:pStyle w:val="2"/>
        <w:ind w:right="824"/>
        <w:jc w:val="center"/>
      </w:pPr>
      <w:r>
        <w:rPr>
          <w:rFonts w:hint="eastAsia"/>
          <w:lang w:val="en-US"/>
        </w:rPr>
        <w:t xml:space="preserve">       </w:t>
      </w:r>
      <w:r>
        <w:t>投资者关系活动记录表</w:t>
      </w:r>
    </w:p>
    <w:p w14:paraId="5FE55349">
      <w:pPr>
        <w:spacing w:before="154" w:after="32"/>
        <w:ind w:right="679"/>
        <w:jc w:val="right"/>
        <w:rPr>
          <w:sz w:val="28"/>
        </w:rPr>
      </w:pPr>
      <w:r>
        <w:rPr>
          <w:rFonts w:hint="eastAsia"/>
          <w:sz w:val="28"/>
          <w:lang w:val="en-US"/>
        </w:rPr>
        <w:t xml:space="preserve">  </w:t>
      </w:r>
      <w:r>
        <w:rPr>
          <w:sz w:val="28"/>
        </w:rPr>
        <w:t>编号：</w:t>
      </w:r>
      <w:r>
        <w:rPr>
          <w:rFonts w:hint="eastAsia"/>
          <w:sz w:val="28"/>
        </w:rPr>
        <w:t>2026-008</w:t>
      </w:r>
    </w:p>
    <w:tbl>
      <w:tblPr>
        <w:tblStyle w:val="5"/>
        <w:tblW w:w="8525" w:type="dxa"/>
        <w:tblInd w:w="7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7"/>
        <w:gridCol w:w="6148"/>
      </w:tblGrid>
      <w:tr w14:paraId="77FA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2377" w:type="dxa"/>
          </w:tcPr>
          <w:p w14:paraId="37704CED">
            <w:pPr>
              <w:pStyle w:val="9"/>
              <w:ind w:left="0"/>
              <w:rPr>
                <w:color w:val="auto"/>
                <w:sz w:val="24"/>
              </w:rPr>
            </w:pPr>
          </w:p>
          <w:p w14:paraId="04B2B0F3">
            <w:pPr>
              <w:pStyle w:val="9"/>
              <w:spacing w:before="12"/>
              <w:ind w:left="0"/>
              <w:rPr>
                <w:color w:val="auto"/>
                <w:sz w:val="31"/>
              </w:rPr>
            </w:pPr>
          </w:p>
          <w:p w14:paraId="168F23A0">
            <w:pPr>
              <w:pStyle w:val="9"/>
              <w:rPr>
                <w:color w:val="auto"/>
                <w:sz w:val="24"/>
              </w:rPr>
            </w:pPr>
            <w:r>
              <w:rPr>
                <w:color w:val="auto"/>
                <w:sz w:val="24"/>
              </w:rPr>
              <w:t>投资者关系活动类别</w:t>
            </w:r>
          </w:p>
        </w:tc>
        <w:tc>
          <w:tcPr>
            <w:tcW w:w="6148" w:type="dxa"/>
          </w:tcPr>
          <w:p w14:paraId="7B399DD2">
            <w:pPr>
              <w:pStyle w:val="9"/>
              <w:tabs>
                <w:tab w:val="left" w:pos="2747"/>
              </w:tabs>
              <w:spacing w:before="64"/>
              <w:rPr>
                <w:color w:val="auto"/>
                <w:sz w:val="24"/>
              </w:rPr>
            </w:pPr>
            <w:r>
              <w:rPr>
                <w:rFonts w:hint="eastAsia"/>
                <w:color w:val="auto"/>
                <w:sz w:val="24"/>
              </w:rPr>
              <w:t>√</w:t>
            </w:r>
            <w:r>
              <w:rPr>
                <w:color w:val="auto"/>
                <w:sz w:val="24"/>
              </w:rPr>
              <w:t>特定对象调研</w:t>
            </w:r>
            <w:r>
              <w:rPr>
                <w:color w:val="auto"/>
                <w:sz w:val="24"/>
              </w:rPr>
              <w:tab/>
            </w:r>
            <w:r>
              <w:rPr>
                <w:color w:val="auto"/>
                <w:sz w:val="24"/>
              </w:rPr>
              <w:t>□分析师会议</w:t>
            </w:r>
          </w:p>
          <w:p w14:paraId="2A00B34F">
            <w:pPr>
              <w:pStyle w:val="9"/>
              <w:tabs>
                <w:tab w:val="left" w:pos="2747"/>
              </w:tabs>
              <w:spacing w:before="130"/>
              <w:rPr>
                <w:color w:val="auto"/>
                <w:sz w:val="24"/>
              </w:rPr>
            </w:pPr>
            <w:r>
              <w:rPr>
                <w:color w:val="auto"/>
                <w:sz w:val="24"/>
              </w:rPr>
              <w:t>□媒体采访</w:t>
            </w:r>
            <w:r>
              <w:rPr>
                <w:color w:val="auto"/>
                <w:sz w:val="24"/>
              </w:rPr>
              <w:tab/>
            </w:r>
            <w:r>
              <w:rPr>
                <w:color w:val="auto"/>
                <w:sz w:val="24"/>
              </w:rPr>
              <w:t>□业绩说明会</w:t>
            </w:r>
          </w:p>
          <w:p w14:paraId="7FCA7FAC">
            <w:pPr>
              <w:pStyle w:val="9"/>
              <w:tabs>
                <w:tab w:val="left" w:pos="2747"/>
              </w:tabs>
              <w:spacing w:before="126"/>
              <w:rPr>
                <w:color w:val="auto"/>
                <w:sz w:val="24"/>
              </w:rPr>
            </w:pPr>
            <w:r>
              <w:rPr>
                <w:color w:val="auto"/>
                <w:sz w:val="24"/>
              </w:rPr>
              <w:t>□新闻发布会</w:t>
            </w:r>
            <w:r>
              <w:rPr>
                <w:color w:val="auto"/>
                <w:sz w:val="24"/>
              </w:rPr>
              <w:tab/>
            </w:r>
            <w:r>
              <w:rPr>
                <w:color w:val="auto"/>
                <w:sz w:val="24"/>
              </w:rPr>
              <w:t>□路演活动</w:t>
            </w:r>
          </w:p>
          <w:p w14:paraId="2CE111B0">
            <w:pPr>
              <w:pStyle w:val="9"/>
              <w:spacing w:before="128"/>
              <w:rPr>
                <w:color w:val="auto"/>
                <w:sz w:val="24"/>
              </w:rPr>
            </w:pPr>
            <w:r>
              <w:rPr>
                <w:color w:val="auto"/>
                <w:sz w:val="24"/>
              </w:rPr>
              <w:t>□现场参观</w:t>
            </w:r>
          </w:p>
          <w:p w14:paraId="3360E522">
            <w:pPr>
              <w:pStyle w:val="9"/>
              <w:spacing w:before="127"/>
              <w:rPr>
                <w:color w:val="auto"/>
                <w:sz w:val="24"/>
              </w:rPr>
            </w:pPr>
            <w:r>
              <w:rPr>
                <w:color w:val="auto"/>
                <w:sz w:val="24"/>
              </w:rPr>
              <w:t>□其他（请文字说明其他活动内容）</w:t>
            </w:r>
          </w:p>
        </w:tc>
      </w:tr>
      <w:tr w14:paraId="61BB5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377" w:type="dxa"/>
          </w:tcPr>
          <w:p w14:paraId="4EE33E6A">
            <w:pPr>
              <w:pStyle w:val="9"/>
              <w:spacing w:before="64"/>
              <w:rPr>
                <w:color w:val="auto"/>
                <w:sz w:val="24"/>
              </w:rPr>
            </w:pPr>
            <w:r>
              <w:rPr>
                <w:color w:val="auto"/>
                <w:sz w:val="24"/>
              </w:rPr>
              <w:t>活动参与人员</w:t>
            </w:r>
          </w:p>
        </w:tc>
        <w:tc>
          <w:tcPr>
            <w:tcW w:w="6148" w:type="dxa"/>
          </w:tcPr>
          <w:p w14:paraId="4DE3BC04">
            <w:pPr>
              <w:pStyle w:val="9"/>
              <w:ind w:left="0"/>
              <w:rPr>
                <w:rFonts w:ascii="Times New Roman"/>
                <w:color w:val="auto"/>
                <w:sz w:val="26"/>
              </w:rPr>
            </w:pPr>
            <w:r>
              <w:rPr>
                <w:rFonts w:ascii="Times New Roman"/>
                <w:color w:val="auto"/>
                <w:szCs w:val="20"/>
                <w:woUserID w:val="1"/>
              </w:rPr>
              <w:t>中信建投</w:t>
            </w:r>
            <w:r>
              <w:rPr>
                <w:rFonts w:hint="eastAsia" w:ascii="Times New Roman"/>
                <w:color w:val="auto"/>
                <w:szCs w:val="20"/>
                <w:lang w:eastAsia="zh-CN"/>
                <w:woUserID w:val="1"/>
              </w:rPr>
              <w:t>、</w:t>
            </w:r>
            <w:r>
              <w:rPr>
                <w:rFonts w:ascii="Times New Roman"/>
                <w:color w:val="auto"/>
                <w:szCs w:val="20"/>
              </w:rPr>
              <w:t>东北</w:t>
            </w:r>
            <w:r>
              <w:rPr>
                <w:rFonts w:hint="eastAsia" w:ascii="Times New Roman"/>
                <w:color w:val="auto"/>
                <w:szCs w:val="20"/>
                <w:lang w:val="en-US" w:eastAsia="zh-CN"/>
              </w:rPr>
              <w:t>证券、</w:t>
            </w:r>
            <w:r>
              <w:rPr>
                <w:rFonts w:ascii="Times New Roman"/>
                <w:color w:val="auto"/>
                <w:szCs w:val="20"/>
              </w:rPr>
              <w:t>国投证券</w:t>
            </w:r>
            <w:r>
              <w:rPr>
                <w:rFonts w:hint="eastAsia" w:ascii="Times New Roman"/>
                <w:color w:val="auto"/>
                <w:szCs w:val="20"/>
                <w:lang w:eastAsia="zh-CN"/>
              </w:rPr>
              <w:t>、</w:t>
            </w:r>
            <w:r>
              <w:rPr>
                <w:rFonts w:ascii="Times New Roman"/>
                <w:color w:val="auto"/>
                <w:szCs w:val="20"/>
              </w:rPr>
              <w:t>华泰证券</w:t>
            </w:r>
            <w:r>
              <w:rPr>
                <w:rFonts w:hint="eastAsia" w:ascii="Times New Roman"/>
                <w:color w:val="auto"/>
                <w:szCs w:val="20"/>
                <w:lang w:eastAsia="zh-CN"/>
              </w:rPr>
              <w:t>、</w:t>
            </w:r>
            <w:r>
              <w:rPr>
                <w:rFonts w:ascii="Times New Roman"/>
                <w:color w:val="auto"/>
                <w:szCs w:val="20"/>
              </w:rPr>
              <w:t>华宝基金、嘉实基金、安联基金、中哲物产、中信资管、鸿道投资、交银基金、中银资管、圆信永丰、新华基金、财通资管、上海南部投资、诺安基金、万家基金、盘京投资、德邦基金、尚雅投资、</w:t>
            </w:r>
            <w:r>
              <w:rPr>
                <w:rFonts w:ascii="Times New Roman"/>
                <w:color w:val="auto"/>
                <w:szCs w:val="20"/>
                <w:woUserID w:val="1"/>
              </w:rPr>
              <w:t>仁桥资产、永望资产、</w:t>
            </w:r>
            <w:r>
              <w:rPr>
                <w:rFonts w:hint="eastAsia" w:ascii="Times New Roman"/>
                <w:color w:val="auto"/>
                <w:szCs w:val="20"/>
                <w:woUserID w:val="1"/>
              </w:rPr>
              <w:t>国泰基金</w:t>
            </w:r>
            <w:r>
              <w:rPr>
                <w:rFonts w:hint="eastAsia" w:ascii="Times New Roman"/>
                <w:color w:val="auto"/>
                <w:szCs w:val="20"/>
                <w:lang w:eastAsia="zh-CN"/>
                <w:woUserID w:val="1"/>
              </w:rPr>
              <w:t>、真科基金、</w:t>
            </w:r>
            <w:r>
              <w:rPr>
                <w:rFonts w:ascii="Times New Roman"/>
                <w:color w:val="auto"/>
                <w:szCs w:val="20"/>
              </w:rPr>
              <w:t>东方红基金、沃金投资</w:t>
            </w:r>
          </w:p>
        </w:tc>
      </w:tr>
      <w:tr w14:paraId="12F7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377" w:type="dxa"/>
          </w:tcPr>
          <w:p w14:paraId="0B27CB61">
            <w:pPr>
              <w:pStyle w:val="9"/>
              <w:spacing w:before="64"/>
              <w:rPr>
                <w:color w:val="auto"/>
                <w:sz w:val="24"/>
              </w:rPr>
            </w:pPr>
            <w:r>
              <w:rPr>
                <w:color w:val="auto"/>
                <w:sz w:val="24"/>
              </w:rPr>
              <w:t>时间</w:t>
            </w:r>
          </w:p>
        </w:tc>
        <w:tc>
          <w:tcPr>
            <w:tcW w:w="6148" w:type="dxa"/>
          </w:tcPr>
          <w:p w14:paraId="610DB6A5">
            <w:pPr>
              <w:pStyle w:val="9"/>
              <w:ind w:left="0"/>
              <w:rPr>
                <w:rFonts w:ascii="Times New Roman"/>
                <w:color w:val="auto"/>
                <w:sz w:val="26"/>
              </w:rPr>
            </w:pPr>
            <w:r>
              <w:rPr>
                <w:rFonts w:hint="eastAsia" w:ascii="Times New Roman"/>
                <w:color w:val="auto"/>
                <w:szCs w:val="20"/>
              </w:rPr>
              <w:t>2</w:t>
            </w:r>
            <w:r>
              <w:rPr>
                <w:rFonts w:ascii="Times New Roman"/>
                <w:color w:val="auto"/>
                <w:szCs w:val="20"/>
              </w:rPr>
              <w:t>02</w:t>
            </w:r>
            <w:r>
              <w:rPr>
                <w:rFonts w:hint="eastAsia" w:ascii="Times New Roman"/>
                <w:color w:val="auto"/>
                <w:szCs w:val="20"/>
              </w:rPr>
              <w:t>6.7.22上午10：30</w:t>
            </w:r>
          </w:p>
        </w:tc>
      </w:tr>
      <w:tr w14:paraId="7B146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45446584">
            <w:pPr>
              <w:pStyle w:val="9"/>
              <w:spacing w:before="64"/>
              <w:rPr>
                <w:color w:val="auto"/>
                <w:sz w:val="24"/>
              </w:rPr>
            </w:pPr>
            <w:r>
              <w:rPr>
                <w:color w:val="auto"/>
                <w:sz w:val="24"/>
              </w:rPr>
              <w:t>地点</w:t>
            </w:r>
          </w:p>
        </w:tc>
        <w:tc>
          <w:tcPr>
            <w:tcW w:w="6148" w:type="dxa"/>
          </w:tcPr>
          <w:p w14:paraId="5C5DC6DE">
            <w:pPr>
              <w:pStyle w:val="9"/>
              <w:ind w:left="0"/>
              <w:rPr>
                <w:rFonts w:hint="default"/>
                <w:color w:val="auto"/>
                <w:woUserID w:val="1"/>
              </w:rPr>
            </w:pPr>
            <w:r>
              <w:rPr>
                <w:rFonts w:hint="eastAsia"/>
                <w:color w:val="auto"/>
              </w:rPr>
              <w:t>格林达会议室</w:t>
            </w:r>
          </w:p>
        </w:tc>
      </w:tr>
      <w:tr w14:paraId="073CF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0F58EFB8">
            <w:pPr>
              <w:pStyle w:val="9"/>
              <w:spacing w:before="64"/>
              <w:rPr>
                <w:color w:val="auto"/>
                <w:sz w:val="24"/>
              </w:rPr>
            </w:pPr>
            <w:r>
              <w:rPr>
                <w:rFonts w:hint="eastAsia"/>
                <w:color w:val="auto"/>
                <w:sz w:val="24"/>
              </w:rPr>
              <w:t>上市公司接待人员</w:t>
            </w:r>
          </w:p>
        </w:tc>
        <w:tc>
          <w:tcPr>
            <w:tcW w:w="6148" w:type="dxa"/>
          </w:tcPr>
          <w:p w14:paraId="157C1D90">
            <w:pPr>
              <w:pStyle w:val="9"/>
              <w:rPr>
                <w:rFonts w:ascii="Times New Roman"/>
                <w:color w:val="auto"/>
                <w:szCs w:val="20"/>
              </w:rPr>
            </w:pPr>
            <w:r>
              <w:rPr>
                <w:rFonts w:hint="eastAsia" w:ascii="Times New Roman"/>
                <w:color w:val="auto"/>
                <w:szCs w:val="20"/>
              </w:rPr>
              <w:t>总经理</w:t>
            </w:r>
            <w:r>
              <w:rPr>
                <w:rFonts w:hint="eastAsia" w:ascii="Times New Roman"/>
                <w:color w:val="auto"/>
                <w:szCs w:val="20"/>
                <w:lang w:val="en-US"/>
              </w:rPr>
              <w:t xml:space="preserve">              </w:t>
            </w:r>
            <w:r>
              <w:rPr>
                <w:rFonts w:hint="eastAsia" w:ascii="Times New Roman"/>
                <w:color w:val="auto"/>
                <w:szCs w:val="20"/>
              </w:rPr>
              <w:t xml:space="preserve">方伟华    </w:t>
            </w:r>
          </w:p>
          <w:p w14:paraId="313139DD">
            <w:pPr>
              <w:pStyle w:val="9"/>
              <w:rPr>
                <w:rFonts w:ascii="Times New Roman"/>
                <w:color w:val="auto"/>
                <w:szCs w:val="20"/>
              </w:rPr>
            </w:pPr>
            <w:r>
              <w:rPr>
                <w:rFonts w:hint="eastAsia" w:ascii="Times New Roman"/>
                <w:color w:val="auto"/>
                <w:szCs w:val="20"/>
              </w:rPr>
              <w:t>董事会秘书</w:t>
            </w:r>
            <w:r>
              <w:rPr>
                <w:rFonts w:hint="eastAsia" w:ascii="Times New Roman"/>
                <w:color w:val="auto"/>
                <w:szCs w:val="20"/>
                <w:lang w:val="en-US"/>
              </w:rPr>
              <w:t xml:space="preserve">      </w:t>
            </w:r>
            <w:r>
              <w:rPr>
                <w:rFonts w:hint="eastAsia" w:ascii="Times New Roman"/>
                <w:color w:val="auto"/>
                <w:szCs w:val="20"/>
              </w:rPr>
              <w:t>章琪</w:t>
            </w:r>
            <w:r>
              <w:rPr>
                <w:rFonts w:ascii="Times New Roman"/>
                <w:color w:val="auto"/>
                <w:szCs w:val="20"/>
              </w:rPr>
              <w:t xml:space="preserve"> </w:t>
            </w:r>
            <w:r>
              <w:rPr>
                <w:rFonts w:hint="eastAsia" w:ascii="Times New Roman"/>
                <w:color w:val="auto"/>
                <w:szCs w:val="20"/>
              </w:rPr>
              <w:t xml:space="preserve">         </w:t>
            </w:r>
          </w:p>
          <w:p w14:paraId="0BB29376">
            <w:pPr>
              <w:pStyle w:val="9"/>
              <w:rPr>
                <w:rFonts w:ascii="Times New Roman"/>
                <w:color w:val="auto"/>
                <w:szCs w:val="20"/>
              </w:rPr>
            </w:pPr>
            <w:r>
              <w:rPr>
                <w:rFonts w:hint="eastAsia" w:ascii="Times New Roman"/>
                <w:color w:val="auto"/>
                <w:szCs w:val="20"/>
              </w:rPr>
              <w:t xml:space="preserve">IC事业部          </w:t>
            </w:r>
            <w:r>
              <w:rPr>
                <w:rFonts w:ascii="Times New Roman"/>
                <w:color w:val="auto"/>
                <w:szCs w:val="20"/>
              </w:rPr>
              <w:t xml:space="preserve">邢攸美 </w:t>
            </w:r>
            <w:r>
              <w:rPr>
                <w:rFonts w:hint="eastAsia" w:ascii="Times New Roman"/>
                <w:color w:val="auto"/>
                <w:szCs w:val="20"/>
              </w:rPr>
              <w:t xml:space="preserve">     </w:t>
            </w:r>
          </w:p>
          <w:p w14:paraId="1A40685A">
            <w:pPr>
              <w:pStyle w:val="9"/>
              <w:rPr>
                <w:rFonts w:hint="eastAsia" w:ascii="Times New Roman"/>
                <w:color w:val="auto"/>
                <w:sz w:val="26"/>
              </w:rPr>
            </w:pPr>
            <w:r>
              <w:rPr>
                <w:rFonts w:hint="eastAsia" w:ascii="Times New Roman"/>
                <w:color w:val="auto"/>
                <w:szCs w:val="20"/>
              </w:rPr>
              <w:t>证券事务专员  王责宇</w:t>
            </w:r>
          </w:p>
        </w:tc>
      </w:tr>
      <w:tr w14:paraId="2AB22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377" w:type="dxa"/>
          </w:tcPr>
          <w:p w14:paraId="0C7E0FC8">
            <w:pPr>
              <w:pStyle w:val="9"/>
              <w:spacing w:before="67"/>
              <w:rPr>
                <w:color w:val="auto"/>
                <w:sz w:val="24"/>
              </w:rPr>
            </w:pPr>
            <w:r>
              <w:rPr>
                <w:color w:val="auto"/>
                <w:sz w:val="24"/>
              </w:rPr>
              <w:t>交流内容及具体问答</w:t>
            </w:r>
          </w:p>
          <w:p w14:paraId="5E8F18B1">
            <w:pPr>
              <w:pStyle w:val="9"/>
              <w:spacing w:before="127"/>
              <w:rPr>
                <w:color w:val="auto"/>
                <w:sz w:val="24"/>
              </w:rPr>
            </w:pPr>
            <w:r>
              <w:rPr>
                <w:color w:val="auto"/>
                <w:sz w:val="24"/>
              </w:rPr>
              <w:t>记录</w:t>
            </w:r>
          </w:p>
        </w:tc>
        <w:tc>
          <w:tcPr>
            <w:tcW w:w="6148" w:type="dxa"/>
          </w:tcPr>
          <w:p w14:paraId="6F880B93">
            <w:pPr>
              <w:spacing w:line="360" w:lineRule="auto"/>
              <w:rPr>
                <w:color w:val="auto"/>
              </w:rPr>
            </w:pPr>
            <w:r>
              <w:rPr>
                <w:rFonts w:hint="eastAsia"/>
                <w:color w:val="auto"/>
              </w:rPr>
              <w:t>1</w:t>
            </w:r>
            <w:r>
              <w:rPr>
                <w:color w:val="auto"/>
              </w:rPr>
              <w:t>、公司的</w:t>
            </w:r>
            <w:r>
              <w:rPr>
                <w:rFonts w:hint="eastAsia"/>
                <w:color w:val="auto"/>
              </w:rPr>
              <w:t>基本</w:t>
            </w:r>
            <w:r>
              <w:rPr>
                <w:color w:val="auto"/>
              </w:rPr>
              <w:t>情况</w:t>
            </w:r>
            <w:r>
              <w:rPr>
                <w:rFonts w:hint="eastAsia"/>
                <w:color w:val="auto"/>
                <w:lang w:val="en-US" w:eastAsia="zh-CN"/>
              </w:rPr>
              <w:t>介绍</w:t>
            </w:r>
            <w:r>
              <w:rPr>
                <w:color w:val="auto"/>
              </w:rPr>
              <w:t>以及</w:t>
            </w:r>
            <w:r>
              <w:rPr>
                <w:rFonts w:hint="eastAsia"/>
                <w:color w:val="auto"/>
              </w:rPr>
              <w:t>行业地位</w:t>
            </w:r>
          </w:p>
          <w:p w14:paraId="348DD6D6">
            <w:pPr>
              <w:spacing w:line="360" w:lineRule="auto"/>
              <w:rPr>
                <w:rFonts w:hint="eastAsia"/>
                <w:color w:val="auto"/>
                <w:lang w:eastAsia="zh-CN"/>
              </w:rPr>
            </w:pPr>
            <w:r>
              <w:rPr>
                <w:color w:val="auto"/>
              </w:rPr>
              <w:t>A：</w:t>
            </w:r>
            <w:r>
              <w:rPr>
                <w:rFonts w:hint="eastAsia"/>
                <w:color w:val="auto"/>
              </w:rPr>
              <w:t>公司成立</w:t>
            </w:r>
            <w:r>
              <w:rPr>
                <w:rFonts w:hint="eastAsia"/>
                <w:color w:val="auto"/>
                <w:lang w:val="en-US" w:eastAsia="zh-CN"/>
              </w:rPr>
              <w:t>于</w:t>
            </w:r>
            <w:r>
              <w:rPr>
                <w:rFonts w:hint="eastAsia"/>
                <w:color w:val="auto"/>
              </w:rPr>
              <w:t>2001年，二十余年如一日深耕超净高纯湿电子化学品领域，始终聚焦于显影液、剥离液、蚀刻液、稀释液、清洗液等核心产品的研发、生产和销售。公司自主研发的核心产品TMAH显影液，经过多年的研发突破，相关技术指标已经达到了SEMI G5标准要求</w:t>
            </w:r>
            <w:r>
              <w:rPr>
                <w:rFonts w:hint="eastAsia"/>
                <w:color w:val="auto"/>
                <w:lang w:eastAsia="zh-CN"/>
              </w:rPr>
              <w:t>。</w:t>
            </w:r>
            <w:r>
              <w:rPr>
                <w:rFonts w:hint="eastAsia"/>
                <w:color w:val="auto"/>
              </w:rPr>
              <w:t>下游主要客户涵盖京东方集团、韩国LG集团、华星光电、天马微电子、维信诺等国内外知名企业</w:t>
            </w:r>
            <w:r>
              <w:rPr>
                <w:rFonts w:hint="eastAsia"/>
                <w:color w:val="auto"/>
                <w:lang w:eastAsia="zh-CN"/>
              </w:rPr>
              <w:t>。公司获得了国家级制造业单项冠军示范企业的殊荣。</w:t>
            </w:r>
            <w:r>
              <w:rPr>
                <w:rFonts w:hint="eastAsia"/>
                <w:color w:val="auto"/>
                <w:lang w:val="en-US" w:eastAsia="zh-CN"/>
              </w:rPr>
              <w:t>公司</w:t>
            </w:r>
            <w:r>
              <w:rPr>
                <w:rFonts w:hint="eastAsia"/>
                <w:color w:val="auto"/>
              </w:rPr>
              <w:t>专注于</w:t>
            </w:r>
            <w:r>
              <w:rPr>
                <w:rFonts w:hint="eastAsia"/>
                <w:color w:val="auto"/>
                <w:lang w:val="en-US" w:eastAsia="zh-CN"/>
              </w:rPr>
              <w:t>湿电子化学品市场</w:t>
            </w:r>
            <w:r>
              <w:rPr>
                <w:rFonts w:hint="eastAsia"/>
                <w:color w:val="auto"/>
              </w:rPr>
              <w:t>，生产技术或工艺国际领先，单项产品市场占有率位居全球或国内前列</w:t>
            </w:r>
            <w:r>
              <w:rPr>
                <w:rFonts w:hint="eastAsia"/>
                <w:color w:val="auto"/>
                <w:lang w:eastAsia="zh-CN"/>
              </w:rPr>
              <w:t>，</w:t>
            </w:r>
            <w:r>
              <w:rPr>
                <w:rFonts w:hint="eastAsia"/>
                <w:color w:val="auto"/>
                <w:lang w:val="en-US" w:eastAsia="zh-CN"/>
              </w:rPr>
              <w:t>蝉联国家级</w:t>
            </w:r>
            <w:r>
              <w:rPr>
                <w:rFonts w:hint="eastAsia"/>
                <w:color w:val="auto"/>
              </w:rPr>
              <w:t>制造业单项冠军企业，</w:t>
            </w:r>
            <w:r>
              <w:rPr>
                <w:rFonts w:hint="eastAsia"/>
                <w:color w:val="auto"/>
                <w:lang w:val="en-US" w:eastAsia="zh-CN"/>
              </w:rPr>
              <w:t>体现了</w:t>
            </w:r>
            <w:r>
              <w:rPr>
                <w:rFonts w:hint="eastAsia"/>
                <w:color w:val="auto"/>
              </w:rPr>
              <w:t>公司行业地位、技术水平及市场占有率等综合实力</w:t>
            </w:r>
            <w:r>
              <w:rPr>
                <w:rFonts w:hint="eastAsia"/>
                <w:color w:val="auto"/>
                <w:lang w:eastAsia="zh-CN"/>
              </w:rPr>
              <w:t>。</w:t>
            </w:r>
          </w:p>
          <w:p w14:paraId="65926BCD">
            <w:pPr>
              <w:spacing w:line="360" w:lineRule="auto"/>
              <w:ind w:firstLine="440" w:firstLineChars="200"/>
              <w:rPr>
                <w:color w:val="auto"/>
              </w:rPr>
            </w:pPr>
            <w:r>
              <w:rPr>
                <w:rFonts w:hint="eastAsia"/>
                <w:color w:val="auto"/>
              </w:rPr>
              <w:t>公司始终聚焦主营业务，不断加大市场开拓力度</w:t>
            </w:r>
            <w:r>
              <w:rPr>
                <w:rFonts w:hint="eastAsia"/>
                <w:color w:val="auto"/>
                <w:lang w:eastAsia="zh-CN"/>
              </w:rPr>
              <w:t>：</w:t>
            </w:r>
            <w:r>
              <w:rPr>
                <w:rFonts w:hint="eastAsia"/>
                <w:color w:val="auto"/>
                <w:lang w:val="en-US" w:eastAsia="zh-CN"/>
              </w:rPr>
              <w:t>随着国内AMOLED市场产能稼动率的快速提升，</w:t>
            </w:r>
            <w:r>
              <w:rPr>
                <w:rFonts w:hint="eastAsia"/>
                <w:color w:val="auto"/>
              </w:rPr>
              <w:t>四川格林达出产的显影液产品在西南体系客户中已实现导入和全厂量供，并导入西南地区新建的国内首条高世代</w:t>
            </w:r>
            <w:r>
              <w:rPr>
                <w:color w:val="auto"/>
              </w:rPr>
              <w:t>AMOLED产线，其他</w:t>
            </w:r>
            <w:r>
              <w:rPr>
                <w:rFonts w:hint="eastAsia"/>
                <w:color w:val="auto"/>
                <w:lang w:val="en-US" w:eastAsia="zh-CN"/>
              </w:rPr>
              <w:t>显示龙头企业</w:t>
            </w:r>
            <w:r>
              <w:rPr>
                <w:color w:val="auto"/>
              </w:rPr>
              <w:t>测试和</w:t>
            </w:r>
            <w:r>
              <w:rPr>
                <w:rFonts w:hint="eastAsia"/>
                <w:color w:val="auto"/>
                <w:lang w:val="en-US" w:eastAsia="zh-CN"/>
              </w:rPr>
              <w:t>量产导入</w:t>
            </w:r>
            <w:r>
              <w:rPr>
                <w:color w:val="auto"/>
              </w:rPr>
              <w:t>；</w:t>
            </w:r>
            <w:r>
              <w:rPr>
                <w:rFonts w:hint="eastAsia"/>
                <w:color w:val="auto"/>
                <w:lang w:val="en-US" w:eastAsia="zh-CN"/>
              </w:rPr>
              <w:t>同时</w:t>
            </w:r>
            <w:r>
              <w:rPr>
                <w:color w:val="auto"/>
              </w:rPr>
              <w:t>完成华星集团广州华星光电技术有限公司全部测试并形成量供；</w:t>
            </w:r>
            <w:r>
              <w:rPr>
                <w:rFonts w:hint="eastAsia"/>
                <w:color w:val="auto"/>
                <w:lang w:val="en-US" w:eastAsia="zh-CN"/>
              </w:rPr>
              <w:t>并</w:t>
            </w:r>
            <w:r>
              <w:rPr>
                <w:color w:val="auto"/>
              </w:rPr>
              <w:t>已通过韩国LGD公司直供供应商的全面稽核，成为具备向韩系龙头客户直接供应资格的中国湿电子化学品供应商，通过渠道的进一步优化，稳固和提升了公司韩系客户的客户粘性和市场份额。</w:t>
            </w:r>
          </w:p>
          <w:p w14:paraId="6BEADEC3">
            <w:pPr>
              <w:spacing w:line="360" w:lineRule="auto"/>
              <w:ind w:firstLine="440" w:firstLineChars="200"/>
              <w:rPr>
                <w:rFonts w:hint="eastAsia"/>
                <w:color w:val="auto"/>
              </w:rPr>
            </w:pPr>
            <w:r>
              <w:rPr>
                <w:rFonts w:hint="eastAsia"/>
                <w:color w:val="auto"/>
              </w:rPr>
              <w:t>公司在稳固TMAH显影液市场领先地位的同时，根据下游客户需求和市场发展变化，加速推进新产品市场拓展：剥离液产品继成功导入维信诺集团云谷(固安)科技有限公司后，完成剥离液回收液的全部测试，形成全厂规模量供，达到剥离液生产和回收循环利用的全链条闭环，</w:t>
            </w:r>
            <w:r>
              <w:rPr>
                <w:rFonts w:hint="eastAsia"/>
                <w:color w:val="auto"/>
                <w:sz w:val="21"/>
                <w:szCs w:val="21"/>
              </w:rPr>
              <w:t>实现了有效降本和循环使用模式的建立；在此基础上，公司已顺利启动并完成维信诺集团国显科技高世代OLED新工厂剥离液产品的导入；在惠科集团华南分公司完成全部测试和导入，形成全厂量供。</w:t>
            </w:r>
          </w:p>
          <w:p w14:paraId="1F9B288F">
            <w:pPr>
              <w:spacing w:line="360" w:lineRule="auto"/>
              <w:ind w:firstLine="440" w:firstLineChars="200"/>
              <w:rPr>
                <w:rFonts w:hint="eastAsia"/>
                <w:color w:val="auto"/>
              </w:rPr>
            </w:pPr>
            <w:r>
              <w:rPr>
                <w:rFonts w:hint="eastAsia"/>
                <w:color w:val="auto"/>
              </w:rPr>
              <w:t>同时，公司充分利用现有市场地位、技术优势和产业经验，不断深化泛半导体市场布局与拓展</w:t>
            </w:r>
            <w:r>
              <w:rPr>
                <w:color w:val="auto"/>
              </w:rPr>
              <w:t>: 公司在半导体大硅片及功率器件行业方面，目前已完成立昂微集团海宁新工厂、芜湖长信等国内泛半导体龙头企业的量供导入，同时对台湾地区的泛半导体客户形成稳定量供，半导体用显影液和稀释液已在半导体功率器件企业形成稳定量供，并持续开拓国内外下游泛半导体客户市场。</w:t>
            </w:r>
          </w:p>
          <w:p w14:paraId="061DCAF7">
            <w:pPr>
              <w:spacing w:line="360" w:lineRule="auto"/>
              <w:ind w:firstLine="440" w:firstLineChars="200"/>
              <w:rPr>
                <w:color w:val="auto"/>
              </w:rPr>
            </w:pPr>
            <w:r>
              <w:rPr>
                <w:rFonts w:hint="eastAsia"/>
                <w:color w:val="auto"/>
              </w:rPr>
              <w:t>公司坚持</w:t>
            </w:r>
            <w:r>
              <w:rPr>
                <w:color w:val="auto"/>
              </w:rPr>
              <w:t>"从制造到智造、从生产供应到全周期综合服务"的发展战略，持续加大研发投入，优化产品结构，深化半导体领域布局，不断提升核心竞争力，致力于成为电子材料领域国际领先的系统服务提供商。</w:t>
            </w:r>
          </w:p>
          <w:p w14:paraId="23DB2646">
            <w:pPr>
              <w:spacing w:line="360" w:lineRule="auto"/>
              <w:rPr>
                <w:color w:val="auto"/>
              </w:rPr>
            </w:pPr>
          </w:p>
          <w:p w14:paraId="132F5ED6">
            <w:pPr>
              <w:spacing w:line="360" w:lineRule="auto"/>
              <w:rPr>
                <w:rFonts w:hint="default"/>
                <w:color w:val="auto"/>
                <w:lang w:val="en-US" w:eastAsia="zh-CN"/>
              </w:rPr>
            </w:pPr>
            <w:r>
              <w:rPr>
                <w:rFonts w:hint="eastAsia"/>
                <w:color w:val="auto"/>
                <w:lang w:val="en-US"/>
              </w:rPr>
              <w:t>2、</w:t>
            </w:r>
            <w:r>
              <w:rPr>
                <w:rFonts w:hint="eastAsia"/>
                <w:color w:val="auto"/>
                <w:lang w:val="en-US" w:eastAsia="zh-CN"/>
              </w:rPr>
              <w:t>下游行业的未来趋势以及对上游电子材料行业的影响</w:t>
            </w:r>
          </w:p>
          <w:p w14:paraId="0C61BA66">
            <w:pPr>
              <w:spacing w:line="360" w:lineRule="auto"/>
              <w:rPr>
                <w:rFonts w:hint="eastAsia"/>
                <w:color w:val="auto"/>
                <w:lang w:val="en-US" w:eastAsia="zh-CN"/>
              </w:rPr>
            </w:pPr>
            <w:r>
              <w:rPr>
                <w:rFonts w:hint="eastAsia"/>
                <w:color w:val="auto"/>
                <w:lang w:val="en-US" w:eastAsia="zh-CN"/>
              </w:rPr>
              <w:t xml:space="preserve">A：国内新型显示行业技术快速发展，产业不断升级跃迁，目前已经进入全球显示行业第一阵营，引领全球液晶面板行业发展，在市占率、技术创新方面达到前所未有的领先地位。伴随产业规模的壮大，我国新型显示产业的技术水平也在不断提升。技术发展上，液晶显示在 8K、高对比度、低蓝光、Mini LED等技术的加持下，仍保持着旺盛的生命力和广阔的市场前景。OLED 显示技术具有主动发光、可柔性、超薄、超轻等特点，国际上日韩等国家起步较早，而中国则有后发优势，在政策支持、企业创新、市场良性循环及产业链齐全等因素的驱动下，国内柔性显示已从跟跑者转变为并行者，逐渐迈入第一梯队。随着显示技术迭代升级加快，产业链上游涵盖材料、设备及关键零组件等，在产业发展过程中占据重要地位。中国面板厂商进一步加大市场话语权，更多显示技术会提升到一个更高的水平，新型显示行业也正在从原有的规模导向加速走向技术导向和价值导向的高质量发展之路。 </w:t>
            </w:r>
          </w:p>
          <w:p w14:paraId="362FA101">
            <w:pPr>
              <w:spacing w:line="360" w:lineRule="auto"/>
              <w:ind w:firstLine="440" w:firstLineChars="200"/>
              <w:rPr>
                <w:rFonts w:hint="eastAsia"/>
                <w:color w:val="auto"/>
                <w:lang w:val="en-US" w:eastAsia="zh-CN"/>
              </w:rPr>
            </w:pPr>
            <w:r>
              <w:rPr>
                <w:rFonts w:hint="eastAsia"/>
                <w:color w:val="auto"/>
                <w:lang w:val="en-US" w:eastAsia="zh-CN"/>
              </w:rPr>
              <w:t>在集成电路领域中，显影液主要用来溶解硅片上经曝光后形成的光刻胶，从而形成光刻图形。显影后图形分辨率要达到技术规格要求，分辨率越高，对显影液的性能要求也就越高。不同的光刻胶需要与不同的显影液配套使用。随着集成电路制造工艺变得越来越复杂，对湿法工艺的技术要求不断提高，新结构、新器件和新材料的不断引入，主流芯片制造企业间的差异性也越来越大，对于功能性化学品来说，满足客户的定制化需求是未来发展的重要趋势。</w:t>
            </w:r>
          </w:p>
          <w:p w14:paraId="7A23E0F7">
            <w:pPr>
              <w:spacing w:line="360" w:lineRule="auto"/>
              <w:ind w:firstLine="440" w:firstLineChars="200"/>
              <w:rPr>
                <w:rFonts w:hint="eastAsia"/>
                <w:color w:val="auto"/>
                <w:lang w:val="en-US" w:eastAsia="zh-CN"/>
              </w:rPr>
            </w:pPr>
            <w:r>
              <w:rPr>
                <w:rFonts w:hint="eastAsia"/>
                <w:color w:val="auto"/>
                <w:lang w:val="en-US" w:eastAsia="zh-CN"/>
              </w:rPr>
              <w:t>此外，AI与HPC（高性能计算）对高性能、高带宽、低功耗芯片的强烈需求，加之摩尔定律逼近1nm物理极限的制约，使先进封装从制程中的“配角”逆袭为产业发展的“新引擎”。随着AI和HPC在消费电子、汽车电子等领域的广泛应用，公司积极布局产业上下游生态，不仅作为沐曦的战略配套企业，还加速推进先进封装产业链产品的布局，目前已实现中国台湾地区的产品批量供货，并在韩国开展产品认证。</w:t>
            </w:r>
          </w:p>
          <w:p w14:paraId="5DCC33E4">
            <w:pPr>
              <w:spacing w:line="360" w:lineRule="auto"/>
              <w:ind w:firstLine="440" w:firstLineChars="200"/>
              <w:rPr>
                <w:rFonts w:hint="eastAsia"/>
                <w:color w:val="auto"/>
                <w:lang w:val="en-US" w:eastAsia="zh-CN"/>
              </w:rPr>
            </w:pPr>
            <w:r>
              <w:rPr>
                <w:rFonts w:hint="eastAsia"/>
                <w:color w:val="auto"/>
                <w:lang w:val="en-US" w:eastAsia="zh-CN"/>
              </w:rPr>
              <w:t>公司作为国内湿电子化学品主要生产厂商之一，凭借先发优势，积累了非常丰富的行业经验，具备从原料提纯、杂质控制、工艺优化到包装运输的技术优势和产业经验，同时，公司紧跟行业发展，不断提升、改进生产工艺，优秀可靠的技术团队具备领先的产品设计开发能力，能够根据客户的工艺需求，开展针对性产品开发与优化，以适配不同客户的产线要求，提供定制化解决方案。目前，</w:t>
            </w:r>
            <w:r>
              <w:rPr>
                <w:rFonts w:hint="eastAsia"/>
                <w:color w:val="auto"/>
              </w:rPr>
              <w:t>公司</w:t>
            </w:r>
            <w:r>
              <w:rPr>
                <w:rFonts w:hint="eastAsia"/>
                <w:color w:val="auto"/>
                <w:lang w:val="en-US" w:eastAsia="zh-CN"/>
              </w:rPr>
              <w:t>积极</w:t>
            </w:r>
            <w:r>
              <w:rPr>
                <w:rFonts w:hint="eastAsia"/>
                <w:color w:val="auto"/>
              </w:rPr>
              <w:t>把握市场机遇</w:t>
            </w:r>
            <w:r>
              <w:rPr>
                <w:rFonts w:hint="eastAsia"/>
                <w:color w:val="auto"/>
                <w:lang w:val="en-US" w:eastAsia="zh-CN"/>
              </w:rPr>
              <w:t>和测试导入机会</w:t>
            </w:r>
            <w:r>
              <w:rPr>
                <w:rFonts w:hint="eastAsia"/>
                <w:color w:val="auto"/>
              </w:rPr>
              <w:t>，推动产品在半导体集成电路企业及其他领域的产线验证工作</w:t>
            </w:r>
            <w:r>
              <w:rPr>
                <w:rFonts w:hint="eastAsia"/>
                <w:color w:val="auto"/>
                <w:lang w:eastAsia="zh-CN"/>
              </w:rPr>
              <w:t>，</w:t>
            </w:r>
            <w:r>
              <w:rPr>
                <w:rFonts w:hint="eastAsia"/>
                <w:color w:val="auto"/>
                <w:lang w:val="en-US" w:eastAsia="zh-CN"/>
              </w:rPr>
              <w:t>同时，公司依托长期积累的高纯湿电子化学品技术储备，已开展半导体集成电路领域关键清洗液核心原材料的产业布局。</w:t>
            </w:r>
            <w:r>
              <w:rPr>
                <w:rFonts w:hint="eastAsia"/>
                <w:color w:val="auto"/>
                <w:lang w:eastAsia="zh-CN"/>
              </w:rPr>
              <w:t>未来也将持续深化与产业链上下游的协同合作，致力于实现中高端集成电路产线的产业化规模应用，增强产业链自主可控性</w:t>
            </w:r>
            <w:r>
              <w:rPr>
                <w:rFonts w:hint="eastAsia"/>
                <w:color w:val="auto"/>
              </w:rPr>
              <w:t>。</w:t>
            </w:r>
          </w:p>
          <w:p w14:paraId="03AB5A9B">
            <w:pPr>
              <w:spacing w:line="360" w:lineRule="auto"/>
              <w:ind w:firstLine="440" w:firstLineChars="200"/>
              <w:rPr>
                <w:rFonts w:hint="default" w:eastAsia="仿宋"/>
                <w:color w:val="auto"/>
                <w:lang w:val="en-US" w:eastAsia="zh-CN"/>
              </w:rPr>
            </w:pPr>
          </w:p>
          <w:p w14:paraId="3724D09B">
            <w:pPr>
              <w:spacing w:line="360" w:lineRule="auto"/>
              <w:rPr>
                <w:rFonts w:hint="default"/>
                <w:color w:val="auto"/>
                <w:lang w:val="en-US" w:eastAsia="zh-CN"/>
              </w:rPr>
            </w:pPr>
            <w:r>
              <w:rPr>
                <w:rFonts w:hint="eastAsia"/>
                <w:color w:val="auto"/>
                <w:lang w:val="en-US" w:eastAsia="zh-CN"/>
              </w:rPr>
              <w:t>3、下游行业的发展是否能进一步加速或推动公司产品测试导入进程</w:t>
            </w:r>
          </w:p>
          <w:p w14:paraId="43D092B3">
            <w:pPr>
              <w:spacing w:line="360" w:lineRule="auto"/>
              <w:rPr>
                <w:rFonts w:hint="eastAsia"/>
                <w:color w:val="auto"/>
              </w:rPr>
            </w:pPr>
            <w:r>
              <w:rPr>
                <w:rFonts w:hint="eastAsia"/>
                <w:color w:val="auto"/>
                <w:lang w:val="en-US" w:eastAsia="zh-CN"/>
              </w:rPr>
              <w:t>A：</w:t>
            </w:r>
            <w:r>
              <w:rPr>
                <w:rFonts w:hint="eastAsia"/>
                <w:color w:val="auto"/>
              </w:rPr>
              <w:t>自2009年公司显影液项目被国家发改委列入“国家彩电产业战略转型产业化专项”以来，我们始终与国家显示面板产业同频共振，见证了并深度参与国内面板企业的成长壮大。近年来，公司又先后承接</w:t>
            </w:r>
            <w:r>
              <w:rPr>
                <w:rFonts w:hint="eastAsia"/>
                <w:color w:val="auto"/>
                <w:lang w:val="en-US" w:eastAsia="zh-CN"/>
              </w:rPr>
              <w:t>并完成</w:t>
            </w:r>
            <w:r>
              <w:rPr>
                <w:rFonts w:hint="eastAsia"/>
                <w:color w:val="auto"/>
              </w:rPr>
              <w:t>国家科技部、工信部多项重点研发任务，聚焦集成电路用关键材料的研发与验证，持续核心技术攻关</w:t>
            </w:r>
            <w:r>
              <w:rPr>
                <w:rFonts w:hint="eastAsia"/>
                <w:color w:val="auto"/>
                <w:lang w:eastAsia="zh-CN"/>
              </w:rPr>
              <w:t>，</w:t>
            </w:r>
            <w:r>
              <w:rPr>
                <w:rFonts w:hint="eastAsia"/>
                <w:color w:val="auto"/>
                <w:lang w:val="en-US" w:eastAsia="zh-CN"/>
              </w:rPr>
              <w:t>完成项目验收</w:t>
            </w:r>
            <w:r>
              <w:rPr>
                <w:rFonts w:hint="eastAsia"/>
                <w:color w:val="auto"/>
              </w:rPr>
              <w:t>。一路走来，公司始终紧跟国家战略方向，将自身发展融入国家产业规划蓝图。</w:t>
            </w:r>
          </w:p>
          <w:p w14:paraId="44E1F964">
            <w:pPr>
              <w:spacing w:line="360" w:lineRule="auto"/>
              <w:ind w:firstLine="440" w:firstLineChars="200"/>
              <w:rPr>
                <w:rFonts w:hint="eastAsia"/>
                <w:color w:val="auto"/>
              </w:rPr>
            </w:pPr>
            <w:r>
              <w:rPr>
                <w:rFonts w:hint="eastAsia"/>
                <w:color w:val="auto"/>
              </w:rPr>
              <w:t>中国数字经济的发展引领新型显示产业和集成电路产业规模持续扩大，并呈现高质量发展的态势，对相关产业链的专用材料和设备企业而言将是巨大的市场机遇。在下游市场的带动下，公司所处的电子材料领域呈现较好的发展前景，以湿电子化学品为核心的系列产品也将迎来进一步市场机遇。随着下游领域快速发展、国家加大支持力度以及各大内资企业进一步加大投入，我国高端湿电子化学品配套能力有望快速提升，替代进口的趋势也会更加明显。</w:t>
            </w:r>
          </w:p>
          <w:p w14:paraId="57EB57DF">
            <w:pPr>
              <w:spacing w:line="360" w:lineRule="auto"/>
              <w:rPr>
                <w:rFonts w:hint="eastAsia"/>
                <w:color w:val="auto"/>
              </w:rPr>
            </w:pPr>
          </w:p>
          <w:p w14:paraId="569F5FB3">
            <w:pPr>
              <w:spacing w:line="360" w:lineRule="auto"/>
              <w:rPr>
                <w:color w:val="auto"/>
              </w:rPr>
            </w:pPr>
          </w:p>
        </w:tc>
      </w:tr>
      <w:tr w14:paraId="0B8C8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2377" w:type="dxa"/>
          </w:tcPr>
          <w:p w14:paraId="6822CE62">
            <w:pPr>
              <w:pStyle w:val="9"/>
              <w:spacing w:before="64" w:line="340" w:lineRule="auto"/>
              <w:ind w:right="97"/>
              <w:jc w:val="both"/>
              <w:rPr>
                <w:color w:val="auto"/>
                <w:sz w:val="24"/>
              </w:rPr>
            </w:pPr>
            <w:r>
              <w:rPr>
                <w:color w:val="auto"/>
                <w:sz w:val="24"/>
              </w:rPr>
              <w:t>活动过程中所使用的演示文稿、提供的文档等附件（如有，可</w:t>
            </w:r>
          </w:p>
          <w:p w14:paraId="5935C7DD">
            <w:pPr>
              <w:pStyle w:val="9"/>
              <w:spacing w:line="303" w:lineRule="exact"/>
              <w:rPr>
                <w:color w:val="auto"/>
                <w:sz w:val="24"/>
              </w:rPr>
            </w:pPr>
            <w:r>
              <w:rPr>
                <w:color w:val="auto"/>
                <w:sz w:val="24"/>
              </w:rPr>
              <w:t>作为附件）</w:t>
            </w:r>
          </w:p>
        </w:tc>
        <w:tc>
          <w:tcPr>
            <w:tcW w:w="6148" w:type="dxa"/>
          </w:tcPr>
          <w:p w14:paraId="0A275481">
            <w:pPr>
              <w:pStyle w:val="9"/>
              <w:ind w:left="0"/>
              <w:rPr>
                <w:rFonts w:ascii="Times New Roman"/>
                <w:color w:val="auto"/>
                <w:sz w:val="26"/>
              </w:rPr>
            </w:pPr>
            <w:r>
              <w:rPr>
                <w:rFonts w:hint="eastAsia" w:ascii="Times New Roman"/>
                <w:color w:val="auto"/>
                <w:sz w:val="26"/>
              </w:rPr>
              <w:t>无</w:t>
            </w:r>
          </w:p>
        </w:tc>
      </w:tr>
    </w:tbl>
    <w:p w14:paraId="1D506021">
      <w:pPr>
        <w:rPr>
          <w:rFonts w:ascii="宋体" w:hAnsi="宋体"/>
          <w:sz w:val="28"/>
        </w:rPr>
      </w:pPr>
    </w:p>
    <w:sectPr>
      <w:type w:val="continuous"/>
      <w:pgSz w:w="11910" w:h="16840"/>
      <w:pgMar w:top="1520" w:right="1580" w:bottom="280" w:left="9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0B"/>
    <w:rsid w:val="000107D8"/>
    <w:rsid w:val="00017528"/>
    <w:rsid w:val="0006379E"/>
    <w:rsid w:val="0007053C"/>
    <w:rsid w:val="00071C6E"/>
    <w:rsid w:val="00097177"/>
    <w:rsid w:val="000D2AB6"/>
    <w:rsid w:val="000F5F02"/>
    <w:rsid w:val="001108FE"/>
    <w:rsid w:val="001305E4"/>
    <w:rsid w:val="00162871"/>
    <w:rsid w:val="00171360"/>
    <w:rsid w:val="0017157A"/>
    <w:rsid w:val="001B3291"/>
    <w:rsid w:val="001E10B2"/>
    <w:rsid w:val="001E2B06"/>
    <w:rsid w:val="0020694B"/>
    <w:rsid w:val="00215255"/>
    <w:rsid w:val="0024697F"/>
    <w:rsid w:val="00263F0C"/>
    <w:rsid w:val="002B4064"/>
    <w:rsid w:val="002C5CF8"/>
    <w:rsid w:val="002C6274"/>
    <w:rsid w:val="002C7B42"/>
    <w:rsid w:val="002D181B"/>
    <w:rsid w:val="002E55A5"/>
    <w:rsid w:val="00327BF0"/>
    <w:rsid w:val="00367D14"/>
    <w:rsid w:val="003C207C"/>
    <w:rsid w:val="003C6CFD"/>
    <w:rsid w:val="003F1A7A"/>
    <w:rsid w:val="004B1FD7"/>
    <w:rsid w:val="004B3293"/>
    <w:rsid w:val="004D7AF6"/>
    <w:rsid w:val="004F68F0"/>
    <w:rsid w:val="005156BA"/>
    <w:rsid w:val="00520021"/>
    <w:rsid w:val="00551301"/>
    <w:rsid w:val="00552269"/>
    <w:rsid w:val="00552E3E"/>
    <w:rsid w:val="00577250"/>
    <w:rsid w:val="00580104"/>
    <w:rsid w:val="005D738A"/>
    <w:rsid w:val="00605CA3"/>
    <w:rsid w:val="00610110"/>
    <w:rsid w:val="00637B62"/>
    <w:rsid w:val="006A3353"/>
    <w:rsid w:val="00711F8E"/>
    <w:rsid w:val="0071356F"/>
    <w:rsid w:val="00745B4F"/>
    <w:rsid w:val="007A6320"/>
    <w:rsid w:val="007B6582"/>
    <w:rsid w:val="007D3014"/>
    <w:rsid w:val="007E1942"/>
    <w:rsid w:val="007E3B0D"/>
    <w:rsid w:val="0081611E"/>
    <w:rsid w:val="008918A7"/>
    <w:rsid w:val="008A4F6A"/>
    <w:rsid w:val="008E614D"/>
    <w:rsid w:val="008E69FB"/>
    <w:rsid w:val="00934209"/>
    <w:rsid w:val="00946532"/>
    <w:rsid w:val="00965090"/>
    <w:rsid w:val="00974069"/>
    <w:rsid w:val="009A5806"/>
    <w:rsid w:val="009B56F7"/>
    <w:rsid w:val="009F0355"/>
    <w:rsid w:val="00A07BD1"/>
    <w:rsid w:val="00A16B93"/>
    <w:rsid w:val="00A53C54"/>
    <w:rsid w:val="00A645EC"/>
    <w:rsid w:val="00A83E0B"/>
    <w:rsid w:val="00A83F33"/>
    <w:rsid w:val="00A92E65"/>
    <w:rsid w:val="00AB70D9"/>
    <w:rsid w:val="00AD52E4"/>
    <w:rsid w:val="00AD77D3"/>
    <w:rsid w:val="00B10134"/>
    <w:rsid w:val="00B310ED"/>
    <w:rsid w:val="00B41B05"/>
    <w:rsid w:val="00B50979"/>
    <w:rsid w:val="00BC4BE7"/>
    <w:rsid w:val="00C5219B"/>
    <w:rsid w:val="00C6276F"/>
    <w:rsid w:val="00CB3578"/>
    <w:rsid w:val="00CC496A"/>
    <w:rsid w:val="00CE4412"/>
    <w:rsid w:val="00CF1336"/>
    <w:rsid w:val="00D440A6"/>
    <w:rsid w:val="00D66389"/>
    <w:rsid w:val="00DB46FA"/>
    <w:rsid w:val="00DB538E"/>
    <w:rsid w:val="00DD36C9"/>
    <w:rsid w:val="00E21290"/>
    <w:rsid w:val="00E231E8"/>
    <w:rsid w:val="00E252C7"/>
    <w:rsid w:val="00E36611"/>
    <w:rsid w:val="00E50F80"/>
    <w:rsid w:val="00EB30A3"/>
    <w:rsid w:val="00EC5731"/>
    <w:rsid w:val="00EF4B98"/>
    <w:rsid w:val="00F077A1"/>
    <w:rsid w:val="00F3379D"/>
    <w:rsid w:val="00F36EB7"/>
    <w:rsid w:val="00F67894"/>
    <w:rsid w:val="00F971FE"/>
    <w:rsid w:val="00FD431E"/>
    <w:rsid w:val="01B9408B"/>
    <w:rsid w:val="020D46B4"/>
    <w:rsid w:val="0314091A"/>
    <w:rsid w:val="0C417B56"/>
    <w:rsid w:val="11BA488E"/>
    <w:rsid w:val="1CD7160B"/>
    <w:rsid w:val="1ED23A13"/>
    <w:rsid w:val="2A807AF1"/>
    <w:rsid w:val="2E32172D"/>
    <w:rsid w:val="34653B2A"/>
    <w:rsid w:val="40B214D8"/>
    <w:rsid w:val="46E836BE"/>
    <w:rsid w:val="472834C0"/>
    <w:rsid w:val="4F415E91"/>
    <w:rsid w:val="60E21390"/>
    <w:rsid w:val="7818479B"/>
    <w:rsid w:val="DDEBF3DB"/>
    <w:rsid w:val="FEFD18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07"/>
    </w:pPr>
  </w:style>
  <w:style w:type="character" w:customStyle="1" w:styleId="10">
    <w:name w:val="页眉 字符"/>
    <w:basedOn w:val="6"/>
    <w:link w:val="4"/>
    <w:qFormat/>
    <w:uiPriority w:val="0"/>
    <w:rPr>
      <w:rFonts w:ascii="仿宋" w:hAnsi="仿宋" w:eastAsia="仿宋" w:cs="仿宋"/>
      <w:sz w:val="18"/>
      <w:szCs w:val="18"/>
      <w:lang w:val="zh-CN" w:bidi="zh-CN"/>
    </w:rPr>
  </w:style>
  <w:style w:type="character" w:customStyle="1" w:styleId="11">
    <w:name w:val="页脚 字符"/>
    <w:basedOn w:val="6"/>
    <w:link w:val="3"/>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3068</Words>
  <Characters>3145</Characters>
  <Lines>15</Lines>
  <Paragraphs>4</Paragraphs>
  <TotalTime>26</TotalTime>
  <ScaleCrop>false</ScaleCrop>
  <LinksUpToDate>false</LinksUpToDate>
  <CharactersWithSpaces>3222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2024-10-30T13:21:00Z</dcterms:created>
  <dc:creator>杨展</dc:creator>
  <cp:lastModifiedBy>杭州格林达</cp:lastModifiedBy>
  <dcterms:modified xsi:type="dcterms:W3CDTF">2026-07-23T05:11:18Z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2052-12.1.0.26375</vt:lpwstr>
  </property>
  <property fmtid="{D5CDD505-2E9C-101B-9397-08002B2CF9AE}" pid="6" name="KSOTemplateDocerSaveRecord">
    <vt:lpwstr>eyJoZGlkIjoiYjM1MzI5ZjdhYjMwMjg0OGUxNWUzZTQ2ZjVlODNmMGMiLCJ1c2VySWQiOiI1MjM0NDMzMTIifQ==</vt:lpwstr>
  </property>
  <property fmtid="{D5CDD505-2E9C-101B-9397-08002B2CF9AE}" pid="7" name="ICV">
    <vt:lpwstr>DA75ED65EA50493D832041CFDF593FE0_13</vt:lpwstr>
  </property>
</Properties>
</file>