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B3CB3">
      <w:pPr>
        <w:spacing w:before="156" w:beforeLines="50" w:after="156" w:afterLines="50" w:line="400" w:lineRule="exact"/>
        <w:jc w:val="center"/>
        <w:rPr>
          <w:rFonts w:ascii="宋体" w:hAnsi="宋体"/>
          <w:iCs/>
          <w:color w:val="000000"/>
          <w:sz w:val="24"/>
        </w:rPr>
      </w:pPr>
      <w:r>
        <w:rPr>
          <w:rFonts w:hint="eastAsia" w:ascii="宋体" w:hAnsi="宋体"/>
          <w:iCs/>
          <w:color w:val="000000"/>
          <w:sz w:val="24"/>
        </w:rPr>
        <w:t>证券代码：601058                                         证券简称：赛轮轮胎</w:t>
      </w:r>
    </w:p>
    <w:p w14:paraId="29A345F0">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赛轮集团</w:t>
      </w:r>
      <w:r>
        <w:rPr>
          <w:rFonts w:ascii="宋体" w:hAnsi="宋体"/>
          <w:b/>
          <w:bCs/>
          <w:iCs/>
          <w:color w:val="000000"/>
          <w:sz w:val="32"/>
          <w:szCs w:val="32"/>
        </w:rPr>
        <w:t>股份有限公司</w:t>
      </w:r>
    </w:p>
    <w:p w14:paraId="5FE4DB01">
      <w:pPr>
        <w:spacing w:before="156" w:beforeLines="50" w:after="156" w:afterLines="50" w:line="400" w:lineRule="exact"/>
        <w:jc w:val="center"/>
        <w:rPr>
          <w:rFonts w:ascii="宋体" w:hAnsi="宋体"/>
          <w:b/>
          <w:bCs/>
          <w:iCs/>
          <w:color w:val="000000"/>
          <w:sz w:val="32"/>
          <w:szCs w:val="32"/>
        </w:rPr>
      </w:pPr>
      <w:r>
        <w:rPr>
          <w:rFonts w:hint="eastAsia" w:ascii="宋体" w:hAnsi="宋体"/>
          <w:b/>
          <w:bCs/>
          <w:iCs/>
          <w:color w:val="000000"/>
          <w:sz w:val="32"/>
          <w:szCs w:val="32"/>
        </w:rPr>
        <w:t>投资者关系活动记录表</w:t>
      </w:r>
    </w:p>
    <w:tbl>
      <w:tblPr>
        <w:tblStyle w:val="9"/>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7159"/>
      </w:tblGrid>
      <w:tr w14:paraId="56DD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1908" w:type="dxa"/>
            <w:tcBorders>
              <w:top w:val="single" w:color="auto" w:sz="4" w:space="0"/>
              <w:left w:val="single" w:color="auto" w:sz="4" w:space="0"/>
              <w:bottom w:val="single" w:color="auto" w:sz="4" w:space="0"/>
              <w:right w:val="single" w:color="auto" w:sz="4" w:space="0"/>
            </w:tcBorders>
            <w:vAlign w:val="center"/>
          </w:tcPr>
          <w:p w14:paraId="132E5126">
            <w:pPr>
              <w:rPr>
                <w:bCs/>
                <w:iCs/>
                <w:color w:val="000000"/>
                <w:sz w:val="24"/>
              </w:rPr>
            </w:pPr>
            <w:r>
              <w:rPr>
                <w:rFonts w:hint="eastAsia" w:ascii="宋体" w:hAnsi="宋体" w:cs="宋体"/>
                <w:sz w:val="24"/>
              </w:rPr>
              <w:t>投资者关系活动类别</w:t>
            </w:r>
          </w:p>
        </w:tc>
        <w:tc>
          <w:tcPr>
            <w:tcW w:w="7159" w:type="dxa"/>
            <w:tcBorders>
              <w:top w:val="single" w:color="auto" w:sz="4" w:space="0"/>
              <w:left w:val="single" w:color="auto" w:sz="4" w:space="0"/>
              <w:bottom w:val="single" w:color="auto" w:sz="4" w:space="0"/>
              <w:right w:val="single" w:color="auto" w:sz="4" w:space="0"/>
            </w:tcBorders>
          </w:tcPr>
          <w:p w14:paraId="7CA43EC9">
            <w:pPr>
              <w:rPr>
                <w:rFonts w:ascii="宋体" w:hAnsi="宋体" w:cs="宋体"/>
                <w:color w:val="auto"/>
                <w:sz w:val="24"/>
                <w:shd w:val="clear" w:color="auto" w:fill="auto"/>
              </w:rPr>
            </w:pPr>
            <w:r>
              <w:rPr>
                <w:rFonts w:hint="eastAsia" w:ascii="宋体" w:hAnsi="宋体" w:cs="宋体"/>
                <w:color w:val="auto"/>
                <w:sz w:val="24"/>
                <w:shd w:val="clear" w:color="auto" w:fill="auto"/>
              </w:rPr>
              <w:sym w:font="Wingdings 2" w:char="0052"/>
            </w:r>
            <w:r>
              <w:rPr>
                <w:rFonts w:hint="eastAsia" w:ascii="宋体" w:hAnsi="宋体" w:cs="宋体"/>
                <w:color w:val="auto"/>
                <w:sz w:val="24"/>
                <w:shd w:val="clear" w:color="auto" w:fill="auto"/>
              </w:rPr>
              <w:t xml:space="preserve"> 特定对象调研        </w:t>
            </w:r>
            <w:r>
              <w:rPr>
                <w:rFonts w:hint="eastAsia" w:ascii="宋体" w:hAnsi="宋体" w:cs="宋体"/>
                <w:color w:val="auto"/>
                <w:sz w:val="24"/>
                <w:shd w:val="clear" w:color="auto" w:fill="auto"/>
              </w:rPr>
              <w:sym w:font="Wingdings 2" w:char="0052"/>
            </w:r>
            <w:r>
              <w:rPr>
                <w:rFonts w:hint="eastAsia" w:ascii="宋体" w:hAnsi="宋体" w:cs="宋体"/>
                <w:color w:val="auto"/>
                <w:sz w:val="24"/>
                <w:shd w:val="clear" w:color="auto" w:fill="auto"/>
              </w:rPr>
              <w:t xml:space="preserve"> 分析师会议</w:t>
            </w:r>
          </w:p>
          <w:p w14:paraId="2F0BA265">
            <w:pPr>
              <w:rPr>
                <w:rFonts w:ascii="宋体" w:hAnsi="宋体" w:cs="宋体"/>
                <w:color w:val="auto"/>
                <w:sz w:val="24"/>
                <w:shd w:val="clear" w:color="auto" w:fill="auto"/>
              </w:rPr>
            </w:pPr>
            <w:r>
              <w:rPr>
                <w:rFonts w:hint="eastAsia" w:ascii="宋体" w:hAnsi="宋体" w:cs="宋体"/>
                <w:color w:val="auto"/>
                <w:sz w:val="24"/>
                <w:shd w:val="clear" w:color="auto" w:fill="auto"/>
              </w:rPr>
              <w:sym w:font="Wingdings 2" w:char="00A3"/>
            </w:r>
            <w:r>
              <w:rPr>
                <w:rFonts w:hint="eastAsia" w:ascii="宋体" w:hAnsi="宋体" w:cs="宋体"/>
                <w:color w:val="auto"/>
                <w:sz w:val="24"/>
                <w:shd w:val="clear" w:color="auto" w:fill="auto"/>
              </w:rPr>
              <w:t xml:space="preserve"> 媒体采访            </w:t>
            </w:r>
            <w:r>
              <w:rPr>
                <w:rFonts w:hint="eastAsia" w:ascii="宋体" w:hAnsi="宋体" w:cs="宋体"/>
                <w:color w:val="auto"/>
                <w:sz w:val="24"/>
                <w:shd w:val="clear" w:color="auto" w:fill="auto"/>
              </w:rPr>
              <w:sym w:font="Wingdings 2" w:char="00A3"/>
            </w:r>
            <w:r>
              <w:rPr>
                <w:rFonts w:hint="eastAsia" w:ascii="宋体" w:hAnsi="宋体" w:cs="宋体"/>
                <w:color w:val="auto"/>
                <w:sz w:val="24"/>
                <w:shd w:val="clear" w:color="auto" w:fill="auto"/>
              </w:rPr>
              <w:t xml:space="preserve"> 业绩说明会</w:t>
            </w:r>
          </w:p>
          <w:p w14:paraId="4437F22C">
            <w:pPr>
              <w:rPr>
                <w:rFonts w:ascii="宋体" w:hAnsi="宋体" w:cs="宋体"/>
                <w:color w:val="auto"/>
                <w:sz w:val="24"/>
                <w:shd w:val="clear" w:color="auto" w:fill="auto"/>
              </w:rPr>
            </w:pPr>
            <w:r>
              <w:rPr>
                <w:rFonts w:hint="eastAsia" w:ascii="宋体" w:hAnsi="宋体" w:cs="宋体"/>
                <w:color w:val="auto"/>
                <w:sz w:val="24"/>
                <w:shd w:val="clear" w:color="auto" w:fill="auto"/>
              </w:rPr>
              <w:sym w:font="Wingdings 2" w:char="00A3"/>
            </w:r>
            <w:r>
              <w:rPr>
                <w:rFonts w:hint="eastAsia" w:ascii="宋体" w:hAnsi="宋体" w:cs="宋体"/>
                <w:color w:val="auto"/>
                <w:sz w:val="24"/>
                <w:shd w:val="clear" w:color="auto" w:fill="auto"/>
              </w:rPr>
              <w:t xml:space="preserve"> 新闻发布会          </w:t>
            </w:r>
            <w:r>
              <w:rPr>
                <w:rFonts w:hint="eastAsia" w:ascii="宋体" w:hAnsi="宋体" w:cs="宋体"/>
                <w:color w:val="auto"/>
                <w:sz w:val="24"/>
                <w:shd w:val="clear" w:color="auto" w:fill="auto"/>
              </w:rPr>
              <w:sym w:font="Wingdings 2" w:char="00A3"/>
            </w:r>
            <w:r>
              <w:rPr>
                <w:rFonts w:hint="eastAsia" w:ascii="宋体" w:hAnsi="宋体" w:cs="宋体"/>
                <w:color w:val="auto"/>
                <w:sz w:val="24"/>
                <w:shd w:val="clear" w:color="auto" w:fill="auto"/>
              </w:rPr>
              <w:t xml:space="preserve"> 路演活动</w:t>
            </w:r>
          </w:p>
          <w:p w14:paraId="0C3A22D3">
            <w:pPr>
              <w:rPr>
                <w:rFonts w:ascii="宋体" w:hAnsi="宋体" w:cs="宋体"/>
                <w:color w:val="auto"/>
                <w:sz w:val="24"/>
                <w:shd w:val="clear" w:color="auto" w:fill="auto"/>
              </w:rPr>
            </w:pPr>
            <w:r>
              <w:rPr>
                <w:rFonts w:hint="eastAsia" w:ascii="宋体" w:hAnsi="宋体" w:cs="宋体"/>
                <w:color w:val="auto"/>
                <w:sz w:val="24"/>
                <w:shd w:val="clear" w:color="auto" w:fill="auto"/>
              </w:rPr>
              <w:sym w:font="Wingdings 2" w:char="0052"/>
            </w:r>
            <w:r>
              <w:rPr>
                <w:rFonts w:hint="eastAsia" w:ascii="宋体" w:hAnsi="宋体" w:cs="宋体"/>
                <w:color w:val="auto"/>
                <w:sz w:val="24"/>
                <w:shd w:val="clear" w:color="auto" w:fill="auto"/>
              </w:rPr>
              <w:t xml:space="preserve"> 现场参观</w:t>
            </w:r>
            <w:r>
              <w:rPr>
                <w:rFonts w:hint="eastAsia" w:ascii="宋体" w:hAnsi="宋体" w:cs="宋体"/>
                <w:color w:val="auto"/>
                <w:sz w:val="24"/>
                <w:shd w:val="clear" w:color="auto" w:fill="auto"/>
              </w:rPr>
              <w:tab/>
            </w:r>
          </w:p>
          <w:p w14:paraId="2939C492">
            <w:pPr>
              <w:rPr>
                <w:bCs/>
                <w:iCs/>
                <w:color w:val="auto"/>
                <w:sz w:val="24"/>
                <w:shd w:val="clear" w:color="auto" w:fill="auto"/>
              </w:rPr>
            </w:pPr>
            <w:r>
              <w:rPr>
                <w:rFonts w:hint="eastAsia" w:ascii="宋体" w:hAnsi="宋体" w:cs="宋体"/>
                <w:color w:val="auto"/>
                <w:sz w:val="24"/>
                <w:shd w:val="clear" w:color="auto" w:fill="auto"/>
              </w:rPr>
              <w:sym w:font="Wingdings 2" w:char="0052"/>
            </w:r>
            <w:r>
              <w:rPr>
                <w:rFonts w:hint="eastAsia" w:ascii="宋体" w:hAnsi="宋体" w:cs="宋体"/>
                <w:color w:val="auto"/>
                <w:sz w:val="24"/>
                <w:shd w:val="clear" w:color="auto" w:fill="auto"/>
              </w:rPr>
              <w:t xml:space="preserve"> 其他：</w:t>
            </w:r>
            <w:r>
              <w:rPr>
                <w:rFonts w:ascii="宋体" w:hAnsi="宋体" w:cs="宋体"/>
                <w:color w:val="auto"/>
                <w:sz w:val="24"/>
                <w:u w:val="single"/>
                <w:shd w:val="clear" w:color="auto" w:fill="auto"/>
              </w:rPr>
              <w:t xml:space="preserve"> </w:t>
            </w:r>
            <w:r>
              <w:rPr>
                <w:rFonts w:hint="eastAsia" w:ascii="宋体" w:hAnsi="宋体" w:cs="宋体"/>
                <w:color w:val="auto"/>
                <w:sz w:val="24"/>
                <w:u w:val="single"/>
                <w:shd w:val="clear" w:color="auto" w:fill="auto"/>
              </w:rPr>
              <w:t xml:space="preserve"> 线上交流     </w:t>
            </w:r>
          </w:p>
        </w:tc>
      </w:tr>
      <w:tr w14:paraId="66AAF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77762320">
            <w:pPr>
              <w:rPr>
                <w:bCs/>
                <w:iCs/>
                <w:color w:val="000000"/>
                <w:kern w:val="0"/>
                <w:sz w:val="24"/>
                <w:highlight w:val="none"/>
              </w:rPr>
            </w:pPr>
            <w:r>
              <w:rPr>
                <w:rFonts w:hint="eastAsia" w:ascii="宋体" w:hAnsi="宋体" w:cs="宋体"/>
                <w:sz w:val="24"/>
                <w:highlight w:val="none"/>
              </w:rPr>
              <w:t>参与单位名称</w:t>
            </w:r>
          </w:p>
        </w:tc>
        <w:tc>
          <w:tcPr>
            <w:tcW w:w="7159" w:type="dxa"/>
            <w:tcBorders>
              <w:top w:val="single" w:color="auto" w:sz="4" w:space="0"/>
              <w:left w:val="single" w:color="auto" w:sz="4" w:space="0"/>
              <w:bottom w:val="single" w:color="auto" w:sz="4" w:space="0"/>
              <w:right w:val="single" w:color="auto" w:sz="4" w:space="0"/>
            </w:tcBorders>
            <w:vAlign w:val="center"/>
          </w:tcPr>
          <w:p w14:paraId="224FC9B8">
            <w:pPr>
              <w:rPr>
                <w:rFonts w:hint="eastAsia" w:ascii="宋体" w:hAnsi="宋体" w:cs="宋体"/>
                <w:sz w:val="24"/>
                <w:highlight w:val="none"/>
              </w:rPr>
            </w:pPr>
            <w:r>
              <w:rPr>
                <w:rFonts w:hint="eastAsia" w:ascii="宋体" w:hAnsi="宋体" w:cs="宋体"/>
                <w:sz w:val="24"/>
                <w:highlight w:val="none"/>
                <w:lang w:val="en-US" w:eastAsia="zh-CN"/>
              </w:rPr>
              <w:t>平安养老基金、千禧基金、财通基金、上海和谐汇一资产管理、北京中港融鑫资产管理、松熙私募基金、国泰基金、润州投资、永安国富、中金资管、长江养老保险、中泰资管、淡水泉投资、鹏华基金、兴全基金、前海人寿保险、工银瑞信基金、华安基金、中欧基金、浦银安盛基金、易方达基金、汇丰晋信基金、平安基金、汇丰资产、瀚亚投资、高毅资产、拾贝投资、中邮基金、融通基金、前海基金、太平资产、鹏扬基金、Kadensa Capital、T Rowe Price、White Oak Capital、Nan Shan Life、Invesco Investment Management、Jain Global、WILLING CAPITAL、国海证券、东财证券、招商证券、法巴证券、西南证券、中泰证券、中信证券、国联民生证券、财通证券、西部证券、华泰证券、中金证券、浙商证券、华福证券等</w:t>
            </w:r>
          </w:p>
        </w:tc>
      </w:tr>
      <w:tr w14:paraId="7C2F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1908" w:type="dxa"/>
            <w:tcBorders>
              <w:top w:val="single" w:color="auto" w:sz="4" w:space="0"/>
              <w:left w:val="single" w:color="auto" w:sz="4" w:space="0"/>
              <w:bottom w:val="single" w:color="auto" w:sz="4" w:space="0"/>
              <w:right w:val="single" w:color="auto" w:sz="4" w:space="0"/>
            </w:tcBorders>
            <w:vAlign w:val="center"/>
          </w:tcPr>
          <w:p w14:paraId="4DE39CED">
            <w:pPr>
              <w:rPr>
                <w:bCs/>
                <w:iCs/>
                <w:color w:val="000000"/>
                <w:kern w:val="0"/>
                <w:sz w:val="24"/>
              </w:rPr>
            </w:pPr>
            <w:r>
              <w:rPr>
                <w:rFonts w:hint="eastAsia" w:ascii="宋体" w:hAnsi="宋体" w:cs="宋体"/>
                <w:sz w:val="24"/>
              </w:rPr>
              <w:t>时间</w:t>
            </w:r>
          </w:p>
        </w:tc>
        <w:tc>
          <w:tcPr>
            <w:tcW w:w="7159" w:type="dxa"/>
            <w:tcBorders>
              <w:top w:val="single" w:color="auto" w:sz="4" w:space="0"/>
              <w:left w:val="single" w:color="auto" w:sz="4" w:space="0"/>
              <w:bottom w:val="single" w:color="auto" w:sz="4" w:space="0"/>
              <w:right w:val="single" w:color="auto" w:sz="4" w:space="0"/>
            </w:tcBorders>
          </w:tcPr>
          <w:p w14:paraId="67E72CAE">
            <w:pPr>
              <w:rPr>
                <w:rFonts w:hint="eastAsia" w:ascii="宋体" w:hAnsi="宋体" w:cs="宋体"/>
                <w:sz w:val="24"/>
                <w:highlight w:val="none"/>
              </w:rPr>
            </w:pPr>
            <w:r>
              <w:rPr>
                <w:rFonts w:hint="eastAsia" w:ascii="宋体" w:hAnsi="宋体" w:cs="宋体"/>
                <w:sz w:val="24"/>
                <w:highlight w:val="none"/>
              </w:rPr>
              <w:t>2026年</w:t>
            </w:r>
            <w:r>
              <w:rPr>
                <w:rFonts w:hint="eastAsia" w:ascii="宋体" w:hAnsi="宋体" w:cs="宋体"/>
                <w:sz w:val="24"/>
                <w:highlight w:val="none"/>
                <w:lang w:val="en-US" w:eastAsia="zh-CN"/>
              </w:rPr>
              <w:t>7</w:t>
            </w:r>
            <w:r>
              <w:rPr>
                <w:rFonts w:hint="eastAsia" w:ascii="宋体" w:hAnsi="宋体" w:cs="宋体"/>
                <w:sz w:val="24"/>
                <w:highlight w:val="none"/>
              </w:rPr>
              <w:t>月</w:t>
            </w:r>
          </w:p>
        </w:tc>
      </w:tr>
      <w:tr w14:paraId="1466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12D230CB">
            <w:pPr>
              <w:wordWrap w:val="0"/>
              <w:rPr>
                <w:bCs/>
                <w:iCs/>
                <w:color w:val="000000"/>
                <w:kern w:val="0"/>
                <w:sz w:val="24"/>
                <w:highlight w:val="none"/>
              </w:rPr>
            </w:pPr>
            <w:r>
              <w:rPr>
                <w:rFonts w:hint="eastAsia" w:ascii="宋体" w:hAnsi="宋体" w:cs="宋体"/>
                <w:sz w:val="24"/>
                <w:highlight w:val="none"/>
              </w:rPr>
              <w:t>地点</w:t>
            </w:r>
          </w:p>
        </w:tc>
        <w:tc>
          <w:tcPr>
            <w:tcW w:w="7159" w:type="dxa"/>
            <w:tcBorders>
              <w:top w:val="single" w:color="auto" w:sz="4" w:space="0"/>
              <w:left w:val="single" w:color="auto" w:sz="4" w:space="0"/>
              <w:bottom w:val="single" w:color="auto" w:sz="4" w:space="0"/>
              <w:right w:val="single" w:color="auto" w:sz="4" w:space="0"/>
            </w:tcBorders>
          </w:tcPr>
          <w:p w14:paraId="0A506A44">
            <w:pPr>
              <w:rPr>
                <w:rFonts w:hint="eastAsia" w:ascii="宋体" w:hAnsi="宋体" w:cs="宋体"/>
                <w:sz w:val="24"/>
                <w:highlight w:val="none"/>
              </w:rPr>
            </w:pPr>
            <w:r>
              <w:rPr>
                <w:rFonts w:hint="eastAsia" w:ascii="宋体" w:hAnsi="宋体" w:cs="宋体"/>
                <w:sz w:val="24"/>
                <w:highlight w:val="none"/>
              </w:rPr>
              <w:t>现场：青岛市市北区郑州路43号橡</w:t>
            </w:r>
            <w:r>
              <w:rPr>
                <w:rFonts w:hint="eastAsia" w:ascii="宋体" w:hAnsi="宋体" w:cs="宋体"/>
                <w:sz w:val="24"/>
                <w:highlight w:val="none"/>
                <w:lang w:val="en-US" w:eastAsia="zh-CN"/>
              </w:rPr>
              <w:t>塑</w:t>
            </w:r>
            <w:r>
              <w:rPr>
                <w:rFonts w:hint="eastAsia" w:ascii="宋体" w:hAnsi="宋体" w:cs="宋体"/>
                <w:sz w:val="24"/>
                <w:highlight w:val="none"/>
              </w:rPr>
              <w:t>新材料大楼会议室</w:t>
            </w:r>
          </w:p>
          <w:p w14:paraId="7FE8F9AB">
            <w:pPr>
              <w:rPr>
                <w:rFonts w:hint="default" w:ascii="宋体" w:hAnsi="宋体" w:cs="宋体"/>
                <w:sz w:val="24"/>
                <w:highlight w:val="none"/>
                <w:lang w:val="en-US" w:eastAsia="zh-CN"/>
              </w:rPr>
            </w:pPr>
            <w:r>
              <w:rPr>
                <w:rFonts w:hint="eastAsia" w:ascii="宋体" w:hAnsi="宋体" w:cs="宋体"/>
                <w:sz w:val="24"/>
                <w:highlight w:val="none"/>
                <w:lang w:val="en-US" w:eastAsia="zh-CN"/>
              </w:rPr>
              <w:t>线上：分析师会议</w:t>
            </w:r>
          </w:p>
        </w:tc>
      </w:tr>
      <w:tr w14:paraId="6EE2F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1908" w:type="dxa"/>
            <w:tcBorders>
              <w:top w:val="single" w:color="auto" w:sz="4" w:space="0"/>
              <w:left w:val="single" w:color="auto" w:sz="4" w:space="0"/>
              <w:bottom w:val="single" w:color="auto" w:sz="4" w:space="0"/>
              <w:right w:val="single" w:color="auto" w:sz="4" w:space="0"/>
            </w:tcBorders>
            <w:vAlign w:val="center"/>
          </w:tcPr>
          <w:p w14:paraId="543211A2">
            <w:pPr>
              <w:rPr>
                <w:bCs/>
                <w:iCs/>
                <w:color w:val="000000"/>
                <w:kern w:val="0"/>
                <w:sz w:val="24"/>
              </w:rPr>
            </w:pPr>
            <w:r>
              <w:rPr>
                <w:rFonts w:hint="eastAsia" w:ascii="宋体" w:hAnsi="宋体" w:cs="宋体"/>
                <w:sz w:val="24"/>
              </w:rPr>
              <w:t>上市公司接待人员姓名</w:t>
            </w:r>
          </w:p>
        </w:tc>
        <w:tc>
          <w:tcPr>
            <w:tcW w:w="7159" w:type="dxa"/>
            <w:tcBorders>
              <w:top w:val="single" w:color="auto" w:sz="4" w:space="0"/>
              <w:left w:val="single" w:color="auto" w:sz="4" w:space="0"/>
              <w:bottom w:val="single" w:color="auto" w:sz="4" w:space="0"/>
              <w:right w:val="single" w:color="auto" w:sz="4" w:space="0"/>
            </w:tcBorders>
            <w:vAlign w:val="center"/>
          </w:tcPr>
          <w:p w14:paraId="2C283DB1">
            <w:pPr>
              <w:rPr>
                <w:rFonts w:ascii="宋体" w:hAnsi="宋体" w:cs="宋体"/>
                <w:sz w:val="24"/>
              </w:rPr>
            </w:pPr>
            <w:r>
              <w:rPr>
                <w:rFonts w:hint="eastAsia" w:ascii="宋体" w:hAnsi="宋体" w:cs="宋体"/>
                <w:sz w:val="24"/>
              </w:rPr>
              <w:t>董事、董事会秘书：李吉庆</w:t>
            </w:r>
          </w:p>
          <w:p w14:paraId="04326B94">
            <w:pPr>
              <w:rPr>
                <w:rFonts w:ascii="宋体" w:hAnsi="宋体" w:cs="宋体"/>
                <w:sz w:val="24"/>
              </w:rPr>
            </w:pPr>
            <w:r>
              <w:rPr>
                <w:rFonts w:hint="eastAsia" w:ascii="宋体" w:hAnsi="宋体" w:cs="宋体"/>
                <w:sz w:val="24"/>
              </w:rPr>
              <w:t>投资者关系主管：曲蕾</w:t>
            </w:r>
          </w:p>
          <w:p w14:paraId="11B94414">
            <w:pPr>
              <w:rPr>
                <w:rFonts w:ascii="宋体" w:hAnsi="宋体" w:cs="宋体"/>
                <w:sz w:val="24"/>
              </w:rPr>
            </w:pPr>
            <w:r>
              <w:rPr>
                <w:rFonts w:hint="eastAsia" w:ascii="宋体" w:hAnsi="宋体" w:cs="宋体"/>
                <w:sz w:val="24"/>
              </w:rPr>
              <w:t>信息披露经理：闫凯</w:t>
            </w:r>
          </w:p>
        </w:tc>
      </w:tr>
      <w:tr w14:paraId="40F1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6CDA2C92">
            <w:pPr>
              <w:spacing w:line="420" w:lineRule="exact"/>
              <w:rPr>
                <w:bCs/>
                <w:iCs/>
                <w:color w:val="000000"/>
                <w:sz w:val="24"/>
              </w:rPr>
            </w:pPr>
            <w:r>
              <w:rPr>
                <w:rFonts w:hAnsi="宋体"/>
                <w:bCs/>
                <w:iCs/>
                <w:color w:val="000000"/>
                <w:kern w:val="0"/>
                <w:sz w:val="24"/>
              </w:rPr>
              <w:t>投资者关系活动主要内容介绍</w:t>
            </w:r>
          </w:p>
        </w:tc>
        <w:tc>
          <w:tcPr>
            <w:tcW w:w="7159" w:type="dxa"/>
            <w:tcBorders>
              <w:top w:val="single" w:color="auto" w:sz="4" w:space="0"/>
              <w:left w:val="single" w:color="auto" w:sz="4" w:space="0"/>
              <w:bottom w:val="single" w:color="auto" w:sz="4" w:space="0"/>
              <w:right w:val="single" w:color="auto" w:sz="4" w:space="0"/>
            </w:tcBorders>
          </w:tcPr>
          <w:p w14:paraId="3A057DDC">
            <w:pPr>
              <w:pStyle w:val="14"/>
              <w:spacing w:line="460" w:lineRule="exact"/>
              <w:ind w:left="-2" w:leftChars="-1" w:firstLine="480" w:firstLineChars="0"/>
              <w:rPr>
                <w:rFonts w:ascii="宋体" w:hAnsi="宋体"/>
                <w:b/>
                <w:bCs/>
                <w:sz w:val="24"/>
                <w:szCs w:val="24"/>
              </w:rPr>
            </w:pPr>
            <w:r>
              <w:rPr>
                <w:rFonts w:hint="eastAsia" w:ascii="宋体" w:hAnsi="宋体"/>
                <w:b/>
                <w:bCs/>
                <w:sz w:val="24"/>
                <w:szCs w:val="24"/>
              </w:rPr>
              <w:t>一、公司简介：</w:t>
            </w:r>
          </w:p>
          <w:p w14:paraId="5C50C10F">
            <w:pPr>
              <w:pStyle w:val="14"/>
              <w:spacing w:line="460" w:lineRule="exact"/>
              <w:ind w:left="-2" w:leftChars="-1" w:firstLine="480" w:firstLineChars="0"/>
              <w:rPr>
                <w:rFonts w:ascii="宋体" w:hAnsi="宋体"/>
                <w:sz w:val="24"/>
                <w:szCs w:val="24"/>
              </w:rPr>
            </w:pPr>
            <w:r>
              <w:rPr>
                <w:rFonts w:hint="eastAsia" w:ascii="宋体" w:hAnsi="宋体"/>
                <w:sz w:val="24"/>
                <w:szCs w:val="24"/>
              </w:rPr>
              <w:t>公司创建于2002年，是中国第一家A股上市民营轮胎企业，也是中国第一家“走出去”在海外建厂的轮胎企业。</w:t>
            </w:r>
          </w:p>
          <w:p w14:paraId="210B3D8F">
            <w:pPr>
              <w:pStyle w:val="14"/>
              <w:spacing w:line="460" w:lineRule="exact"/>
              <w:ind w:left="-2" w:leftChars="-1" w:firstLine="480" w:firstLineChars="0"/>
              <w:rPr>
                <w:rFonts w:ascii="宋体" w:hAnsi="宋体"/>
                <w:sz w:val="24"/>
                <w:szCs w:val="24"/>
              </w:rPr>
            </w:pPr>
            <w:r>
              <w:rPr>
                <w:rFonts w:hint="eastAsia" w:ascii="宋体" w:hAnsi="宋体"/>
                <w:sz w:val="24"/>
                <w:szCs w:val="24"/>
              </w:rPr>
              <w:t>根据Brand Finance品牌价值评估机构发布的“</w:t>
            </w:r>
            <w:r>
              <w:rPr>
                <w:rFonts w:hint="eastAsia" w:ascii="宋体" w:hAnsi="宋体"/>
                <w:sz w:val="24"/>
                <w:szCs w:val="24"/>
                <w:lang w:val="en-US" w:eastAsia="zh-CN"/>
              </w:rPr>
              <w:t>2026全球轮胎品牌价值25强</w:t>
            </w:r>
            <w:r>
              <w:rPr>
                <w:rFonts w:hint="eastAsia" w:ascii="宋体" w:hAnsi="宋体"/>
                <w:sz w:val="24"/>
                <w:szCs w:val="24"/>
              </w:rPr>
              <w:t>”，公司位列轮胎行业第10位，截至目前，赛轮已连续四年位居中国轮胎品牌首位，也是唯一跻身全球榜单十强的中国轮胎品牌；在世界品牌实验室发布的</w:t>
            </w:r>
            <w:r>
              <w:rPr>
                <w:rFonts w:hint="eastAsia" w:ascii="宋体" w:hAnsi="宋体"/>
                <w:sz w:val="24"/>
                <w:szCs w:val="24"/>
                <w:lang w:val="en-US" w:eastAsia="zh-CN"/>
              </w:rPr>
              <w:t>2026</w:t>
            </w:r>
            <w:r>
              <w:rPr>
                <w:rFonts w:hint="eastAsia" w:ascii="宋体" w:hAnsi="宋体"/>
                <w:sz w:val="24"/>
                <w:szCs w:val="24"/>
              </w:rPr>
              <w:t>年度“中国500最具价值品牌”榜单中，公司品牌价值位居榜单第</w:t>
            </w:r>
            <w:r>
              <w:rPr>
                <w:rFonts w:hint="eastAsia" w:ascii="宋体" w:hAnsi="宋体"/>
                <w:sz w:val="24"/>
                <w:szCs w:val="24"/>
                <w:lang w:val="en-US" w:eastAsia="zh-CN"/>
              </w:rPr>
              <w:t>97</w:t>
            </w:r>
            <w:r>
              <w:rPr>
                <w:rFonts w:hint="eastAsia" w:ascii="宋体" w:hAnsi="宋体"/>
                <w:sz w:val="24"/>
                <w:szCs w:val="24"/>
              </w:rPr>
              <w:t>位，且品牌价值连续</w:t>
            </w:r>
            <w:r>
              <w:rPr>
                <w:rFonts w:hint="eastAsia" w:ascii="宋体" w:hAnsi="宋体"/>
                <w:sz w:val="24"/>
                <w:szCs w:val="24"/>
                <w:lang w:val="en-US" w:eastAsia="zh-CN"/>
              </w:rPr>
              <w:t>九</w:t>
            </w:r>
            <w:r>
              <w:rPr>
                <w:rFonts w:hint="eastAsia" w:ascii="宋体" w:hAnsi="宋体"/>
                <w:sz w:val="24"/>
                <w:szCs w:val="24"/>
              </w:rPr>
              <w:t>年实现跃升。</w:t>
            </w:r>
          </w:p>
          <w:p w14:paraId="34294B34">
            <w:pPr>
              <w:pStyle w:val="14"/>
              <w:spacing w:line="460" w:lineRule="exact"/>
              <w:ind w:left="-2" w:leftChars="-1" w:firstLine="480"/>
              <w:rPr>
                <w:rFonts w:hint="eastAsia" w:ascii="宋体" w:hAnsi="宋体" w:cs="宋体"/>
                <w:sz w:val="24"/>
                <w:szCs w:val="32"/>
              </w:rPr>
            </w:pPr>
            <w:r>
              <w:rPr>
                <w:rFonts w:hint="eastAsia" w:ascii="宋体" w:hAnsi="宋体" w:cs="宋体"/>
                <w:sz w:val="24"/>
                <w:szCs w:val="32"/>
              </w:rPr>
              <w:t>2025年公司营业收入367.92亿元，同比增长15.69%；实现归母净利润35.22亿元；轮胎产量和销量分别为8,254.11万条</w:t>
            </w:r>
            <w:r>
              <w:rPr>
                <w:rFonts w:hint="eastAsia" w:ascii="宋体" w:hAnsi="宋体" w:cs="宋体"/>
                <w:sz w:val="24"/>
                <w:szCs w:val="32"/>
                <w:lang w:eastAsia="zh-CN"/>
              </w:rPr>
              <w:t>、</w:t>
            </w:r>
            <w:r>
              <w:rPr>
                <w:rFonts w:hint="eastAsia" w:ascii="宋体" w:hAnsi="宋体" w:cs="宋体"/>
                <w:sz w:val="24"/>
                <w:szCs w:val="32"/>
              </w:rPr>
              <w:t>8,113.48万条，分别同比增长10.33%</w:t>
            </w:r>
            <w:r>
              <w:rPr>
                <w:rFonts w:hint="eastAsia" w:ascii="宋体" w:hAnsi="宋体" w:cs="宋体"/>
                <w:sz w:val="24"/>
                <w:szCs w:val="32"/>
                <w:lang w:eastAsia="zh-CN"/>
              </w:rPr>
              <w:t>、</w:t>
            </w:r>
            <w:r>
              <w:rPr>
                <w:rFonts w:hint="eastAsia" w:ascii="宋体" w:hAnsi="宋体" w:cs="宋体"/>
                <w:sz w:val="24"/>
                <w:szCs w:val="32"/>
              </w:rPr>
              <w:t>12.44%。2026年第一季度实现营业收入94.61亿元，同比增长12.48%；归母净利润10.56亿元，同比增长1.72%。</w:t>
            </w:r>
          </w:p>
          <w:p w14:paraId="2244BC6D">
            <w:pPr>
              <w:pStyle w:val="14"/>
              <w:spacing w:line="460" w:lineRule="exact"/>
              <w:ind w:left="-2" w:leftChars="-1" w:firstLine="480"/>
              <w:rPr>
                <w:rFonts w:hint="eastAsia" w:ascii="宋体" w:hAnsi="宋体" w:cs="宋体"/>
                <w:sz w:val="24"/>
              </w:rPr>
            </w:pPr>
            <w:r>
              <w:rPr>
                <w:rFonts w:hint="eastAsia" w:ascii="宋体" w:hAnsi="宋体" w:cs="宋体"/>
                <w:sz w:val="24"/>
              </w:rPr>
              <w:t>目前，公司已在国内青岛、东营、沈阳、潍坊及海外越南、柬埔寨、墨西哥、印尼布局多个轮胎生产基地，埃及与青岛董家口生产基地建设正稳步推进。</w:t>
            </w:r>
          </w:p>
          <w:p w14:paraId="4A9AEE5F">
            <w:pPr>
              <w:pStyle w:val="14"/>
              <w:spacing w:line="460" w:lineRule="exact"/>
              <w:ind w:left="-2" w:leftChars="-1" w:firstLine="480"/>
              <w:rPr>
                <w:highlight w:val="yellow"/>
              </w:rPr>
            </w:pPr>
            <w:r>
              <w:rPr>
                <w:rFonts w:hint="eastAsia" w:ascii="宋体" w:hAnsi="宋体"/>
                <w:sz w:val="24"/>
              </w:rPr>
              <w:t>公司</w:t>
            </w:r>
            <w:r>
              <w:rPr>
                <w:rFonts w:hint="eastAsia" w:ascii="宋体" w:hAnsi="宋体"/>
                <w:sz w:val="24"/>
                <w:lang w:val="en-US" w:eastAsia="zh-CN"/>
              </w:rPr>
              <w:t>在全球</w:t>
            </w:r>
            <w:r>
              <w:rPr>
                <w:rFonts w:hint="eastAsia" w:ascii="宋体" w:hAnsi="宋体"/>
                <w:sz w:val="24"/>
              </w:rPr>
              <w:t>建有四大研发中心，在各地工厂也建立了属地化的技术研究部门，搭建起了全球技术研发与试验体系。公司产品销售已涵盖中国、北美、欧洲、亚洲、非洲等全球1</w:t>
            </w:r>
            <w:bookmarkStart w:id="0" w:name="_GoBack"/>
            <w:bookmarkEnd w:id="0"/>
            <w:r>
              <w:rPr>
                <w:rFonts w:hint="eastAsia" w:ascii="宋体" w:hAnsi="宋体"/>
                <w:sz w:val="24"/>
              </w:rPr>
              <w:t>80多个国家和地区。</w:t>
            </w:r>
          </w:p>
          <w:p w14:paraId="04B587F0">
            <w:pPr>
              <w:pStyle w:val="14"/>
              <w:spacing w:line="460" w:lineRule="exact"/>
              <w:ind w:left="-2" w:leftChars="-1" w:firstLine="480" w:firstLineChars="0"/>
              <w:rPr>
                <w:rFonts w:ascii="宋体" w:hAnsi="宋体"/>
                <w:sz w:val="24"/>
                <w:szCs w:val="24"/>
              </w:rPr>
            </w:pPr>
            <w:r>
              <w:rPr>
                <w:rFonts w:hint="eastAsia" w:ascii="宋体" w:hAnsi="宋体"/>
                <w:b/>
                <w:bCs/>
                <w:sz w:val="24"/>
                <w:szCs w:val="24"/>
              </w:rPr>
              <w:t>二、投资者提出的主要问题及公司回复情况:</w:t>
            </w:r>
          </w:p>
          <w:p w14:paraId="11DF7924">
            <w:pPr>
              <w:pStyle w:val="14"/>
              <w:numPr>
                <w:ilvl w:val="-1"/>
                <w:numId w:val="0"/>
              </w:numPr>
              <w:spacing w:line="460" w:lineRule="exact"/>
              <w:ind w:left="-2" w:leftChars="-1" w:firstLine="480" w:firstLineChars="0"/>
              <w:rPr>
                <w:rFonts w:ascii="宋体" w:hAnsi="宋体" w:cs="宋体"/>
                <w:b/>
                <w:bCs/>
                <w:sz w:val="24"/>
                <w:szCs w:val="24"/>
              </w:rPr>
            </w:pPr>
            <w:r>
              <w:rPr>
                <w:rFonts w:hint="eastAsia" w:ascii="宋体" w:hAnsi="宋体" w:cs="宋体"/>
                <w:b/>
                <w:bCs/>
                <w:sz w:val="24"/>
                <w:szCs w:val="24"/>
                <w:lang w:val="en-US" w:eastAsia="zh-CN"/>
              </w:rPr>
              <w:t>1</w:t>
            </w:r>
            <w:r>
              <w:rPr>
                <w:rFonts w:hint="eastAsia" w:ascii="宋体" w:hAnsi="宋体" w:cs="宋体"/>
                <w:b/>
                <w:bCs/>
                <w:sz w:val="24"/>
                <w:szCs w:val="24"/>
              </w:rPr>
              <w:t>、公司</w:t>
            </w:r>
            <w:r>
              <w:rPr>
                <w:rFonts w:hint="eastAsia" w:ascii="宋体" w:hAnsi="宋体" w:cs="宋体"/>
                <w:b/>
                <w:bCs/>
                <w:sz w:val="24"/>
                <w:szCs w:val="24"/>
                <w:lang w:val="en-US" w:eastAsia="zh-CN"/>
              </w:rPr>
              <w:t>今年参加了哪些汽车赛事</w:t>
            </w:r>
            <w:r>
              <w:rPr>
                <w:rFonts w:hint="eastAsia" w:ascii="宋体" w:hAnsi="宋体" w:cs="宋体"/>
                <w:b/>
                <w:bCs/>
                <w:sz w:val="24"/>
                <w:szCs w:val="24"/>
              </w:rPr>
              <w:t>？</w:t>
            </w:r>
          </w:p>
          <w:p w14:paraId="79C1C439">
            <w:pPr>
              <w:pStyle w:val="14"/>
              <w:numPr>
                <w:ilvl w:val="-1"/>
                <w:numId w:val="0"/>
              </w:numPr>
              <w:spacing w:line="460" w:lineRule="exact"/>
              <w:ind w:left="-2" w:leftChars="-1" w:firstLine="480" w:firstLineChars="0"/>
              <w:rPr>
                <w:rFonts w:ascii="宋体" w:hAnsi="宋体" w:cs="宋体"/>
                <w:sz w:val="24"/>
                <w:szCs w:val="24"/>
              </w:rPr>
            </w:pPr>
            <w:r>
              <w:rPr>
                <w:rFonts w:hint="eastAsia" w:ascii="宋体" w:hAnsi="宋体"/>
                <w:sz w:val="24"/>
                <w:szCs w:val="24"/>
              </w:rPr>
              <w:t>答：</w:t>
            </w:r>
            <w:r>
              <w:rPr>
                <w:rFonts w:hint="eastAsia" w:ascii="宋体" w:hAnsi="宋体" w:cs="宋体"/>
                <w:sz w:val="24"/>
                <w:szCs w:val="24"/>
              </w:rPr>
              <w:t>今年上半年，公司深度参与汽车运动赛事，以官方轮胎合作伙伴身份覆盖场地、耐力、越野多矩阵赛道，以专业赛事胎直面多元极限考验。公司轮胎在场地赛、耐力赛、越野拉力赛等场景均表现突出，获得市场高度认可</w:t>
            </w:r>
            <w:r>
              <w:rPr>
                <w:rFonts w:ascii="宋体" w:hAnsi="宋体" w:cs="宋体"/>
                <w:sz w:val="24"/>
                <w:szCs w:val="24"/>
              </w:rPr>
              <w:t>。</w:t>
            </w:r>
          </w:p>
          <w:p w14:paraId="7765E935">
            <w:pPr>
              <w:pStyle w:val="14"/>
              <w:numPr>
                <w:ilvl w:val="-1"/>
                <w:numId w:val="0"/>
              </w:numPr>
              <w:spacing w:line="460" w:lineRule="exact"/>
              <w:ind w:left="-2" w:leftChars="-1" w:firstLine="480" w:firstLineChars="0"/>
              <w:rPr>
                <w:rFonts w:ascii="宋体" w:hAnsi="宋体" w:cs="宋体"/>
                <w:sz w:val="24"/>
                <w:szCs w:val="24"/>
              </w:rPr>
            </w:pPr>
            <w:r>
              <w:rPr>
                <w:rFonts w:hint="eastAsia" w:ascii="宋体" w:hAnsi="宋体" w:cs="宋体"/>
                <w:sz w:val="24"/>
                <w:szCs w:val="24"/>
              </w:rPr>
              <w:t>在驾控体验方面</w:t>
            </w:r>
            <w:r>
              <w:rPr>
                <w:rFonts w:ascii="宋体" w:hAnsi="宋体" w:cs="宋体"/>
                <w:sz w:val="24"/>
                <w:szCs w:val="24"/>
              </w:rPr>
              <w:t>，公司PT01轮胎深度支持小米Ultra Club赛道日活动，深受小米SU7 Ultra车主信赖；同时作为NFS赛道嘉年华核心用胎，为用户带来优异驾控体验。</w:t>
            </w:r>
            <w:r>
              <w:rPr>
                <w:rFonts w:hint="eastAsia" w:ascii="宋体" w:hAnsi="宋体" w:cs="宋体"/>
                <w:sz w:val="24"/>
                <w:szCs w:val="24"/>
              </w:rPr>
              <w:t>2026年4月，公司PT01高性能轮胎助力领克10+刷新亚洲山脊赛道圈速纪录</w:t>
            </w:r>
            <w:r>
              <w:rPr>
                <w:rFonts w:hint="default" w:ascii="宋体" w:hAnsi="宋体" w:cs="宋体"/>
                <w:sz w:val="24"/>
                <w:szCs w:val="24"/>
                <w:lang w:eastAsia="zh-CN"/>
              </w:rPr>
              <w:t>；</w:t>
            </w:r>
            <w:r>
              <w:rPr>
                <w:rFonts w:hint="default" w:ascii="宋体" w:hAnsi="宋体" w:cs="宋体"/>
                <w:sz w:val="24"/>
                <w:szCs w:val="24"/>
                <w:lang w:val="en-US" w:eastAsia="zh-CN"/>
              </w:rPr>
              <w:t>小米</w:t>
            </w:r>
            <w:r>
              <w:rPr>
                <w:rFonts w:hint="default" w:ascii="宋体" w:hAnsi="宋体" w:cs="宋体"/>
                <w:sz w:val="24"/>
                <w:szCs w:val="24"/>
              </w:rPr>
              <w:t>新一代SU7</w:t>
            </w:r>
            <w:r>
              <w:rPr>
                <w:rFonts w:hint="eastAsia" w:ascii="宋体" w:hAnsi="宋体" w:cs="宋体"/>
                <w:sz w:val="24"/>
                <w:szCs w:val="24"/>
                <w:lang w:val="en-US" w:eastAsia="zh-CN"/>
              </w:rPr>
              <w:t xml:space="preserve"> </w:t>
            </w:r>
            <w:r>
              <w:rPr>
                <w:rFonts w:hint="default" w:ascii="宋体" w:hAnsi="宋体" w:cs="宋体"/>
                <w:sz w:val="24"/>
                <w:szCs w:val="24"/>
              </w:rPr>
              <w:t>Max</w:t>
            </w:r>
            <w:r>
              <w:rPr>
                <w:rFonts w:hint="eastAsia" w:ascii="宋体" w:hAnsi="宋体" w:cs="宋体"/>
                <w:sz w:val="24"/>
                <w:szCs w:val="24"/>
                <w:lang w:val="en-US" w:eastAsia="zh-CN"/>
              </w:rPr>
              <w:t>搭载</w:t>
            </w:r>
            <w:r>
              <w:rPr>
                <w:rFonts w:hint="default" w:ascii="宋体" w:hAnsi="宋体" w:cs="宋体"/>
                <w:sz w:val="24"/>
                <w:szCs w:val="24"/>
              </w:rPr>
              <w:t>赛轮PT01半热熔轮胎</w:t>
            </w:r>
            <w:r>
              <w:rPr>
                <w:rFonts w:hint="eastAsia" w:ascii="宋体" w:hAnsi="宋体" w:cs="宋体"/>
                <w:sz w:val="24"/>
                <w:szCs w:val="24"/>
                <w:lang w:val="en-US" w:eastAsia="zh-CN"/>
              </w:rPr>
              <w:t>在</w:t>
            </w:r>
            <w:r>
              <w:rPr>
                <w:rFonts w:hint="default" w:ascii="宋体" w:hAnsi="宋体" w:cs="宋体"/>
                <w:sz w:val="24"/>
                <w:szCs w:val="24"/>
              </w:rPr>
              <w:t>浙赛跑出1:37.974的成绩</w:t>
            </w:r>
            <w:r>
              <w:rPr>
                <w:rFonts w:hint="eastAsia" w:ascii="宋体" w:hAnsi="宋体" w:cs="宋体"/>
                <w:sz w:val="24"/>
                <w:szCs w:val="24"/>
                <w:lang w:eastAsia="zh-CN"/>
              </w:rPr>
              <w:t>，</w:t>
            </w:r>
            <w:r>
              <w:rPr>
                <w:rFonts w:hint="eastAsia" w:ascii="宋体" w:hAnsi="宋体" w:cs="宋体"/>
                <w:sz w:val="24"/>
                <w:szCs w:val="24"/>
              </w:rPr>
              <w:t>成为浙赛50万内最速四门量产车。</w:t>
            </w:r>
          </w:p>
          <w:p w14:paraId="29E45910">
            <w:pPr>
              <w:pStyle w:val="14"/>
              <w:numPr>
                <w:ilvl w:val="-1"/>
                <w:numId w:val="0"/>
              </w:numPr>
              <w:spacing w:line="460" w:lineRule="exact"/>
              <w:ind w:left="-2" w:leftChars="-1" w:firstLine="480" w:firstLineChars="0"/>
              <w:rPr>
                <w:rFonts w:ascii="宋体" w:hAnsi="宋体" w:cs="宋体"/>
                <w:sz w:val="24"/>
                <w:szCs w:val="24"/>
              </w:rPr>
            </w:pPr>
            <w:r>
              <w:rPr>
                <w:rFonts w:hint="eastAsia" w:ascii="宋体" w:hAnsi="宋体" w:cs="宋体"/>
                <w:sz w:val="24"/>
                <w:szCs w:val="24"/>
              </w:rPr>
              <w:t>在专业竞技方面</w:t>
            </w:r>
            <w:r>
              <w:rPr>
                <w:rFonts w:ascii="宋体" w:hAnsi="宋体" w:cs="宋体"/>
                <w:sz w:val="24"/>
                <w:szCs w:val="24"/>
              </w:rPr>
              <w:t>，</w:t>
            </w:r>
            <w:r>
              <w:rPr>
                <w:rFonts w:hint="eastAsia" w:ascii="宋体" w:hAnsi="宋体" w:cs="宋体"/>
                <w:sz w:val="24"/>
                <w:szCs w:val="24"/>
              </w:rPr>
              <w:t>公司是“国际汽联</w:t>
            </w:r>
            <w:r>
              <w:rPr>
                <w:rFonts w:ascii="宋体" w:hAnsi="宋体" w:cs="宋体"/>
                <w:sz w:val="24"/>
                <w:szCs w:val="24"/>
              </w:rPr>
              <w:t>F4方程式中国锦标赛”“CTCC中国汽车场地职业联赛·中国杯”</w:t>
            </w:r>
            <w:r>
              <w:rPr>
                <w:rFonts w:hint="eastAsia" w:ascii="宋体" w:hAnsi="宋体" w:cs="宋体"/>
                <w:sz w:val="24"/>
                <w:szCs w:val="24"/>
              </w:rPr>
              <w:t>“</w:t>
            </w:r>
            <w:r>
              <w:rPr>
                <w:rFonts w:ascii="宋体" w:hAnsi="宋体" w:cs="宋体"/>
                <w:sz w:val="24"/>
                <w:szCs w:val="24"/>
              </w:rPr>
              <w:t>丰田GR86 Cup</w:t>
            </w:r>
            <w:r>
              <w:rPr>
                <w:rFonts w:hint="eastAsia" w:ascii="宋体" w:hAnsi="宋体" w:cs="宋体"/>
                <w:sz w:val="24"/>
                <w:szCs w:val="24"/>
              </w:rPr>
              <w:t>”“</w:t>
            </w:r>
            <w:r>
              <w:rPr>
                <w:rFonts w:ascii="宋体" w:hAnsi="宋体" w:cs="宋体"/>
                <w:sz w:val="24"/>
                <w:szCs w:val="24"/>
              </w:rPr>
              <w:t>现代N统规赛</w:t>
            </w:r>
            <w:r>
              <w:rPr>
                <w:rFonts w:hint="eastAsia" w:ascii="宋体" w:hAnsi="宋体" w:cs="宋体"/>
                <w:sz w:val="24"/>
                <w:szCs w:val="24"/>
              </w:rPr>
              <w:t>”</w:t>
            </w:r>
            <w:r>
              <w:rPr>
                <w:rFonts w:ascii="宋体" w:hAnsi="宋体" w:cs="宋体"/>
                <w:sz w:val="24"/>
                <w:szCs w:val="24"/>
              </w:rPr>
              <w:t>唯一指定轮胎供应商，是“小米·CEC中国汽车耐力锦标赛”</w:t>
            </w:r>
            <w:r>
              <w:rPr>
                <w:rFonts w:hint="eastAsia" w:ascii="宋体" w:hAnsi="宋体" w:cs="宋体"/>
                <w:sz w:val="24"/>
                <w:szCs w:val="24"/>
              </w:rPr>
              <w:t>赛事</w:t>
            </w:r>
            <w:r>
              <w:rPr>
                <w:rFonts w:ascii="宋体" w:hAnsi="宋体" w:cs="宋体"/>
                <w:sz w:val="24"/>
                <w:szCs w:val="24"/>
              </w:rPr>
              <w:t>深度合作伙伴。</w:t>
            </w:r>
          </w:p>
          <w:p w14:paraId="4477C8A0">
            <w:pPr>
              <w:pStyle w:val="14"/>
              <w:spacing w:line="460" w:lineRule="exact"/>
              <w:ind w:left="-2" w:leftChars="-1" w:firstLine="480" w:firstLineChars="0"/>
              <w:rPr>
                <w:rFonts w:ascii="宋体" w:hAnsi="宋体" w:cs="宋体"/>
                <w:sz w:val="24"/>
                <w:szCs w:val="24"/>
              </w:rPr>
            </w:pPr>
            <w:r>
              <w:rPr>
                <w:rFonts w:ascii="宋体" w:hAnsi="宋体" w:cs="宋体"/>
                <w:sz w:val="24"/>
                <w:szCs w:val="24"/>
              </w:rPr>
              <w:t>在越野拉力领域，</w:t>
            </w:r>
            <w:r>
              <w:rPr>
                <w:rFonts w:hint="eastAsia" w:ascii="宋体" w:hAnsi="宋体" w:cs="宋体"/>
                <w:sz w:val="24"/>
                <w:szCs w:val="24"/>
              </w:rPr>
              <w:t>公司</w:t>
            </w:r>
            <w:r>
              <w:rPr>
                <w:rFonts w:ascii="宋体" w:hAnsi="宋体" w:cs="宋体"/>
                <w:sz w:val="24"/>
                <w:szCs w:val="24"/>
              </w:rPr>
              <w:t>TERRAMAX RT越野轮胎凭借出色通过性与耐久性，成为长城车队、郑州日产车队</w:t>
            </w:r>
            <w:r>
              <w:rPr>
                <w:rFonts w:hint="eastAsia" w:ascii="宋体" w:hAnsi="宋体" w:cs="宋体"/>
                <w:sz w:val="24"/>
                <w:szCs w:val="24"/>
              </w:rPr>
              <w:t>环塔拉力赛</w:t>
            </w:r>
            <w:r>
              <w:rPr>
                <w:rFonts w:ascii="宋体" w:hAnsi="宋体" w:cs="宋体"/>
                <w:sz w:val="24"/>
                <w:szCs w:val="24"/>
              </w:rPr>
              <w:t>指定用胎，助力车队斩获多项组别冠军</w:t>
            </w:r>
            <w:r>
              <w:rPr>
                <w:rFonts w:hint="eastAsia" w:ascii="宋体" w:hAnsi="宋体" w:cs="宋体"/>
                <w:sz w:val="24"/>
                <w:szCs w:val="24"/>
              </w:rPr>
              <w:t>；并助力</w:t>
            </w:r>
            <w:r>
              <w:rPr>
                <w:rFonts w:ascii="宋体" w:hAnsi="宋体" w:cs="宋体"/>
                <w:sz w:val="24"/>
                <w:szCs w:val="24"/>
              </w:rPr>
              <w:t>长城</w:t>
            </w:r>
            <w:r>
              <w:rPr>
                <w:rFonts w:hint="eastAsia" w:ascii="宋体" w:hAnsi="宋体" w:cs="宋体"/>
                <w:sz w:val="24"/>
                <w:szCs w:val="24"/>
                <w:lang w:val="en-US" w:eastAsia="zh-CN"/>
              </w:rPr>
              <w:t>汽车、哈弗H9及坦克系列等</w:t>
            </w:r>
            <w:r>
              <w:rPr>
                <w:rFonts w:ascii="宋体" w:hAnsi="宋体" w:cs="宋体"/>
                <w:sz w:val="24"/>
                <w:szCs w:val="24"/>
              </w:rPr>
              <w:t>车队在敦煌越野耐力赛1</w:t>
            </w:r>
            <w:r>
              <w:rPr>
                <w:rFonts w:hint="eastAsia" w:ascii="宋体" w:hAnsi="宋体" w:cs="宋体"/>
                <w:sz w:val="24"/>
                <w:szCs w:val="24"/>
              </w:rPr>
              <w:t>,</w:t>
            </w:r>
            <w:r>
              <w:rPr>
                <w:rFonts w:ascii="宋体" w:hAnsi="宋体" w:cs="宋体"/>
                <w:sz w:val="24"/>
                <w:szCs w:val="24"/>
              </w:rPr>
              <w:t>300公里极限路段顺利完赛，展现了</w:t>
            </w:r>
            <w:r>
              <w:rPr>
                <w:rFonts w:hint="eastAsia" w:ascii="宋体" w:hAnsi="宋体" w:cs="宋体"/>
                <w:sz w:val="24"/>
                <w:szCs w:val="24"/>
              </w:rPr>
              <w:t>公司</w:t>
            </w:r>
            <w:r>
              <w:rPr>
                <w:rFonts w:ascii="宋体" w:hAnsi="宋体" w:cs="宋体"/>
                <w:sz w:val="24"/>
                <w:szCs w:val="24"/>
              </w:rPr>
              <w:t>产品在极端环境下的可靠表现。</w:t>
            </w:r>
          </w:p>
          <w:p w14:paraId="4F464831">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2</w:t>
            </w:r>
            <w:r>
              <w:rPr>
                <w:rFonts w:hint="eastAsia" w:ascii="宋体" w:hAnsi="宋体"/>
                <w:b/>
                <w:bCs/>
                <w:sz w:val="24"/>
                <w:szCs w:val="24"/>
              </w:rPr>
              <w:t>、</w:t>
            </w:r>
            <w:r>
              <w:rPr>
                <w:rFonts w:hint="eastAsia" w:ascii="宋体" w:hAnsi="宋体"/>
                <w:b/>
                <w:bCs/>
                <w:sz w:val="24"/>
                <w:szCs w:val="24"/>
                <w:lang w:val="en-US" w:eastAsia="zh-CN"/>
              </w:rPr>
              <w:t>埃及工厂进展</w:t>
            </w:r>
            <w:r>
              <w:rPr>
                <w:rFonts w:hint="eastAsia" w:ascii="宋体" w:hAnsi="宋体"/>
                <w:b/>
                <w:bCs/>
                <w:sz w:val="24"/>
                <w:szCs w:val="24"/>
              </w:rPr>
              <w:t>？</w:t>
            </w:r>
          </w:p>
          <w:p w14:paraId="0522E27B">
            <w:pPr>
              <w:pStyle w:val="14"/>
              <w:numPr>
                <w:ilvl w:val="-1"/>
                <w:numId w:val="0"/>
              </w:numPr>
              <w:spacing w:line="460" w:lineRule="exact"/>
              <w:ind w:left="-2" w:leftChars="-1" w:firstLine="480" w:firstLineChars="0"/>
              <w:rPr>
                <w:rFonts w:hint="eastAsia" w:ascii="宋体" w:hAnsi="宋体"/>
                <w:b/>
                <w:bCs/>
                <w:sz w:val="24"/>
                <w:szCs w:val="24"/>
                <w:lang w:val="en-US" w:eastAsia="zh-CN"/>
              </w:rPr>
            </w:pPr>
            <w:r>
              <w:rPr>
                <w:rFonts w:hint="eastAsia" w:ascii="宋体" w:hAnsi="宋体"/>
                <w:sz w:val="24"/>
                <w:szCs w:val="24"/>
              </w:rPr>
              <w:t>答:</w:t>
            </w:r>
            <w:r>
              <w:rPr>
                <w:rFonts w:hint="eastAsia" w:ascii="宋体" w:hAnsi="宋体"/>
                <w:sz w:val="24"/>
                <w:szCs w:val="24"/>
                <w:lang w:val="en-US" w:eastAsia="zh-CN"/>
              </w:rPr>
              <w:t>公司埃及工厂正在稳步推进建设中。该项目建设完成后，将助力公司深耕海外市场，持续扩大品牌海外影响力，全面增强企业国际综合竞争力，为集团全球化战略落地提供有力保障。公司将加强对该项目重点市场的持续分析，同时还会密切关注全球政治经济环境、原材料与物流成本变动等情况，合理把握采购节奏和销售策略，以获得更好的经济效益</w:t>
            </w:r>
            <w:r>
              <w:rPr>
                <w:rFonts w:hint="eastAsia" w:ascii="宋体" w:hAnsi="宋体"/>
                <w:sz w:val="24"/>
                <w:szCs w:val="24"/>
              </w:rPr>
              <w:t>。</w:t>
            </w:r>
          </w:p>
          <w:p w14:paraId="634613B7">
            <w:pPr>
              <w:pStyle w:val="14"/>
              <w:spacing w:line="460" w:lineRule="exact"/>
              <w:ind w:left="-2" w:leftChars="-1" w:firstLine="480" w:firstLineChars="0"/>
              <w:rPr>
                <w:rFonts w:hint="eastAsia" w:ascii="宋体" w:hAnsi="宋体" w:cs="宋体"/>
                <w:b/>
                <w:bCs/>
                <w:sz w:val="24"/>
                <w:szCs w:val="24"/>
                <w:lang w:val="en-US" w:eastAsia="zh-CN"/>
              </w:rPr>
            </w:pPr>
            <w:r>
              <w:rPr>
                <w:rFonts w:hint="eastAsia" w:ascii="宋体" w:hAnsi="宋体" w:cs="宋体"/>
                <w:b/>
                <w:bCs/>
                <w:sz w:val="24"/>
                <w:szCs w:val="24"/>
                <w:lang w:val="en-US" w:eastAsia="zh-CN"/>
              </w:rPr>
              <w:t>3、公司今年半年度会分红吗？</w:t>
            </w:r>
          </w:p>
          <w:p w14:paraId="47A78767">
            <w:pPr>
              <w:pStyle w:val="14"/>
              <w:spacing w:line="460" w:lineRule="exact"/>
              <w:ind w:left="-2" w:leftChars="-1" w:firstLine="480" w:firstLineChars="0"/>
              <w:rPr>
                <w:rFonts w:hint="eastAsia" w:ascii="宋体" w:hAnsi="宋体"/>
                <w:b/>
                <w:bCs/>
                <w:sz w:val="24"/>
                <w:szCs w:val="24"/>
                <w:lang w:val="en-US" w:eastAsia="zh-CN"/>
              </w:rPr>
            </w:pPr>
            <w:r>
              <w:rPr>
                <w:rFonts w:hint="eastAsia" w:ascii="宋体" w:hAnsi="宋体"/>
                <w:sz w:val="24"/>
                <w:szCs w:val="24"/>
              </w:rPr>
              <w:t>答：</w:t>
            </w:r>
            <w:r>
              <w:rPr>
                <w:rFonts w:hint="eastAsia" w:ascii="宋体" w:hAnsi="宋体" w:cs="宋体"/>
                <w:sz w:val="24"/>
                <w:szCs w:val="24"/>
                <w:lang w:val="en-US" w:eastAsia="zh-CN"/>
              </w:rPr>
              <w:t>公司高度重视投资者回报，2025年度全年预计现金分红总额10.85亿元（包括已实施完成的2025年半年度现金分红）。2026年，</w:t>
            </w:r>
            <w:r>
              <w:rPr>
                <w:rFonts w:hint="eastAsia" w:ascii="宋体" w:hAnsi="宋体" w:cs="宋体"/>
                <w:sz w:val="24"/>
                <w:szCs w:val="24"/>
              </w:rPr>
              <w:t>为践行上市公司常态化现金分红机制，让投资者更好的分享经营成果，公司股东会</w:t>
            </w:r>
            <w:r>
              <w:rPr>
                <w:rFonts w:hint="eastAsia" w:ascii="宋体" w:hAnsi="宋体" w:cs="宋体"/>
                <w:sz w:val="24"/>
                <w:szCs w:val="24"/>
                <w:lang w:val="en-US" w:eastAsia="zh-CN"/>
              </w:rPr>
              <w:t>已</w:t>
            </w:r>
            <w:r>
              <w:rPr>
                <w:rFonts w:hint="eastAsia" w:ascii="宋体" w:hAnsi="宋体" w:cs="宋体"/>
                <w:sz w:val="24"/>
                <w:szCs w:val="24"/>
              </w:rPr>
              <w:t>授权董事会在满足</w:t>
            </w:r>
            <w:r>
              <w:rPr>
                <w:rFonts w:hint="eastAsia" w:ascii="宋体" w:hAnsi="宋体" w:cs="宋体"/>
                <w:sz w:val="24"/>
                <w:szCs w:val="24"/>
                <w:lang w:val="en-US" w:eastAsia="zh-CN"/>
              </w:rPr>
              <w:t>相关</w:t>
            </w:r>
            <w:r>
              <w:rPr>
                <w:rFonts w:hint="eastAsia" w:ascii="宋体" w:hAnsi="宋体" w:cs="宋体"/>
                <w:sz w:val="24"/>
                <w:szCs w:val="24"/>
              </w:rPr>
              <w:t>条件</w:t>
            </w:r>
            <w:r>
              <w:rPr>
                <w:rFonts w:hint="eastAsia" w:ascii="宋体" w:hAnsi="宋体" w:cs="宋体"/>
                <w:sz w:val="24"/>
                <w:szCs w:val="24"/>
                <w:lang w:val="en-US" w:eastAsia="zh-CN"/>
              </w:rPr>
              <w:t>的</w:t>
            </w:r>
            <w:r>
              <w:rPr>
                <w:rFonts w:hint="eastAsia" w:ascii="宋体" w:hAnsi="宋体" w:cs="宋体"/>
                <w:sz w:val="24"/>
                <w:szCs w:val="24"/>
              </w:rPr>
              <w:t>前提下制定和实施2026年中期（半年度、前三季度）或春节前现金分红方案</w:t>
            </w:r>
            <w:r>
              <w:rPr>
                <w:rFonts w:hint="eastAsia" w:ascii="宋体" w:hAnsi="宋体" w:cs="宋体"/>
                <w:sz w:val="24"/>
                <w:szCs w:val="24"/>
                <w:lang w:eastAsia="zh-CN"/>
              </w:rPr>
              <w:t>。</w:t>
            </w:r>
            <w:r>
              <w:rPr>
                <w:rFonts w:hint="eastAsia" w:ascii="宋体" w:hAnsi="宋体" w:cs="宋体"/>
                <w:sz w:val="24"/>
                <w:szCs w:val="24"/>
                <w:lang w:val="en-US" w:eastAsia="zh-CN"/>
              </w:rPr>
              <w:t>未来，公司将尽力做好生产经营，不断提升公司盈利能力和竞争力，并严格按照《公司章程》《股东回报规划》等要求，结合公司实际情况提出让广大投资者满意的利润分配方案。</w:t>
            </w:r>
          </w:p>
          <w:p w14:paraId="7F3C0B8C">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4</w:t>
            </w:r>
            <w:r>
              <w:rPr>
                <w:rFonts w:hint="eastAsia" w:ascii="宋体" w:hAnsi="宋体"/>
                <w:b/>
                <w:bCs/>
                <w:sz w:val="24"/>
                <w:szCs w:val="24"/>
              </w:rPr>
              <w:t>、</w:t>
            </w:r>
            <w:r>
              <w:rPr>
                <w:rFonts w:hint="eastAsia" w:ascii="宋体" w:hAnsi="宋体"/>
                <w:b/>
                <w:bCs/>
                <w:sz w:val="24"/>
                <w:szCs w:val="24"/>
                <w:lang w:val="en-US" w:eastAsia="zh-CN"/>
              </w:rPr>
              <w:t>目前原材料价格是否稳定</w:t>
            </w:r>
            <w:r>
              <w:rPr>
                <w:rFonts w:hint="eastAsia" w:ascii="宋体" w:hAnsi="宋体"/>
                <w:b/>
                <w:bCs/>
                <w:sz w:val="24"/>
                <w:szCs w:val="24"/>
              </w:rPr>
              <w:t>？</w:t>
            </w:r>
          </w:p>
          <w:p w14:paraId="0827CE4D">
            <w:pPr>
              <w:pStyle w:val="14"/>
              <w:spacing w:line="460" w:lineRule="exact"/>
              <w:ind w:left="-2" w:leftChars="-1" w:firstLine="480" w:firstLineChars="0"/>
              <w:rPr>
                <w:rFonts w:ascii="宋体" w:hAnsi="宋体"/>
                <w:b/>
                <w:bCs/>
                <w:sz w:val="24"/>
                <w:szCs w:val="24"/>
              </w:rPr>
            </w:pPr>
            <w:r>
              <w:rPr>
                <w:rFonts w:hint="eastAsia" w:ascii="宋体" w:hAnsi="宋体"/>
                <w:sz w:val="24"/>
                <w:szCs w:val="24"/>
              </w:rPr>
              <w:t>答:</w:t>
            </w:r>
            <w:r>
              <w:rPr>
                <w:rFonts w:ascii="宋体" w:hAnsi="宋体"/>
                <w:sz w:val="24"/>
                <w:szCs w:val="24"/>
              </w:rPr>
              <w:t>公司日常会根据各类原材料的市场情况以及需求计划灵活制定具体采购策略，以尽量减少原材料价格波动对公司带来的不利影响。</w:t>
            </w:r>
          </w:p>
          <w:p w14:paraId="51564487">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5</w:t>
            </w:r>
            <w:r>
              <w:rPr>
                <w:rFonts w:hint="eastAsia" w:ascii="宋体" w:hAnsi="宋体"/>
                <w:b/>
                <w:bCs/>
                <w:sz w:val="24"/>
                <w:szCs w:val="24"/>
              </w:rPr>
              <w:t>、</w:t>
            </w:r>
            <w:r>
              <w:rPr>
                <w:rFonts w:hint="eastAsia" w:ascii="宋体" w:hAnsi="宋体"/>
                <w:b/>
                <w:bCs/>
                <w:sz w:val="24"/>
                <w:szCs w:val="24"/>
                <w:lang w:val="en-US" w:eastAsia="zh-CN"/>
              </w:rPr>
              <w:t>公司品牌建设方面有进展吗</w:t>
            </w:r>
            <w:r>
              <w:rPr>
                <w:rFonts w:ascii="宋体" w:hAnsi="宋体"/>
                <w:b/>
                <w:bCs/>
                <w:sz w:val="24"/>
                <w:szCs w:val="24"/>
              </w:rPr>
              <w:t>？</w:t>
            </w:r>
          </w:p>
          <w:p w14:paraId="461436DD">
            <w:pPr>
              <w:pStyle w:val="14"/>
              <w:spacing w:line="460" w:lineRule="exact"/>
              <w:ind w:left="-2" w:leftChars="-1" w:firstLine="480" w:firstLineChars="0"/>
              <w:rPr>
                <w:rFonts w:ascii="宋体" w:hAnsi="宋体"/>
                <w:b/>
                <w:bCs/>
                <w:sz w:val="24"/>
                <w:szCs w:val="24"/>
              </w:rPr>
            </w:pPr>
            <w:r>
              <w:rPr>
                <w:rFonts w:ascii="宋体" w:hAnsi="宋体"/>
                <w:sz w:val="24"/>
                <w:szCs w:val="24"/>
              </w:rPr>
              <w:t>答:</w:t>
            </w:r>
            <w:r>
              <w:rPr>
                <w:rFonts w:hint="eastAsia" w:ascii="宋体" w:hAnsi="宋体"/>
                <w:sz w:val="24"/>
                <w:szCs w:val="24"/>
                <w:lang w:val="en-US" w:eastAsia="zh-CN"/>
              </w:rPr>
              <w:t>根据</w:t>
            </w:r>
            <w:r>
              <w:rPr>
                <w:rFonts w:hint="eastAsia" w:ascii="宋体" w:hAnsi="宋体"/>
                <w:sz w:val="24"/>
                <w:szCs w:val="24"/>
              </w:rPr>
              <w:t>全球知名品牌价值评估机构世界品牌实验室（World Brand Lab）发布</w:t>
            </w:r>
            <w:r>
              <w:rPr>
                <w:rFonts w:hint="eastAsia" w:ascii="宋体" w:hAnsi="宋体"/>
                <w:sz w:val="24"/>
                <w:szCs w:val="24"/>
                <w:lang w:val="en-US" w:eastAsia="zh-CN"/>
              </w:rPr>
              <w:t>的</w:t>
            </w:r>
            <w:r>
              <w:rPr>
                <w:rFonts w:hint="eastAsia" w:ascii="宋体" w:hAnsi="宋体"/>
                <w:sz w:val="24"/>
                <w:szCs w:val="24"/>
              </w:rPr>
              <w:t>2026年《中国500最具价值品牌》分析报告。</w:t>
            </w:r>
            <w:r>
              <w:rPr>
                <w:rFonts w:hint="eastAsia" w:ascii="宋体" w:hAnsi="宋体"/>
                <w:sz w:val="24"/>
                <w:szCs w:val="24"/>
                <w:lang w:val="en-US" w:eastAsia="zh-CN"/>
              </w:rPr>
              <w:t>公司</w:t>
            </w:r>
            <w:r>
              <w:rPr>
                <w:rFonts w:hint="eastAsia" w:ascii="宋体" w:hAnsi="宋体"/>
                <w:sz w:val="24"/>
                <w:szCs w:val="24"/>
              </w:rPr>
              <w:t>以1</w:t>
            </w:r>
            <w:r>
              <w:rPr>
                <w:rFonts w:hint="eastAsia" w:ascii="宋体" w:hAnsi="宋体"/>
                <w:sz w:val="24"/>
                <w:szCs w:val="24"/>
                <w:lang w:val="en-US" w:eastAsia="zh-CN"/>
              </w:rPr>
              <w:t>,</w:t>
            </w:r>
            <w:r>
              <w:rPr>
                <w:rFonts w:hint="eastAsia" w:ascii="宋体" w:hAnsi="宋体"/>
                <w:sz w:val="24"/>
                <w:szCs w:val="24"/>
              </w:rPr>
              <w:t>251.89亿元品牌价值位列榜单第97位，较去年提升122.93亿元，首次跻身中国最具价值品牌百强阵营。从2017年首次入榜到2024年品牌价值突破千亿，再到2026年挺进百强，</w:t>
            </w:r>
            <w:r>
              <w:rPr>
                <w:rFonts w:hint="eastAsia" w:ascii="宋体" w:hAnsi="宋体"/>
                <w:sz w:val="24"/>
                <w:szCs w:val="24"/>
                <w:lang w:val="en-US" w:eastAsia="zh-CN"/>
              </w:rPr>
              <w:t>公司</w:t>
            </w:r>
            <w:r>
              <w:rPr>
                <w:rFonts w:hint="eastAsia" w:ascii="宋体" w:hAnsi="宋体"/>
                <w:sz w:val="24"/>
                <w:szCs w:val="24"/>
              </w:rPr>
              <w:t>品牌价值连续九年稳步跃升，以年均两位数的增长幅度，展现出强劲而可持续的品牌成长力。Brand Finance发布的《2026全球轮胎品牌价值25强》显示，</w:t>
            </w:r>
            <w:r>
              <w:rPr>
                <w:rFonts w:hint="eastAsia" w:ascii="宋体" w:hAnsi="宋体"/>
                <w:sz w:val="24"/>
                <w:szCs w:val="24"/>
                <w:lang w:val="en-US" w:eastAsia="zh-CN"/>
              </w:rPr>
              <w:t>公司位列轮胎行业第10位</w:t>
            </w:r>
            <w:r>
              <w:rPr>
                <w:rFonts w:hint="eastAsia" w:ascii="宋体" w:hAnsi="宋体"/>
                <w:sz w:val="24"/>
                <w:szCs w:val="24"/>
              </w:rPr>
              <w:t>，截至目前，赛轮已连续四年位居中国轮胎品牌首位，也是唯一跻身全球榜单十强的中国轮胎品牌。</w:t>
            </w:r>
          </w:p>
          <w:p w14:paraId="29CFA23E">
            <w:pPr>
              <w:pStyle w:val="14"/>
              <w:spacing w:line="460" w:lineRule="exact"/>
              <w:ind w:left="-2" w:leftChars="-1" w:firstLine="480" w:firstLineChars="0"/>
              <w:rPr>
                <w:rFonts w:ascii="宋体" w:hAnsi="宋体"/>
                <w:b/>
                <w:bCs/>
                <w:sz w:val="24"/>
                <w:szCs w:val="24"/>
              </w:rPr>
            </w:pPr>
            <w:r>
              <w:rPr>
                <w:rFonts w:hint="eastAsia" w:ascii="宋体" w:hAnsi="宋体"/>
                <w:b/>
                <w:bCs/>
                <w:sz w:val="24"/>
                <w:szCs w:val="24"/>
                <w:highlight w:val="none"/>
                <w:lang w:val="en-US" w:eastAsia="zh-CN"/>
              </w:rPr>
              <w:t>6、公司非公路客户都有哪些</w:t>
            </w:r>
            <w:r>
              <w:rPr>
                <w:rFonts w:hint="eastAsia" w:ascii="宋体" w:hAnsi="宋体"/>
                <w:b/>
                <w:bCs/>
                <w:sz w:val="24"/>
                <w:szCs w:val="24"/>
                <w:highlight w:val="none"/>
              </w:rPr>
              <w:t>？</w:t>
            </w:r>
          </w:p>
          <w:p w14:paraId="319C8518">
            <w:pPr>
              <w:pStyle w:val="14"/>
              <w:numPr>
                <w:ilvl w:val="-1"/>
                <w:numId w:val="0"/>
              </w:numPr>
              <w:spacing w:line="460" w:lineRule="exact"/>
              <w:ind w:left="-2" w:leftChars="-1" w:firstLine="480" w:firstLineChars="0"/>
              <w:rPr>
                <w:rFonts w:hint="eastAsia" w:ascii="宋体" w:hAnsi="宋体"/>
                <w:sz w:val="24"/>
                <w:szCs w:val="24"/>
              </w:rPr>
            </w:pPr>
            <w:r>
              <w:rPr>
                <w:rFonts w:hint="eastAsia" w:ascii="宋体" w:hAnsi="宋体"/>
                <w:sz w:val="24"/>
                <w:szCs w:val="24"/>
              </w:rPr>
              <w:t>答:公司非公路轮胎全球市场拓展取得显著进展，国际矿业巨头客户群持续扩大。公司已与澳大利亚必和必拓及巴西淡水河谷等顶级矿业企业建立了战略合作关系；在东南亚，公司与广晟矿业集团下属公司签署了年度长协，为其老挝普巴矿业旗下大型金属矿山提供全方位、高性能的轮胎解决方案；在非洲，公司与力拓集团签订了五年供应协议暨全球框架协议，为其部分自有矿卡及配套辅助设备提供全套轮胎解决方案，并将逐步与力拓集团其他全球项目开启合作。公司非公路轮胎产品已成功配套卡特彼勒、约翰迪尔、凯斯纽荷兰、英国JCB、小松、沃尔沃、爱科、道依茨法尔、徐工、柳工、北方重工、三一重工、同力重工、山东临工、潍柴雷沃、中联重科、中国一拖等国内外企业。</w:t>
            </w:r>
          </w:p>
          <w:p w14:paraId="5BC61601">
            <w:pPr>
              <w:pStyle w:val="14"/>
              <w:numPr>
                <w:ilvl w:val="-1"/>
                <w:numId w:val="0"/>
              </w:numPr>
              <w:spacing w:line="460" w:lineRule="exact"/>
              <w:ind w:left="-2" w:leftChars="-1" w:firstLine="480" w:firstLineChars="0"/>
              <w:rPr>
                <w:rFonts w:hint="eastAsia" w:ascii="宋体" w:hAnsi="宋体"/>
                <w:b/>
                <w:bCs/>
                <w:sz w:val="24"/>
                <w:szCs w:val="24"/>
              </w:rPr>
            </w:pPr>
            <w:r>
              <w:rPr>
                <w:rFonts w:hint="eastAsia" w:ascii="宋体" w:hAnsi="宋体"/>
                <w:sz w:val="24"/>
                <w:szCs w:val="24"/>
              </w:rPr>
              <w:t>公司非公路轮胎的产品实力与市场地位获得行业权威认可，斩获多项荣誉。根据工业和信息化部公示的第九批制造业单项冠军企业名单，公司“工程机械用子午线轮胎外胎”获评国家级制造业单项冠军；凭借在农业轮胎领域领先的技术实力与广泛的市场影响力，公司荣获“中国农业机械零部件龙头企业”称号，两款农业轮胎荣获德国农业协会（DLG）颁发的“DLG认证”质量标识。</w:t>
            </w:r>
          </w:p>
          <w:p w14:paraId="57102298">
            <w:pPr>
              <w:pStyle w:val="14"/>
              <w:spacing w:line="460" w:lineRule="exact"/>
              <w:ind w:left="-2" w:leftChars="-1" w:firstLine="480" w:firstLineChars="0"/>
              <w:rPr>
                <w:rFonts w:ascii="宋体" w:hAnsi="宋体"/>
                <w:b/>
                <w:bCs/>
                <w:sz w:val="24"/>
                <w:szCs w:val="24"/>
              </w:rPr>
            </w:pPr>
            <w:r>
              <w:rPr>
                <w:rFonts w:hint="eastAsia" w:ascii="宋体" w:hAnsi="宋体"/>
                <w:b/>
                <w:bCs/>
                <w:sz w:val="24"/>
                <w:szCs w:val="24"/>
                <w:lang w:val="en-US" w:eastAsia="zh-CN"/>
              </w:rPr>
              <w:t>7</w:t>
            </w:r>
            <w:r>
              <w:rPr>
                <w:rFonts w:hint="eastAsia" w:ascii="宋体" w:hAnsi="宋体"/>
                <w:b/>
                <w:bCs/>
                <w:sz w:val="24"/>
                <w:szCs w:val="24"/>
              </w:rPr>
              <w:t>、</w:t>
            </w:r>
            <w:r>
              <w:rPr>
                <w:rFonts w:hint="eastAsia" w:ascii="宋体" w:hAnsi="宋体"/>
                <w:b/>
                <w:bCs/>
                <w:sz w:val="24"/>
                <w:szCs w:val="24"/>
                <w:lang w:val="en-US" w:eastAsia="zh-CN"/>
              </w:rPr>
              <w:t>公司可持续发展业务的进展</w:t>
            </w:r>
            <w:r>
              <w:rPr>
                <w:rFonts w:hint="eastAsia" w:ascii="宋体" w:hAnsi="宋体"/>
                <w:b/>
                <w:bCs/>
                <w:sz w:val="24"/>
                <w:szCs w:val="24"/>
              </w:rPr>
              <w:t>？</w:t>
            </w:r>
          </w:p>
          <w:p w14:paraId="48C58021">
            <w:pPr>
              <w:pStyle w:val="14"/>
              <w:spacing w:line="460" w:lineRule="exact"/>
              <w:ind w:left="-2" w:leftChars="-1" w:firstLine="480" w:firstLineChars="0"/>
              <w:rPr>
                <w:rFonts w:hint="eastAsia" w:ascii="宋体" w:hAnsi="宋体" w:cs="宋体"/>
                <w:sz w:val="24"/>
                <w:szCs w:val="24"/>
                <w:lang w:val="en-US" w:eastAsia="zh-CN"/>
              </w:rPr>
            </w:pPr>
            <w:r>
              <w:rPr>
                <w:rFonts w:hint="eastAsia" w:ascii="宋体" w:hAnsi="宋体" w:cs="宋体"/>
                <w:sz w:val="24"/>
                <w:szCs w:val="24"/>
                <w:lang w:val="en-US" w:eastAsia="zh-CN"/>
              </w:rPr>
              <w:t>2026年7月25日，由中国天气网、国家应对气候变化战略研究和国际合作中心联合主办的“2026气候行动生态伙伴大会”在北京召开。会上正式发布了“碳路未来—2025气候行动典型案例”入选名单，公司凭借“绿色产品驱动交通低碳转型——赛轮液体黄金轮胎全生命周期气候行动实践”案例，成为唯一入选的轮胎企业。</w:t>
            </w:r>
          </w:p>
          <w:p w14:paraId="06232469">
            <w:pPr>
              <w:pStyle w:val="14"/>
              <w:spacing w:line="460" w:lineRule="exact"/>
              <w:ind w:left="-2" w:leftChars="-1" w:firstLine="480" w:firstLineChars="0"/>
              <w:rPr>
                <w:rFonts w:hint="eastAsia" w:ascii="宋体" w:hAnsi="宋体" w:cs="宋体"/>
                <w:sz w:val="24"/>
                <w:szCs w:val="24"/>
                <w:lang w:val="en-US" w:eastAsia="zh-CN"/>
              </w:rPr>
            </w:pPr>
            <w:r>
              <w:rPr>
                <w:rFonts w:hint="eastAsia" w:ascii="宋体" w:hAnsi="宋体" w:cs="宋体"/>
                <w:sz w:val="24"/>
                <w:szCs w:val="24"/>
                <w:lang w:val="en-US" w:eastAsia="zh-CN"/>
              </w:rPr>
              <w:t>经国际权威机构核查，液体黄金卡客车轮胎及轿车轮胎在每行驶1,000公里的全生命周期碳排放，较同规格普通材料轮胎分别下降39%和27%，减碳成效显著。</w:t>
            </w:r>
          </w:p>
          <w:p w14:paraId="1B9D6CCD">
            <w:pPr>
              <w:pStyle w:val="14"/>
              <w:spacing w:line="460" w:lineRule="exact"/>
              <w:ind w:left="-2" w:leftChars="-1" w:firstLine="480" w:firstLineChars="0"/>
              <w:rPr>
                <w:rFonts w:hint="eastAsia" w:ascii="宋体" w:hAnsi="宋体" w:cs="宋体"/>
                <w:sz w:val="24"/>
                <w:szCs w:val="24"/>
                <w:lang w:val="en-US" w:eastAsia="zh-CN"/>
              </w:rPr>
            </w:pPr>
            <w:r>
              <w:rPr>
                <w:rFonts w:hint="eastAsia" w:ascii="宋体" w:hAnsi="宋体" w:cs="宋体"/>
                <w:sz w:val="24"/>
                <w:szCs w:val="24"/>
                <w:lang w:val="en-US" w:eastAsia="zh-CN"/>
              </w:rPr>
              <w:t>同时，公司持续创新商业模式，推动液体黄金轮胎从“单一产品销售”向“全生命周期服务”转型。依托成熟的翻新技术与数字化平台，有效延长轮胎使用寿命，提升资源利用率，减少橡胶、钢帘线等原材料消耗及废旧轮胎产生量。</w:t>
            </w:r>
          </w:p>
          <w:p w14:paraId="74B44094">
            <w:pPr>
              <w:pStyle w:val="14"/>
              <w:spacing w:line="460" w:lineRule="exact"/>
              <w:ind w:left="-2" w:leftChars="-1" w:firstLine="480" w:firstLineChars="0"/>
              <w:rPr>
                <w:rFonts w:hint="eastAsia" w:ascii="宋体" w:hAnsi="宋体" w:cs="宋体"/>
                <w:sz w:val="24"/>
                <w:szCs w:val="24"/>
                <w:lang w:val="en-US" w:eastAsia="zh-CN"/>
              </w:rPr>
            </w:pPr>
            <w:r>
              <w:rPr>
                <w:rFonts w:hint="eastAsia" w:ascii="宋体" w:hAnsi="宋体" w:cs="宋体"/>
                <w:sz w:val="24"/>
                <w:szCs w:val="24"/>
                <w:lang w:val="en-US" w:eastAsia="zh-CN"/>
              </w:rPr>
              <w:t>未来，公司将持续探索气候行动新路径，以科技创新赋能绿色交通发展，携手行业伙伴共同迈向低碳可持续的未来。</w:t>
            </w:r>
          </w:p>
        </w:tc>
      </w:tr>
      <w:tr w14:paraId="76708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37AFD816">
            <w:pPr>
              <w:spacing w:line="420" w:lineRule="exact"/>
              <w:rPr>
                <w:rFonts w:hAnsi="宋体"/>
                <w:bCs/>
                <w:iCs/>
                <w:color w:val="000000"/>
                <w:kern w:val="0"/>
                <w:sz w:val="24"/>
              </w:rPr>
            </w:pPr>
            <w:r>
              <w:rPr>
                <w:rFonts w:hint="eastAsia" w:hAnsi="宋体"/>
                <w:bCs/>
                <w:iCs/>
                <w:color w:val="000000"/>
                <w:kern w:val="0"/>
                <w:sz w:val="24"/>
              </w:rPr>
              <w:t>关于本次活动是否涉及应披露重大信息的说明</w:t>
            </w:r>
          </w:p>
        </w:tc>
        <w:tc>
          <w:tcPr>
            <w:tcW w:w="7159" w:type="dxa"/>
            <w:tcBorders>
              <w:top w:val="single" w:color="auto" w:sz="4" w:space="0"/>
              <w:left w:val="single" w:color="auto" w:sz="4" w:space="0"/>
              <w:bottom w:val="single" w:color="auto" w:sz="4" w:space="0"/>
              <w:right w:val="single" w:color="auto" w:sz="4" w:space="0"/>
            </w:tcBorders>
          </w:tcPr>
          <w:p w14:paraId="586CC537">
            <w:pPr>
              <w:pStyle w:val="14"/>
              <w:spacing w:line="460" w:lineRule="exact"/>
              <w:ind w:firstLine="0" w:firstLineChars="0"/>
              <w:rPr>
                <w:rFonts w:ascii="宋体" w:hAnsi="宋体"/>
                <w:sz w:val="24"/>
                <w:szCs w:val="24"/>
              </w:rPr>
            </w:pPr>
            <w:r>
              <w:rPr>
                <w:rFonts w:hint="eastAsia" w:ascii="宋体" w:hAnsi="宋体"/>
                <w:sz w:val="24"/>
                <w:szCs w:val="24"/>
              </w:rPr>
              <w:t>无</w:t>
            </w:r>
          </w:p>
        </w:tc>
      </w:tr>
      <w:tr w14:paraId="745C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8" w:type="dxa"/>
            <w:tcBorders>
              <w:top w:val="single" w:color="auto" w:sz="4" w:space="0"/>
              <w:left w:val="single" w:color="auto" w:sz="4" w:space="0"/>
              <w:bottom w:val="single" w:color="auto" w:sz="4" w:space="0"/>
              <w:right w:val="single" w:color="auto" w:sz="4" w:space="0"/>
            </w:tcBorders>
            <w:vAlign w:val="center"/>
          </w:tcPr>
          <w:p w14:paraId="23FBB159">
            <w:pPr>
              <w:spacing w:line="420" w:lineRule="exact"/>
              <w:rPr>
                <w:bCs/>
                <w:iCs/>
                <w:color w:val="000000"/>
                <w:kern w:val="0"/>
                <w:sz w:val="24"/>
              </w:rPr>
            </w:pPr>
            <w:r>
              <w:rPr>
                <w:rFonts w:hAnsi="宋体"/>
                <w:bCs/>
                <w:iCs/>
                <w:color w:val="000000"/>
                <w:kern w:val="0"/>
                <w:sz w:val="24"/>
              </w:rPr>
              <w:t>附件清单（如有）</w:t>
            </w:r>
          </w:p>
        </w:tc>
        <w:tc>
          <w:tcPr>
            <w:tcW w:w="7159" w:type="dxa"/>
            <w:tcBorders>
              <w:top w:val="single" w:color="auto" w:sz="4" w:space="0"/>
              <w:left w:val="single" w:color="auto" w:sz="4" w:space="0"/>
              <w:bottom w:val="single" w:color="auto" w:sz="4" w:space="0"/>
              <w:right w:val="single" w:color="auto" w:sz="4" w:space="0"/>
            </w:tcBorders>
          </w:tcPr>
          <w:p w14:paraId="6AED7C54">
            <w:pPr>
              <w:spacing w:line="420" w:lineRule="exact"/>
              <w:rPr>
                <w:bCs/>
                <w:iCs/>
                <w:color w:val="000000"/>
                <w:sz w:val="24"/>
              </w:rPr>
            </w:pPr>
            <w:r>
              <w:rPr>
                <w:rFonts w:hint="eastAsia"/>
                <w:bCs/>
                <w:iCs/>
                <w:color w:val="000000"/>
                <w:sz w:val="24"/>
              </w:rPr>
              <w:t>无</w:t>
            </w:r>
          </w:p>
        </w:tc>
      </w:tr>
    </w:tbl>
    <w:p w14:paraId="55C34ED7"/>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20F7">
    <w:pPr>
      <w:pStyle w:val="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6F6E1">
    <w:pPr>
      <w:pStyle w:val="6"/>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C7"/>
    <w:rsid w:val="000268C0"/>
    <w:rsid w:val="000363B5"/>
    <w:rsid w:val="000375D7"/>
    <w:rsid w:val="00043015"/>
    <w:rsid w:val="00046DDE"/>
    <w:rsid w:val="00047EB9"/>
    <w:rsid w:val="00060A74"/>
    <w:rsid w:val="00067110"/>
    <w:rsid w:val="000759BE"/>
    <w:rsid w:val="00090A08"/>
    <w:rsid w:val="0009298A"/>
    <w:rsid w:val="000A06FF"/>
    <w:rsid w:val="000A2808"/>
    <w:rsid w:val="000A3BAC"/>
    <w:rsid w:val="000B6E1C"/>
    <w:rsid w:val="000C26FD"/>
    <w:rsid w:val="000C2D85"/>
    <w:rsid w:val="000E5700"/>
    <w:rsid w:val="000F0C4B"/>
    <w:rsid w:val="000F0E22"/>
    <w:rsid w:val="00105A04"/>
    <w:rsid w:val="001169A9"/>
    <w:rsid w:val="00125EB2"/>
    <w:rsid w:val="00142A4C"/>
    <w:rsid w:val="00144279"/>
    <w:rsid w:val="001452FF"/>
    <w:rsid w:val="001514AB"/>
    <w:rsid w:val="00164F36"/>
    <w:rsid w:val="0016617A"/>
    <w:rsid w:val="00167E99"/>
    <w:rsid w:val="0017500C"/>
    <w:rsid w:val="001943FE"/>
    <w:rsid w:val="001975AB"/>
    <w:rsid w:val="001A00F5"/>
    <w:rsid w:val="001A1F65"/>
    <w:rsid w:val="001A5CE9"/>
    <w:rsid w:val="001C50AD"/>
    <w:rsid w:val="001C53CF"/>
    <w:rsid w:val="001D22EE"/>
    <w:rsid w:val="001D4C89"/>
    <w:rsid w:val="001E1838"/>
    <w:rsid w:val="001E3145"/>
    <w:rsid w:val="001E6509"/>
    <w:rsid w:val="001E7968"/>
    <w:rsid w:val="001F34CD"/>
    <w:rsid w:val="0021223F"/>
    <w:rsid w:val="0022180A"/>
    <w:rsid w:val="00223ABC"/>
    <w:rsid w:val="002241B9"/>
    <w:rsid w:val="002274D9"/>
    <w:rsid w:val="0023455A"/>
    <w:rsid w:val="00237994"/>
    <w:rsid w:val="00250810"/>
    <w:rsid w:val="00251D58"/>
    <w:rsid w:val="00252824"/>
    <w:rsid w:val="002530EE"/>
    <w:rsid w:val="002549E6"/>
    <w:rsid w:val="00256602"/>
    <w:rsid w:val="0026685A"/>
    <w:rsid w:val="00271C8D"/>
    <w:rsid w:val="00273B53"/>
    <w:rsid w:val="002774F7"/>
    <w:rsid w:val="0028080C"/>
    <w:rsid w:val="00281089"/>
    <w:rsid w:val="00284D8E"/>
    <w:rsid w:val="00295257"/>
    <w:rsid w:val="00297703"/>
    <w:rsid w:val="002A0826"/>
    <w:rsid w:val="002A0984"/>
    <w:rsid w:val="002A0F7E"/>
    <w:rsid w:val="002A589B"/>
    <w:rsid w:val="002A5CE1"/>
    <w:rsid w:val="002B1184"/>
    <w:rsid w:val="002B71B8"/>
    <w:rsid w:val="002B7469"/>
    <w:rsid w:val="002C22C6"/>
    <w:rsid w:val="002C23FC"/>
    <w:rsid w:val="002C6568"/>
    <w:rsid w:val="002C723B"/>
    <w:rsid w:val="002D2151"/>
    <w:rsid w:val="002D39BC"/>
    <w:rsid w:val="002D4E50"/>
    <w:rsid w:val="002D5E38"/>
    <w:rsid w:val="002D6611"/>
    <w:rsid w:val="002E1B15"/>
    <w:rsid w:val="002E1D3A"/>
    <w:rsid w:val="002F556B"/>
    <w:rsid w:val="003005F0"/>
    <w:rsid w:val="00300E73"/>
    <w:rsid w:val="003030BF"/>
    <w:rsid w:val="00304F89"/>
    <w:rsid w:val="00306023"/>
    <w:rsid w:val="00324953"/>
    <w:rsid w:val="00327D5D"/>
    <w:rsid w:val="00344914"/>
    <w:rsid w:val="00346917"/>
    <w:rsid w:val="00354A7B"/>
    <w:rsid w:val="00360FDA"/>
    <w:rsid w:val="00363075"/>
    <w:rsid w:val="00367D18"/>
    <w:rsid w:val="00372A1C"/>
    <w:rsid w:val="0037435A"/>
    <w:rsid w:val="00377D8F"/>
    <w:rsid w:val="00383679"/>
    <w:rsid w:val="003A1E68"/>
    <w:rsid w:val="003B0122"/>
    <w:rsid w:val="003B0BE5"/>
    <w:rsid w:val="003B424A"/>
    <w:rsid w:val="003D18F1"/>
    <w:rsid w:val="003E001E"/>
    <w:rsid w:val="003F7C4D"/>
    <w:rsid w:val="0040075F"/>
    <w:rsid w:val="00403300"/>
    <w:rsid w:val="004118C0"/>
    <w:rsid w:val="00417A31"/>
    <w:rsid w:val="0042004B"/>
    <w:rsid w:val="00421A4F"/>
    <w:rsid w:val="00433384"/>
    <w:rsid w:val="0043777D"/>
    <w:rsid w:val="00456810"/>
    <w:rsid w:val="0045767F"/>
    <w:rsid w:val="00463E9B"/>
    <w:rsid w:val="00467414"/>
    <w:rsid w:val="004713D3"/>
    <w:rsid w:val="00473F30"/>
    <w:rsid w:val="0048591A"/>
    <w:rsid w:val="00486D86"/>
    <w:rsid w:val="0048721A"/>
    <w:rsid w:val="004A0BD5"/>
    <w:rsid w:val="004A1BBF"/>
    <w:rsid w:val="004A73E5"/>
    <w:rsid w:val="004C19BF"/>
    <w:rsid w:val="004D7640"/>
    <w:rsid w:val="004E1A9B"/>
    <w:rsid w:val="004E76B6"/>
    <w:rsid w:val="00500AB6"/>
    <w:rsid w:val="005155FB"/>
    <w:rsid w:val="00523907"/>
    <w:rsid w:val="00533D7F"/>
    <w:rsid w:val="00537C53"/>
    <w:rsid w:val="005438F5"/>
    <w:rsid w:val="00544901"/>
    <w:rsid w:val="00545A2E"/>
    <w:rsid w:val="005474D3"/>
    <w:rsid w:val="00550737"/>
    <w:rsid w:val="00551B41"/>
    <w:rsid w:val="00555DD2"/>
    <w:rsid w:val="00565819"/>
    <w:rsid w:val="00565ED9"/>
    <w:rsid w:val="0057339F"/>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F63"/>
    <w:rsid w:val="005E6BA1"/>
    <w:rsid w:val="00601B92"/>
    <w:rsid w:val="0060779A"/>
    <w:rsid w:val="00617A62"/>
    <w:rsid w:val="00622F13"/>
    <w:rsid w:val="00625503"/>
    <w:rsid w:val="0062662D"/>
    <w:rsid w:val="00632E78"/>
    <w:rsid w:val="006344F1"/>
    <w:rsid w:val="00637186"/>
    <w:rsid w:val="00641810"/>
    <w:rsid w:val="00645D80"/>
    <w:rsid w:val="00646DF4"/>
    <w:rsid w:val="00651DE6"/>
    <w:rsid w:val="006523BB"/>
    <w:rsid w:val="00652928"/>
    <w:rsid w:val="0065347E"/>
    <w:rsid w:val="00654B49"/>
    <w:rsid w:val="00662505"/>
    <w:rsid w:val="00664538"/>
    <w:rsid w:val="0066674C"/>
    <w:rsid w:val="006760F7"/>
    <w:rsid w:val="00682777"/>
    <w:rsid w:val="006861C7"/>
    <w:rsid w:val="00686DDF"/>
    <w:rsid w:val="00697B12"/>
    <w:rsid w:val="006A55BB"/>
    <w:rsid w:val="006A7613"/>
    <w:rsid w:val="006B661A"/>
    <w:rsid w:val="006B7D00"/>
    <w:rsid w:val="006B7EA0"/>
    <w:rsid w:val="006C6BC5"/>
    <w:rsid w:val="006D61A2"/>
    <w:rsid w:val="006E1DB4"/>
    <w:rsid w:val="00714059"/>
    <w:rsid w:val="00716833"/>
    <w:rsid w:val="00723BFA"/>
    <w:rsid w:val="00726DC9"/>
    <w:rsid w:val="00753DB6"/>
    <w:rsid w:val="007555E7"/>
    <w:rsid w:val="00763847"/>
    <w:rsid w:val="007702B4"/>
    <w:rsid w:val="00771FE3"/>
    <w:rsid w:val="00776BDE"/>
    <w:rsid w:val="007816EC"/>
    <w:rsid w:val="007845A3"/>
    <w:rsid w:val="00786870"/>
    <w:rsid w:val="00792237"/>
    <w:rsid w:val="0079272A"/>
    <w:rsid w:val="00794A1A"/>
    <w:rsid w:val="007A1DA9"/>
    <w:rsid w:val="007B2252"/>
    <w:rsid w:val="007B79D9"/>
    <w:rsid w:val="007C67B1"/>
    <w:rsid w:val="007D3272"/>
    <w:rsid w:val="007E354A"/>
    <w:rsid w:val="007E69C8"/>
    <w:rsid w:val="0080525B"/>
    <w:rsid w:val="008062C5"/>
    <w:rsid w:val="0080741A"/>
    <w:rsid w:val="00814B5B"/>
    <w:rsid w:val="00836F34"/>
    <w:rsid w:val="00843E73"/>
    <w:rsid w:val="00844EBF"/>
    <w:rsid w:val="00854F61"/>
    <w:rsid w:val="0086193F"/>
    <w:rsid w:val="00864202"/>
    <w:rsid w:val="00873B59"/>
    <w:rsid w:val="0087701F"/>
    <w:rsid w:val="0089283D"/>
    <w:rsid w:val="00893108"/>
    <w:rsid w:val="00896F6C"/>
    <w:rsid w:val="008A0ADC"/>
    <w:rsid w:val="008A1813"/>
    <w:rsid w:val="008A1BAB"/>
    <w:rsid w:val="008B38B7"/>
    <w:rsid w:val="008B458E"/>
    <w:rsid w:val="008C4D4A"/>
    <w:rsid w:val="008D14CC"/>
    <w:rsid w:val="008E11AE"/>
    <w:rsid w:val="008E1708"/>
    <w:rsid w:val="008E1E3A"/>
    <w:rsid w:val="008E25C7"/>
    <w:rsid w:val="008E4844"/>
    <w:rsid w:val="00904492"/>
    <w:rsid w:val="00904DFB"/>
    <w:rsid w:val="0091457B"/>
    <w:rsid w:val="00923763"/>
    <w:rsid w:val="00930C19"/>
    <w:rsid w:val="00930ED6"/>
    <w:rsid w:val="0093293F"/>
    <w:rsid w:val="00933105"/>
    <w:rsid w:val="0094408E"/>
    <w:rsid w:val="00944147"/>
    <w:rsid w:val="009474EF"/>
    <w:rsid w:val="00962626"/>
    <w:rsid w:val="00975657"/>
    <w:rsid w:val="009767DD"/>
    <w:rsid w:val="00977AF2"/>
    <w:rsid w:val="00985FC5"/>
    <w:rsid w:val="00991CFA"/>
    <w:rsid w:val="00993BDD"/>
    <w:rsid w:val="009A6DFB"/>
    <w:rsid w:val="009B6EC0"/>
    <w:rsid w:val="009C7FAF"/>
    <w:rsid w:val="009D4199"/>
    <w:rsid w:val="009E5E6A"/>
    <w:rsid w:val="009F0DD5"/>
    <w:rsid w:val="009F1B95"/>
    <w:rsid w:val="009F58E0"/>
    <w:rsid w:val="009F6C05"/>
    <w:rsid w:val="00A05FD7"/>
    <w:rsid w:val="00A12C73"/>
    <w:rsid w:val="00A13CB6"/>
    <w:rsid w:val="00A14A1A"/>
    <w:rsid w:val="00A22CDD"/>
    <w:rsid w:val="00A25AEE"/>
    <w:rsid w:val="00A31EB1"/>
    <w:rsid w:val="00A33AEA"/>
    <w:rsid w:val="00A3668F"/>
    <w:rsid w:val="00A43D62"/>
    <w:rsid w:val="00A461CD"/>
    <w:rsid w:val="00A469C5"/>
    <w:rsid w:val="00A5317D"/>
    <w:rsid w:val="00A6284E"/>
    <w:rsid w:val="00A63E81"/>
    <w:rsid w:val="00A8775A"/>
    <w:rsid w:val="00AA5998"/>
    <w:rsid w:val="00AB07E7"/>
    <w:rsid w:val="00AD1BA8"/>
    <w:rsid w:val="00AE49A4"/>
    <w:rsid w:val="00B02A29"/>
    <w:rsid w:val="00B03522"/>
    <w:rsid w:val="00B04AD6"/>
    <w:rsid w:val="00B14CAA"/>
    <w:rsid w:val="00B24C80"/>
    <w:rsid w:val="00B257CE"/>
    <w:rsid w:val="00B377C1"/>
    <w:rsid w:val="00B4746C"/>
    <w:rsid w:val="00B65354"/>
    <w:rsid w:val="00B71A0E"/>
    <w:rsid w:val="00B80C24"/>
    <w:rsid w:val="00B81765"/>
    <w:rsid w:val="00B832F5"/>
    <w:rsid w:val="00BA2FAB"/>
    <w:rsid w:val="00BB4BD0"/>
    <w:rsid w:val="00BB5E28"/>
    <w:rsid w:val="00BC7AD1"/>
    <w:rsid w:val="00BD15F3"/>
    <w:rsid w:val="00BD7986"/>
    <w:rsid w:val="00BD79D3"/>
    <w:rsid w:val="00C01D49"/>
    <w:rsid w:val="00C04F82"/>
    <w:rsid w:val="00C15AC0"/>
    <w:rsid w:val="00C26030"/>
    <w:rsid w:val="00C41091"/>
    <w:rsid w:val="00C45222"/>
    <w:rsid w:val="00C63056"/>
    <w:rsid w:val="00C661D1"/>
    <w:rsid w:val="00C735E6"/>
    <w:rsid w:val="00C73E0A"/>
    <w:rsid w:val="00C753D3"/>
    <w:rsid w:val="00C775BA"/>
    <w:rsid w:val="00C85331"/>
    <w:rsid w:val="00C85A50"/>
    <w:rsid w:val="00C94D46"/>
    <w:rsid w:val="00CA443A"/>
    <w:rsid w:val="00CB2461"/>
    <w:rsid w:val="00CB37FD"/>
    <w:rsid w:val="00CC4D65"/>
    <w:rsid w:val="00CC61E7"/>
    <w:rsid w:val="00CD25AD"/>
    <w:rsid w:val="00CD2FB8"/>
    <w:rsid w:val="00CD3FFC"/>
    <w:rsid w:val="00CE493F"/>
    <w:rsid w:val="00CF565C"/>
    <w:rsid w:val="00D016A3"/>
    <w:rsid w:val="00D10C83"/>
    <w:rsid w:val="00D31004"/>
    <w:rsid w:val="00D512E3"/>
    <w:rsid w:val="00D602C9"/>
    <w:rsid w:val="00D659D1"/>
    <w:rsid w:val="00D8372D"/>
    <w:rsid w:val="00D94E90"/>
    <w:rsid w:val="00D96EE2"/>
    <w:rsid w:val="00DA26A9"/>
    <w:rsid w:val="00DB01FF"/>
    <w:rsid w:val="00DC291C"/>
    <w:rsid w:val="00DC7778"/>
    <w:rsid w:val="00DD594E"/>
    <w:rsid w:val="00DE7391"/>
    <w:rsid w:val="00DF2DB5"/>
    <w:rsid w:val="00DF361E"/>
    <w:rsid w:val="00DF6560"/>
    <w:rsid w:val="00E03F1F"/>
    <w:rsid w:val="00E0422F"/>
    <w:rsid w:val="00E04CC0"/>
    <w:rsid w:val="00E136FF"/>
    <w:rsid w:val="00E32528"/>
    <w:rsid w:val="00E35F26"/>
    <w:rsid w:val="00E43DF6"/>
    <w:rsid w:val="00E51C50"/>
    <w:rsid w:val="00E53165"/>
    <w:rsid w:val="00E61EF7"/>
    <w:rsid w:val="00E663B4"/>
    <w:rsid w:val="00E80CEB"/>
    <w:rsid w:val="00E971F4"/>
    <w:rsid w:val="00EA5103"/>
    <w:rsid w:val="00EA6FB9"/>
    <w:rsid w:val="00EB5E6A"/>
    <w:rsid w:val="00EC2AD7"/>
    <w:rsid w:val="00ED7DE0"/>
    <w:rsid w:val="00EE3956"/>
    <w:rsid w:val="00EE7891"/>
    <w:rsid w:val="00EF2EC8"/>
    <w:rsid w:val="00EF3388"/>
    <w:rsid w:val="00EF49FE"/>
    <w:rsid w:val="00EF5341"/>
    <w:rsid w:val="00F00714"/>
    <w:rsid w:val="00F04908"/>
    <w:rsid w:val="00F07C21"/>
    <w:rsid w:val="00F12EF6"/>
    <w:rsid w:val="00F21065"/>
    <w:rsid w:val="00F24311"/>
    <w:rsid w:val="00F24CB4"/>
    <w:rsid w:val="00F43465"/>
    <w:rsid w:val="00F45475"/>
    <w:rsid w:val="00F64E72"/>
    <w:rsid w:val="00F70C7D"/>
    <w:rsid w:val="00F9272E"/>
    <w:rsid w:val="00F95565"/>
    <w:rsid w:val="00F96D8F"/>
    <w:rsid w:val="00F97743"/>
    <w:rsid w:val="00FA64EF"/>
    <w:rsid w:val="00FA6DAF"/>
    <w:rsid w:val="00FC6884"/>
    <w:rsid w:val="00FE62F3"/>
    <w:rsid w:val="00FF2D81"/>
    <w:rsid w:val="00FF71D2"/>
    <w:rsid w:val="010C0FBF"/>
    <w:rsid w:val="014E47A4"/>
    <w:rsid w:val="024B5C25"/>
    <w:rsid w:val="02A71995"/>
    <w:rsid w:val="02F43955"/>
    <w:rsid w:val="03872335"/>
    <w:rsid w:val="04074A2A"/>
    <w:rsid w:val="041148EE"/>
    <w:rsid w:val="045E6982"/>
    <w:rsid w:val="04CD4E0D"/>
    <w:rsid w:val="04E5152E"/>
    <w:rsid w:val="053F335C"/>
    <w:rsid w:val="05F30D52"/>
    <w:rsid w:val="06E17628"/>
    <w:rsid w:val="06F82B7E"/>
    <w:rsid w:val="07275CE5"/>
    <w:rsid w:val="07B20C20"/>
    <w:rsid w:val="07BA5E31"/>
    <w:rsid w:val="07BC033E"/>
    <w:rsid w:val="07E84685"/>
    <w:rsid w:val="07EA33B7"/>
    <w:rsid w:val="07F43921"/>
    <w:rsid w:val="0837350B"/>
    <w:rsid w:val="083F4D57"/>
    <w:rsid w:val="08582CB3"/>
    <w:rsid w:val="0888352F"/>
    <w:rsid w:val="08964C8B"/>
    <w:rsid w:val="08E5231F"/>
    <w:rsid w:val="090360D7"/>
    <w:rsid w:val="093D3C5E"/>
    <w:rsid w:val="09955729"/>
    <w:rsid w:val="099B29F9"/>
    <w:rsid w:val="0A312134"/>
    <w:rsid w:val="0A63192C"/>
    <w:rsid w:val="0ACC5CE8"/>
    <w:rsid w:val="0AFA761E"/>
    <w:rsid w:val="0BC07254"/>
    <w:rsid w:val="0C493B9B"/>
    <w:rsid w:val="0C911330"/>
    <w:rsid w:val="0C93758E"/>
    <w:rsid w:val="0D1A3D9C"/>
    <w:rsid w:val="0D4D0B5F"/>
    <w:rsid w:val="0D4D2354"/>
    <w:rsid w:val="0D666523"/>
    <w:rsid w:val="0D966F17"/>
    <w:rsid w:val="0DC47F11"/>
    <w:rsid w:val="0DEB6B03"/>
    <w:rsid w:val="0E1D5BD4"/>
    <w:rsid w:val="0E207A31"/>
    <w:rsid w:val="0EDC54B6"/>
    <w:rsid w:val="0FA30C9F"/>
    <w:rsid w:val="0FD733BC"/>
    <w:rsid w:val="108D6EB8"/>
    <w:rsid w:val="10A61842"/>
    <w:rsid w:val="110F4875"/>
    <w:rsid w:val="11600FCF"/>
    <w:rsid w:val="12DF0C65"/>
    <w:rsid w:val="13313537"/>
    <w:rsid w:val="13544387"/>
    <w:rsid w:val="13706BF0"/>
    <w:rsid w:val="137F11E8"/>
    <w:rsid w:val="13811984"/>
    <w:rsid w:val="13C4450D"/>
    <w:rsid w:val="141B6967"/>
    <w:rsid w:val="14304EC9"/>
    <w:rsid w:val="143F6870"/>
    <w:rsid w:val="147565DF"/>
    <w:rsid w:val="14CE5B5B"/>
    <w:rsid w:val="14E70151"/>
    <w:rsid w:val="158B67E1"/>
    <w:rsid w:val="16975FB0"/>
    <w:rsid w:val="16C01B54"/>
    <w:rsid w:val="16D2356A"/>
    <w:rsid w:val="172C1957"/>
    <w:rsid w:val="17363AA3"/>
    <w:rsid w:val="175C51BC"/>
    <w:rsid w:val="17B3729E"/>
    <w:rsid w:val="17E96DCA"/>
    <w:rsid w:val="17F95A0A"/>
    <w:rsid w:val="180F7009"/>
    <w:rsid w:val="18567E5D"/>
    <w:rsid w:val="18D93A98"/>
    <w:rsid w:val="19277BC7"/>
    <w:rsid w:val="19384E4C"/>
    <w:rsid w:val="195106E6"/>
    <w:rsid w:val="19BD3E5D"/>
    <w:rsid w:val="19E37083"/>
    <w:rsid w:val="1A442861"/>
    <w:rsid w:val="1A5F2288"/>
    <w:rsid w:val="1A816DFF"/>
    <w:rsid w:val="1AC35C7E"/>
    <w:rsid w:val="1B1D2492"/>
    <w:rsid w:val="1B2418A5"/>
    <w:rsid w:val="1B263D19"/>
    <w:rsid w:val="1B415A19"/>
    <w:rsid w:val="1C1B07AD"/>
    <w:rsid w:val="1CB15A1E"/>
    <w:rsid w:val="1D445E50"/>
    <w:rsid w:val="1D812873"/>
    <w:rsid w:val="1E1A6F96"/>
    <w:rsid w:val="1E6D3A4C"/>
    <w:rsid w:val="1E8F5DA1"/>
    <w:rsid w:val="1FBFC074"/>
    <w:rsid w:val="203C5BD3"/>
    <w:rsid w:val="204B02F6"/>
    <w:rsid w:val="2052439D"/>
    <w:rsid w:val="206E768C"/>
    <w:rsid w:val="20A21C41"/>
    <w:rsid w:val="211B6FA2"/>
    <w:rsid w:val="21AB744A"/>
    <w:rsid w:val="21DE12B6"/>
    <w:rsid w:val="21E26D9D"/>
    <w:rsid w:val="22050DDE"/>
    <w:rsid w:val="22531071"/>
    <w:rsid w:val="22B65ABC"/>
    <w:rsid w:val="23B83520"/>
    <w:rsid w:val="241C2252"/>
    <w:rsid w:val="244A38CE"/>
    <w:rsid w:val="247456DF"/>
    <w:rsid w:val="2485597A"/>
    <w:rsid w:val="24A501A2"/>
    <w:rsid w:val="24E80350"/>
    <w:rsid w:val="2510555E"/>
    <w:rsid w:val="2518296A"/>
    <w:rsid w:val="25213F70"/>
    <w:rsid w:val="257B30A7"/>
    <w:rsid w:val="25AC38D5"/>
    <w:rsid w:val="261D2E7F"/>
    <w:rsid w:val="26372DC2"/>
    <w:rsid w:val="26492CDC"/>
    <w:rsid w:val="26AB47E5"/>
    <w:rsid w:val="26C339D5"/>
    <w:rsid w:val="27486743"/>
    <w:rsid w:val="27950D85"/>
    <w:rsid w:val="27E94D39"/>
    <w:rsid w:val="27FC492A"/>
    <w:rsid w:val="280645A5"/>
    <w:rsid w:val="28B03A1C"/>
    <w:rsid w:val="29167E25"/>
    <w:rsid w:val="29254846"/>
    <w:rsid w:val="293272A7"/>
    <w:rsid w:val="2936378C"/>
    <w:rsid w:val="298E08BA"/>
    <w:rsid w:val="29A71DB7"/>
    <w:rsid w:val="29AC03B5"/>
    <w:rsid w:val="29B52BCB"/>
    <w:rsid w:val="29FA2D3E"/>
    <w:rsid w:val="2A2003A2"/>
    <w:rsid w:val="2A2618A2"/>
    <w:rsid w:val="2A923B80"/>
    <w:rsid w:val="2A924D25"/>
    <w:rsid w:val="2A9422A9"/>
    <w:rsid w:val="2AED757D"/>
    <w:rsid w:val="2B285F9E"/>
    <w:rsid w:val="2B620922"/>
    <w:rsid w:val="2B734E9D"/>
    <w:rsid w:val="2BA7533C"/>
    <w:rsid w:val="2C177530"/>
    <w:rsid w:val="2C253D8E"/>
    <w:rsid w:val="2C4460A7"/>
    <w:rsid w:val="2CF14F20"/>
    <w:rsid w:val="2DBB077A"/>
    <w:rsid w:val="2DCB41D6"/>
    <w:rsid w:val="2E256BC7"/>
    <w:rsid w:val="2E592F1A"/>
    <w:rsid w:val="2E687965"/>
    <w:rsid w:val="2E8B1648"/>
    <w:rsid w:val="2EF06807"/>
    <w:rsid w:val="2F3A1C8E"/>
    <w:rsid w:val="2F8A1FFE"/>
    <w:rsid w:val="2F94550B"/>
    <w:rsid w:val="2FB34177"/>
    <w:rsid w:val="2FF91C3F"/>
    <w:rsid w:val="305B4C29"/>
    <w:rsid w:val="30700449"/>
    <w:rsid w:val="31B85A3E"/>
    <w:rsid w:val="31F54A45"/>
    <w:rsid w:val="31FD161E"/>
    <w:rsid w:val="320E6A5D"/>
    <w:rsid w:val="32406492"/>
    <w:rsid w:val="327645E7"/>
    <w:rsid w:val="32CC663E"/>
    <w:rsid w:val="33645CC3"/>
    <w:rsid w:val="33A23960"/>
    <w:rsid w:val="3488335F"/>
    <w:rsid w:val="349E052A"/>
    <w:rsid w:val="34A301D0"/>
    <w:rsid w:val="34D652B4"/>
    <w:rsid w:val="34FD33C1"/>
    <w:rsid w:val="35415B1D"/>
    <w:rsid w:val="35917824"/>
    <w:rsid w:val="359B46F3"/>
    <w:rsid w:val="35B61405"/>
    <w:rsid w:val="35DC7F6D"/>
    <w:rsid w:val="36160449"/>
    <w:rsid w:val="363E7508"/>
    <w:rsid w:val="3698771E"/>
    <w:rsid w:val="36BE50F4"/>
    <w:rsid w:val="36FB9E1F"/>
    <w:rsid w:val="36FC5627"/>
    <w:rsid w:val="3741073C"/>
    <w:rsid w:val="381D5949"/>
    <w:rsid w:val="387B2C93"/>
    <w:rsid w:val="38D32EB4"/>
    <w:rsid w:val="38DA69D3"/>
    <w:rsid w:val="393A6248"/>
    <w:rsid w:val="39590076"/>
    <w:rsid w:val="3961212F"/>
    <w:rsid w:val="39970D31"/>
    <w:rsid w:val="39C443D2"/>
    <w:rsid w:val="39FE388F"/>
    <w:rsid w:val="3A811618"/>
    <w:rsid w:val="3AE95412"/>
    <w:rsid w:val="3B517531"/>
    <w:rsid w:val="3BFA3B96"/>
    <w:rsid w:val="3C197A65"/>
    <w:rsid w:val="3C4A44EB"/>
    <w:rsid w:val="3CAF7E6D"/>
    <w:rsid w:val="3CE226B1"/>
    <w:rsid w:val="3CEF3472"/>
    <w:rsid w:val="3D834ACE"/>
    <w:rsid w:val="3E572604"/>
    <w:rsid w:val="3E6B460E"/>
    <w:rsid w:val="3E73157F"/>
    <w:rsid w:val="3E86281D"/>
    <w:rsid w:val="3EFF16E9"/>
    <w:rsid w:val="3F6825F3"/>
    <w:rsid w:val="3F7D54CC"/>
    <w:rsid w:val="3F9603D9"/>
    <w:rsid w:val="3FCD71CD"/>
    <w:rsid w:val="402C16C5"/>
    <w:rsid w:val="40952455"/>
    <w:rsid w:val="40CD3EC6"/>
    <w:rsid w:val="417D7544"/>
    <w:rsid w:val="419210A2"/>
    <w:rsid w:val="420E64EB"/>
    <w:rsid w:val="4213434C"/>
    <w:rsid w:val="428377AF"/>
    <w:rsid w:val="42C03D90"/>
    <w:rsid w:val="42DB23BC"/>
    <w:rsid w:val="42F76469"/>
    <w:rsid w:val="431F67B4"/>
    <w:rsid w:val="43EC12FF"/>
    <w:rsid w:val="43FB5176"/>
    <w:rsid w:val="445F30DB"/>
    <w:rsid w:val="448156A1"/>
    <w:rsid w:val="44A12290"/>
    <w:rsid w:val="44D218B8"/>
    <w:rsid w:val="450A4511"/>
    <w:rsid w:val="45321F95"/>
    <w:rsid w:val="45811178"/>
    <w:rsid w:val="46947ED0"/>
    <w:rsid w:val="472965B9"/>
    <w:rsid w:val="478712AE"/>
    <w:rsid w:val="47A24893"/>
    <w:rsid w:val="47C71D42"/>
    <w:rsid w:val="4823219D"/>
    <w:rsid w:val="484D40EA"/>
    <w:rsid w:val="485729AA"/>
    <w:rsid w:val="48B37F53"/>
    <w:rsid w:val="490B575C"/>
    <w:rsid w:val="49330481"/>
    <w:rsid w:val="499D3A9F"/>
    <w:rsid w:val="499D4576"/>
    <w:rsid w:val="49AB2B98"/>
    <w:rsid w:val="49CE5F56"/>
    <w:rsid w:val="49F02C87"/>
    <w:rsid w:val="49FA39A7"/>
    <w:rsid w:val="4A041E7F"/>
    <w:rsid w:val="4A59738B"/>
    <w:rsid w:val="4A6B702A"/>
    <w:rsid w:val="4AD9315C"/>
    <w:rsid w:val="4AFD441A"/>
    <w:rsid w:val="4B0D7215"/>
    <w:rsid w:val="4B0F5A0D"/>
    <w:rsid w:val="4B465D0E"/>
    <w:rsid w:val="4BA27FBC"/>
    <w:rsid w:val="4C1C56C7"/>
    <w:rsid w:val="4C2F3402"/>
    <w:rsid w:val="4D2526C9"/>
    <w:rsid w:val="4D506E7B"/>
    <w:rsid w:val="4D864777"/>
    <w:rsid w:val="4DE91E71"/>
    <w:rsid w:val="4E1370FB"/>
    <w:rsid w:val="4E166300"/>
    <w:rsid w:val="4E291C1E"/>
    <w:rsid w:val="4E2F3499"/>
    <w:rsid w:val="4EBA27E3"/>
    <w:rsid w:val="4EC95731"/>
    <w:rsid w:val="4F8C651D"/>
    <w:rsid w:val="4F9323C9"/>
    <w:rsid w:val="50B41C78"/>
    <w:rsid w:val="50B7737A"/>
    <w:rsid w:val="50E41142"/>
    <w:rsid w:val="513E42F5"/>
    <w:rsid w:val="515458B0"/>
    <w:rsid w:val="518537EA"/>
    <w:rsid w:val="51874D64"/>
    <w:rsid w:val="51F4195F"/>
    <w:rsid w:val="527111C9"/>
    <w:rsid w:val="52733715"/>
    <w:rsid w:val="52A56BA5"/>
    <w:rsid w:val="53634460"/>
    <w:rsid w:val="5388729E"/>
    <w:rsid w:val="53AB0651"/>
    <w:rsid w:val="53BF706C"/>
    <w:rsid w:val="549338FF"/>
    <w:rsid w:val="54994F4D"/>
    <w:rsid w:val="55286314"/>
    <w:rsid w:val="552E13E0"/>
    <w:rsid w:val="565B781E"/>
    <w:rsid w:val="56611B3C"/>
    <w:rsid w:val="56CB6786"/>
    <w:rsid w:val="56D604B0"/>
    <w:rsid w:val="56E76DAC"/>
    <w:rsid w:val="573A3ECB"/>
    <w:rsid w:val="57AA7B05"/>
    <w:rsid w:val="57E4165B"/>
    <w:rsid w:val="581157B6"/>
    <w:rsid w:val="58356479"/>
    <w:rsid w:val="58B0047A"/>
    <w:rsid w:val="58ED0274"/>
    <w:rsid w:val="590E07A8"/>
    <w:rsid w:val="592C42F5"/>
    <w:rsid w:val="59E542B1"/>
    <w:rsid w:val="5A196F18"/>
    <w:rsid w:val="5A604790"/>
    <w:rsid w:val="5A650D5A"/>
    <w:rsid w:val="5A686798"/>
    <w:rsid w:val="5B7A4104"/>
    <w:rsid w:val="5B7E2B2B"/>
    <w:rsid w:val="5BD62EE5"/>
    <w:rsid w:val="5C26156B"/>
    <w:rsid w:val="5C3C41E3"/>
    <w:rsid w:val="5CAA57DD"/>
    <w:rsid w:val="5CBC0AC3"/>
    <w:rsid w:val="5CD76845"/>
    <w:rsid w:val="5CF8569A"/>
    <w:rsid w:val="5D121B72"/>
    <w:rsid w:val="5D350B78"/>
    <w:rsid w:val="5D3A0B7D"/>
    <w:rsid w:val="5D464695"/>
    <w:rsid w:val="5DAE4E34"/>
    <w:rsid w:val="5DD82899"/>
    <w:rsid w:val="5E5D5DF2"/>
    <w:rsid w:val="5ECF671B"/>
    <w:rsid w:val="5EE4753E"/>
    <w:rsid w:val="5F314559"/>
    <w:rsid w:val="5FE72FC9"/>
    <w:rsid w:val="601257DB"/>
    <w:rsid w:val="60216979"/>
    <w:rsid w:val="603B10E3"/>
    <w:rsid w:val="60D46992"/>
    <w:rsid w:val="61001EB2"/>
    <w:rsid w:val="61146382"/>
    <w:rsid w:val="61CE3805"/>
    <w:rsid w:val="61D01DD2"/>
    <w:rsid w:val="61F0786B"/>
    <w:rsid w:val="62D83CB7"/>
    <w:rsid w:val="630D3729"/>
    <w:rsid w:val="631B780A"/>
    <w:rsid w:val="63340B4D"/>
    <w:rsid w:val="63C76407"/>
    <w:rsid w:val="63C7659C"/>
    <w:rsid w:val="63F4247E"/>
    <w:rsid w:val="6413431C"/>
    <w:rsid w:val="642671DC"/>
    <w:rsid w:val="646C3068"/>
    <w:rsid w:val="64BA262A"/>
    <w:rsid w:val="64CC5BCB"/>
    <w:rsid w:val="653A410A"/>
    <w:rsid w:val="657E5B22"/>
    <w:rsid w:val="65FE7991"/>
    <w:rsid w:val="66AA5270"/>
    <w:rsid w:val="67001099"/>
    <w:rsid w:val="67587146"/>
    <w:rsid w:val="683A2C86"/>
    <w:rsid w:val="685C2C70"/>
    <w:rsid w:val="68751207"/>
    <w:rsid w:val="687D428F"/>
    <w:rsid w:val="68D56618"/>
    <w:rsid w:val="69BD686D"/>
    <w:rsid w:val="69F814E0"/>
    <w:rsid w:val="69F91A4B"/>
    <w:rsid w:val="6A090B86"/>
    <w:rsid w:val="6AA129DF"/>
    <w:rsid w:val="6AAB4860"/>
    <w:rsid w:val="6ADE0725"/>
    <w:rsid w:val="6B527023"/>
    <w:rsid w:val="6B925083"/>
    <w:rsid w:val="6BFA733C"/>
    <w:rsid w:val="6C737CFB"/>
    <w:rsid w:val="6E072310"/>
    <w:rsid w:val="6E480B7B"/>
    <w:rsid w:val="6EA35B19"/>
    <w:rsid w:val="6EA665E1"/>
    <w:rsid w:val="6EDD17F3"/>
    <w:rsid w:val="6F247A8A"/>
    <w:rsid w:val="6F2871E3"/>
    <w:rsid w:val="6F4A74A4"/>
    <w:rsid w:val="6F734DE5"/>
    <w:rsid w:val="6F9817A2"/>
    <w:rsid w:val="6FE44502"/>
    <w:rsid w:val="70236471"/>
    <w:rsid w:val="70426DA6"/>
    <w:rsid w:val="705160B5"/>
    <w:rsid w:val="70766666"/>
    <w:rsid w:val="70FA1D49"/>
    <w:rsid w:val="71333506"/>
    <w:rsid w:val="718D24AC"/>
    <w:rsid w:val="71905711"/>
    <w:rsid w:val="723306AF"/>
    <w:rsid w:val="724C61CB"/>
    <w:rsid w:val="72753AB5"/>
    <w:rsid w:val="728B6EC5"/>
    <w:rsid w:val="734E202F"/>
    <w:rsid w:val="7468238A"/>
    <w:rsid w:val="74E03D43"/>
    <w:rsid w:val="755F2B0A"/>
    <w:rsid w:val="75760AE5"/>
    <w:rsid w:val="75F436FE"/>
    <w:rsid w:val="76573DB4"/>
    <w:rsid w:val="76A72C39"/>
    <w:rsid w:val="76D67F05"/>
    <w:rsid w:val="779276DF"/>
    <w:rsid w:val="779C26DE"/>
    <w:rsid w:val="77CF73AC"/>
    <w:rsid w:val="780D45FF"/>
    <w:rsid w:val="781C344D"/>
    <w:rsid w:val="786B3053"/>
    <w:rsid w:val="78FF0116"/>
    <w:rsid w:val="79006EC8"/>
    <w:rsid w:val="79401402"/>
    <w:rsid w:val="796400B3"/>
    <w:rsid w:val="79B24925"/>
    <w:rsid w:val="7A3157EF"/>
    <w:rsid w:val="7A5E1EB6"/>
    <w:rsid w:val="7ADE2779"/>
    <w:rsid w:val="7AF44B85"/>
    <w:rsid w:val="7B1200DF"/>
    <w:rsid w:val="7B1E408D"/>
    <w:rsid w:val="7C656439"/>
    <w:rsid w:val="7C7B6547"/>
    <w:rsid w:val="7CA95199"/>
    <w:rsid w:val="7CD96954"/>
    <w:rsid w:val="7D253043"/>
    <w:rsid w:val="7D3B6687"/>
    <w:rsid w:val="7D5E7E3F"/>
    <w:rsid w:val="7D6C41BB"/>
    <w:rsid w:val="7DC115C4"/>
    <w:rsid w:val="7DD62F81"/>
    <w:rsid w:val="7DD84285"/>
    <w:rsid w:val="7DF0789D"/>
    <w:rsid w:val="7E14406C"/>
    <w:rsid w:val="7E1878B9"/>
    <w:rsid w:val="7E2471D6"/>
    <w:rsid w:val="7E737D25"/>
    <w:rsid w:val="7E857F9E"/>
    <w:rsid w:val="7E9E4F16"/>
    <w:rsid w:val="7EB01A8A"/>
    <w:rsid w:val="B7DDD54D"/>
    <w:rsid w:val="E3FFE6ED"/>
    <w:rsid w:val="F5DB8A63"/>
    <w:rsid w:val="F797912E"/>
    <w:rsid w:val="FE7B4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1"/>
    <w:unhideWhenUsed/>
    <w:qFormat/>
    <w:uiPriority w:val="0"/>
    <w:pPr>
      <w:jc w:val="left"/>
    </w:pPr>
  </w:style>
  <w:style w:type="paragraph" w:styleId="4">
    <w:name w:val="Balloon Text"/>
    <w:basedOn w:val="1"/>
    <w:link w:val="20"/>
    <w:qFormat/>
    <w:uiPriority w:val="0"/>
    <w:rPr>
      <w:sz w:val="18"/>
      <w:szCs w:val="18"/>
    </w:rPr>
  </w:style>
  <w:style w:type="paragraph" w:styleId="5">
    <w:name w:val="footer"/>
    <w:basedOn w:val="1"/>
    <w:link w:val="18"/>
    <w:qFormat/>
    <w:uiPriority w:val="0"/>
    <w:pPr>
      <w:tabs>
        <w:tab w:val="center" w:pos="4153"/>
        <w:tab w:val="right" w:pos="8306"/>
      </w:tabs>
      <w:snapToGrid w:val="0"/>
      <w:jc w:val="left"/>
    </w:pPr>
    <w:rPr>
      <w:sz w:val="18"/>
      <w:szCs w:val="18"/>
    </w:rPr>
  </w:style>
  <w:style w:type="paragraph" w:styleId="6">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8">
    <w:name w:val="annotation subject"/>
    <w:basedOn w:val="3"/>
    <w:next w:val="3"/>
    <w:link w:val="22"/>
    <w:semiHidden/>
    <w:unhideWhenUsed/>
    <w:qFormat/>
    <w:uiPriority w:val="0"/>
    <w:rPr>
      <w:b/>
      <w:bCs/>
    </w:rPr>
  </w:style>
  <w:style w:type="character" w:styleId="11">
    <w:name w:val="FollowedHyperlink"/>
    <w:basedOn w:val="10"/>
    <w:semiHidden/>
    <w:unhideWhenUsed/>
    <w:qFormat/>
    <w:uiPriority w:val="0"/>
    <w:rPr>
      <w:color w:val="800080" w:themeColor="followedHyperlink"/>
      <w:u w:val="single"/>
      <w14:textFill>
        <w14:solidFill>
          <w14:schemeClr w14:val="folHlink"/>
        </w14:solidFill>
      </w14:textFill>
    </w:rPr>
  </w:style>
  <w:style w:type="character" w:styleId="12">
    <w:name w:val="Hyperlink"/>
    <w:basedOn w:val="10"/>
    <w:unhideWhenUsed/>
    <w:qFormat/>
    <w:uiPriority w:val="0"/>
    <w:rPr>
      <w:color w:val="0000FF" w:themeColor="hyperlink"/>
      <w:u w:val="single"/>
      <w14:textFill>
        <w14:solidFill>
          <w14:schemeClr w14:val="hlink"/>
        </w14:solidFill>
      </w14:textFill>
    </w:rPr>
  </w:style>
  <w:style w:type="character" w:styleId="13">
    <w:name w:val="annotation reference"/>
    <w:basedOn w:val="10"/>
    <w:semiHidden/>
    <w:unhideWhenUsed/>
    <w:qFormat/>
    <w:uiPriority w:val="0"/>
    <w:rPr>
      <w:sz w:val="21"/>
      <w:szCs w:val="21"/>
    </w:rPr>
  </w:style>
  <w:style w:type="paragraph" w:customStyle="1" w:styleId="14">
    <w:name w:val="_Style 6"/>
    <w:basedOn w:val="1"/>
    <w:qFormat/>
    <w:uiPriority w:val="34"/>
    <w:pPr>
      <w:ind w:firstLine="420" w:firstLineChars="200"/>
    </w:pPr>
    <w:rPr>
      <w:rFonts w:ascii="Calibri" w:hAnsi="Calibri"/>
      <w:szCs w:val="22"/>
    </w:rPr>
  </w:style>
  <w:style w:type="paragraph" w:customStyle="1" w:styleId="15">
    <w:name w:val="Char Char Char"/>
    <w:basedOn w:val="1"/>
    <w:qFormat/>
    <w:uiPriority w:val="0"/>
    <w:rPr>
      <w:szCs w:val="21"/>
    </w:rPr>
  </w:style>
  <w:style w:type="paragraph" w:customStyle="1" w:styleId="16">
    <w:name w:val="Char Char Char Char Char Char Char Char Char Char Char Char Char Char Char Char"/>
    <w:basedOn w:val="1"/>
    <w:qFormat/>
    <w:uiPriority w:val="0"/>
  </w:style>
  <w:style w:type="paragraph" w:customStyle="1" w:styleId="17">
    <w:name w:val="Char Char Char1"/>
    <w:basedOn w:val="1"/>
    <w:qFormat/>
    <w:uiPriority w:val="0"/>
  </w:style>
  <w:style w:type="character" w:customStyle="1" w:styleId="18">
    <w:name w:val="页脚 字符"/>
    <w:basedOn w:val="10"/>
    <w:link w:val="5"/>
    <w:qFormat/>
    <w:uiPriority w:val="0"/>
    <w:rPr>
      <w:kern w:val="2"/>
      <w:sz w:val="18"/>
      <w:szCs w:val="18"/>
    </w:rPr>
  </w:style>
  <w:style w:type="character" w:customStyle="1" w:styleId="19">
    <w:name w:val="页眉 字符"/>
    <w:basedOn w:val="10"/>
    <w:link w:val="6"/>
    <w:qFormat/>
    <w:uiPriority w:val="0"/>
    <w:rPr>
      <w:kern w:val="2"/>
      <w:sz w:val="18"/>
      <w:szCs w:val="18"/>
    </w:rPr>
  </w:style>
  <w:style w:type="character" w:customStyle="1" w:styleId="20">
    <w:name w:val="批注框文本 字符"/>
    <w:basedOn w:val="10"/>
    <w:link w:val="4"/>
    <w:qFormat/>
    <w:uiPriority w:val="0"/>
    <w:rPr>
      <w:kern w:val="2"/>
      <w:sz w:val="18"/>
      <w:szCs w:val="18"/>
    </w:rPr>
  </w:style>
  <w:style w:type="character" w:customStyle="1" w:styleId="21">
    <w:name w:val="批注文字 字符"/>
    <w:basedOn w:val="10"/>
    <w:link w:val="3"/>
    <w:qFormat/>
    <w:uiPriority w:val="0"/>
    <w:rPr>
      <w:kern w:val="2"/>
      <w:sz w:val="21"/>
      <w:szCs w:val="24"/>
    </w:rPr>
  </w:style>
  <w:style w:type="character" w:customStyle="1" w:styleId="22">
    <w:name w:val="批注主题 字符"/>
    <w:basedOn w:val="21"/>
    <w:link w:val="8"/>
    <w:semiHidden/>
    <w:qFormat/>
    <w:uiPriority w:val="0"/>
    <w:rPr>
      <w:b/>
      <w:bCs/>
      <w:kern w:val="2"/>
      <w:sz w:val="21"/>
      <w:szCs w:val="24"/>
    </w:rPr>
  </w:style>
  <w:style w:type="paragraph" w:styleId="2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55d507d3-e550-4172-be11-3ba0e26a54ef</errorID>
      <errorWord>:</errorWord>
      <group>L1_Format</group>
      <groupName>格式问题</groupName>
      <ability>L2_HalfPunc_CN</ability>
      <abilityName>全半角问题</abilityName>
      <candidateList>
        <item>：</item>
      </candidateList>
      <explain>文本全半角错误。</explain>
      <paraID> 4B587F0</paraID>
      <start>19</start>
      <end>20</end>
      <status>unmodified</status>
      <modifiedWord/>
      <trackRevisions>false</trackRevisions>
    </reviewItem>
    <reviewItem>
      <errorID>f1f387fc-12df-4cb8-abd6-849ddb5792d2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11DF7924</paraID>
      <start>0</start>
      <end>2</end>
      <status>unmodified</status>
      <modifiedWord/>
      <trackRevisions>false</trackRevisions>
    </reviewItem>
    <reviewItem>
      <errorID>a648b7c2-a833-4aa6-800c-0baf78f3e6f1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43C1063B</paraID>
      <start>0</start>
      <end>2</end>
      <status>unmodified</status>
      <modifiedWord/>
      <trackRevisions>false</trackRevisions>
    </reviewItem>
    <reviewItem>
      <errorID>dfda9cfc-423e-4f31-881a-9d7c48dab286</errorID>
      <errorWord>年度</errorWord>
      <group>L1_Word</group>
      <groupName>字词问题</groupName>
      <ability>L2_Typo</ability>
      <abilityName>字词错误</abilityName>
      <candidateList>
        <item>年</item>
      </candidateList>
      <explain/>
      <paraID>1D76BE2B</paraID>
      <start>18</start>
      <end>20</end>
      <status>unmodified</status>
      <modifiedWord/>
      <trackRevisions>false</trackRevisions>
    </reviewItem>
    <reviewItem>
      <errorID>1fcebcfe-19be-4df5-8921-3d2ae6808029</errorID>
      <errorWord>的</errorWord>
      <group>L1_Word</group>
      <groupName>字词问题</groupName>
      <ability>L2_DDD</ability>
      <abilityName>的地得用法</abilityName>
      <candidateList>
        <item>地</item>
      </candidateList>
      <explain/>
      <paraID>1D76BE2B</paraID>
      <start>89</start>
      <end>90</end>
      <status>unmodified</status>
      <modifiedWord/>
      <trackRevisions>false</trackRevisions>
    </reviewItem>
    <reviewItem>
      <errorID>4beb9c52-ffdf-45ea-be76-a7c9bb4a111b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7F3C0B8C</paraID>
      <start>0</start>
      <end>2</end>
      <status>unmodified</status>
      <modifiedWord/>
      <trackRevisions>false</trackRevisions>
    </reviewItem>
    <reviewItem>
      <errorID>56bc0681-4b30-4a37-b003-4753b87c4874</errorID>
      <errorWord>:</errorWord>
      <group>L1_Punc</group>
      <groupName>标点问题</groupName>
      <ability>L2_Punc_CN</ability>
      <abilityName>标点符号问题</abilityName>
      <candidateList>
        <item>：</item>
      </candidateList>
      <explain/>
      <paraID> 827CE4D</paraID>
      <start>1</start>
      <end>2</end>
      <status>unmodified</status>
      <modifiedWord/>
      <trackRevisions>false</trackRevisions>
    </reviewItem>
    <reviewItem>
      <errorID>a07d4201-b4ee-4f52-9710-98cea83a0ade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51564487</paraID>
      <start>0</start>
      <end>2</end>
      <status>unmodified</status>
      <modifiedWord/>
      <trackRevisions>false</trackRevisions>
    </reviewItem>
    <reviewItem>
      <errorID>f61ccada-e20b-4196-b353-7169d74f8ee6</errorID>
      <errorWord>:</errorWord>
      <group>L1_Punc</group>
      <groupName>标点问题</groupName>
      <ability>L2_Punc_CN</ability>
      <abilityName>标点符号问题</abilityName>
      <candidateList>
        <item>：</item>
      </candidateList>
      <explain/>
      <paraID>461436DD</paraID>
      <start>1</start>
      <end>2</end>
      <status>unmodified</status>
      <modifiedWord/>
      <trackRevisions>false</trackRevisions>
    </reviewItem>
    <reviewItem>
      <errorID>7640274f-b312-49e1-a0ad-fd156d2b1b24</errorID>
      <errorWord>。</errorWord>
      <group>L1_Punc</group>
      <groupName>标点问题</groupName>
      <ability>L2_Punc_CN</ability>
      <abilityName>标点符号问题</abilityName>
      <candidateList>
        <item>，</item>
      </candidateList>
      <explain/>
      <paraID>461436DD</paraID>
      <start>65</start>
      <end>66</end>
      <status>unmodified</status>
      <modifiedWord/>
      <trackRevisions>false</trackRevisions>
    </reviewItem>
    <reviewItem>
      <errorID>c5ac50cf-390a-4c88-9dc0-c81c7a0e29b4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29CFA23E</paraID>
      <start>0</start>
      <end>2</end>
      <status>unmodified</status>
      <modifiedWord/>
      <trackRevisions>false</trackRevisions>
    </reviewItem>
    <reviewItem>
      <errorID>8132fd0f-9e8b-4bc5-b3b3-2b92567cbde1</errorID>
      <errorWord>:</errorWord>
      <group>L1_Punc</group>
      <groupName>标点问题</groupName>
      <ability>L2_Punc_CN</ability>
      <abilityName>标点符号问题</abilityName>
      <candidateList>
        <item>：</item>
      </candidateList>
      <explain/>
      <paraID>319C8518</paraID>
      <start>1</start>
      <end>2</end>
      <status>unmodified</status>
      <modifiedWord/>
      <trackRevisions>false</trackRevisions>
    </reviewItem>
    <reviewItem>
      <errorID>fafef46c-4484-4124-9895-76bcf93702c9</errorID>
      <errorWord>为其</errorWord>
      <group>L1_Word</group>
      <groupName>字词问题</groupName>
      <ability>L2_Typo</ability>
      <abilityName>字词错误</abilityName>
      <candidateList>
        <item>为</item>
      </candidateList>
      <explain/>
      <paraID>319C8518</paraID>
      <start>98</start>
      <end>100</end>
      <status>unmodified</status>
      <modifiedWord/>
      <trackRevisions>false</trackRevisions>
    </reviewItem>
    <reviewItem>
      <errorID>6eff4ec3-d26d-400d-b869-59034c9d56b7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251093FB</paraID>
      <start>0</start>
      <end>2</end>
      <status>unmodified</status>
      <modifiedWord/>
      <trackRevisions>false</trackRevisions>
    </reviewItem>
    <reviewItem>
      <errorID>fc4536b8-b4dc-4654-ab53-8da65b3cc2f3</errorID>
      <errorWord>:</errorWord>
      <group>L1_Format</group>
      <groupName>格式问题</groupName>
      <ability>L2_HalfPunc_CN</ability>
      <abilityName>全半角问题</abilityName>
      <candidateList>
        <item>：</item>
      </candidateList>
      <explain>文本全半角错误。</explain>
      <paraID>1E985A87</paraID>
      <start>1</start>
      <end>2</end>
      <status>unmodified</status>
      <modifiedWord/>
      <trackRevisions>false</trackRevisions>
    </reviewItem>
    <reviewItem>
      <errorID>2ff86fe9-ff2d-4963-8b68-c5811b5346fc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57102298</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ca2154f3-802c-4f3a-b151-c282d458b4b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Pages>
  <Words>2918</Words>
  <Characters>3240</Characters>
  <Lines>29</Lines>
  <Paragraphs>8</Paragraphs>
  <TotalTime>0</TotalTime>
  <ScaleCrop>false</ScaleCrop>
  <LinksUpToDate>false</LinksUpToDate>
  <CharactersWithSpaces>3347</CharactersWithSpaces>
  <Application>WPS Office_12.8.2.21299_F1E327BC-269C-435d-A152-05C5408002CA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2025-04-30T03:49:00Z</dcterms:created>
  <dc:creator>微软用户</dc:creator>
  <cp:lastModifiedBy>Qlei</cp:lastModifiedBy>
  <cp:lastPrinted>2014-02-21T05:34:00Z</cp:lastPrinted>
  <dcterms:modified xsi:type="dcterms:W3CDTF">2026-07-31T08:44:15Z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2052-12.8.2.21299</vt:lpwstr>
  </property>
  <property fmtid="{D5CDD505-2E9C-101B-9397-08002B2CF9AE}" pid="3" name="ICV">
    <vt:lpwstr>551BA10BE3E44B739D75810B8C83C31F</vt:lpwstr>
  </property>
  <property fmtid="{D5CDD505-2E9C-101B-9397-08002B2CF9AE}" pid="4" name="KSOTemplateDocerSaveRecord">
    <vt:lpwstr>eyJoZGlkIjoiM2UyODQ1ZGNkNGNjODBlMmNkMThkM2FjYzQ5MDE5ZmQiLCJ1c2VySWQiOiIyNDg3ODMyMjkifQ==</vt:lpwstr>
  </property>
</Properties>
</file>