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901B4" w14:textId="77777777" w:rsidR="0021573F" w:rsidRDefault="00B2273C">
      <w:pPr>
        <w:spacing w:beforeLines="50" w:before="156" w:afterLines="50" w:after="156" w:line="400" w:lineRule="exact"/>
        <w:rPr>
          <w:bCs/>
          <w:iCs/>
          <w:color w:val="000000"/>
          <w:sz w:val="24"/>
        </w:rPr>
      </w:pPr>
      <w:r>
        <w:rPr>
          <w:rFonts w:hAnsi="宋体"/>
          <w:bCs/>
          <w:iCs/>
          <w:color w:val="000000"/>
          <w:sz w:val="24"/>
        </w:rPr>
        <w:t>证券代码：</w:t>
      </w:r>
      <w:r>
        <w:rPr>
          <w:color w:val="000000"/>
          <w:sz w:val="24"/>
        </w:rPr>
        <w:t xml:space="preserve">600110                                   </w:t>
      </w:r>
      <w:r>
        <w:rPr>
          <w:rFonts w:hAnsi="宋体"/>
          <w:bCs/>
          <w:iCs/>
          <w:color w:val="000000"/>
          <w:sz w:val="24"/>
        </w:rPr>
        <w:t>证券简称：</w:t>
      </w:r>
      <w:r>
        <w:rPr>
          <w:color w:val="000000"/>
          <w:sz w:val="24"/>
        </w:rPr>
        <w:t>诺德股份</w:t>
      </w:r>
    </w:p>
    <w:p w14:paraId="32533EB1" w14:textId="77777777" w:rsidR="0021573F" w:rsidRDefault="00B2273C">
      <w:pPr>
        <w:spacing w:beforeLines="50" w:before="156" w:afterLines="50" w:after="156" w:line="400" w:lineRule="exact"/>
        <w:jc w:val="center"/>
        <w:rPr>
          <w:rFonts w:ascii="宋体" w:hAnsi="宋体"/>
          <w:b/>
          <w:bCs/>
          <w:iCs/>
          <w:color w:val="FF0000"/>
          <w:sz w:val="32"/>
          <w:szCs w:val="32"/>
        </w:rPr>
      </w:pPr>
      <w:r>
        <w:rPr>
          <w:rFonts w:ascii="宋体" w:hAnsi="宋体"/>
          <w:b/>
          <w:bCs/>
          <w:iCs/>
          <w:color w:val="FF0000"/>
          <w:sz w:val="32"/>
          <w:szCs w:val="32"/>
        </w:rPr>
        <w:t>诺德新材料股份有限公司</w:t>
      </w:r>
    </w:p>
    <w:p w14:paraId="3E98E025" w14:textId="77777777" w:rsidR="0021573F" w:rsidRDefault="00B2273C">
      <w:pPr>
        <w:spacing w:beforeLines="50" w:before="156" w:afterLines="50" w:after="156" w:line="400" w:lineRule="exact"/>
        <w:jc w:val="center"/>
        <w:rPr>
          <w:rFonts w:ascii="宋体" w:hAnsi="宋体"/>
          <w:b/>
          <w:bCs/>
          <w:iCs/>
          <w:color w:val="FF0000"/>
          <w:sz w:val="32"/>
          <w:szCs w:val="32"/>
        </w:rPr>
      </w:pPr>
      <w:r>
        <w:rPr>
          <w:rFonts w:ascii="宋体" w:hAnsi="宋体" w:hint="eastAsia"/>
          <w:b/>
          <w:bCs/>
          <w:iCs/>
          <w:color w:val="FF0000"/>
          <w:sz w:val="32"/>
          <w:szCs w:val="32"/>
        </w:rPr>
        <w:t>投资者关系活动记录表</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6847"/>
      </w:tblGrid>
      <w:tr w:rsidR="0021573F" w14:paraId="4DF6B567" w14:textId="77777777">
        <w:tc>
          <w:tcPr>
            <w:tcW w:w="1908" w:type="dxa"/>
            <w:tcBorders>
              <w:top w:val="single" w:sz="4" w:space="0" w:color="auto"/>
              <w:left w:val="single" w:sz="4" w:space="0" w:color="auto"/>
              <w:bottom w:val="single" w:sz="4" w:space="0" w:color="auto"/>
              <w:right w:val="single" w:sz="4" w:space="0" w:color="auto"/>
            </w:tcBorders>
            <w:vAlign w:val="center"/>
          </w:tcPr>
          <w:p w14:paraId="09DBCF1A"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投资者关系活动类别</w:t>
            </w:r>
          </w:p>
        </w:tc>
        <w:tc>
          <w:tcPr>
            <w:tcW w:w="6847" w:type="dxa"/>
            <w:tcBorders>
              <w:top w:val="single" w:sz="4" w:space="0" w:color="auto"/>
              <w:left w:val="single" w:sz="4" w:space="0" w:color="auto"/>
              <w:bottom w:val="single" w:sz="4" w:space="0" w:color="auto"/>
              <w:right w:val="single" w:sz="4" w:space="0" w:color="auto"/>
            </w:tcBorders>
          </w:tcPr>
          <w:p w14:paraId="50A4BBE3" w14:textId="77777777" w:rsidR="0021573F" w:rsidRDefault="00B2273C">
            <w:pPr>
              <w:spacing w:beforeLines="50" w:before="156" w:afterLines="50" w:after="156" w:line="360" w:lineRule="auto"/>
              <w:rPr>
                <w:rFonts w:ascii="楷体" w:eastAsia="楷体" w:hAnsi="楷体"/>
                <w:bCs/>
                <w:iCs/>
                <w:color w:val="000000"/>
                <w:sz w:val="24"/>
              </w:rPr>
            </w:pPr>
            <w:r>
              <w:rPr>
                <w:rFonts w:ascii="楷体" w:eastAsia="楷体" w:hAnsi="楷体"/>
                <w:bCs/>
                <w:iCs/>
                <w:color w:val="000000"/>
                <w:kern w:val="0"/>
                <w:sz w:val="24"/>
              </w:rPr>
              <w:sym w:font="Wingdings" w:char="F0FE"/>
            </w:r>
            <w:r>
              <w:rPr>
                <w:rFonts w:ascii="楷体" w:eastAsia="楷体" w:hAnsi="楷体" w:hint="eastAsia"/>
                <w:bCs/>
                <w:iCs/>
                <w:color w:val="000000"/>
                <w:kern w:val="0"/>
                <w:sz w:val="24"/>
              </w:rPr>
              <w:t xml:space="preserve"> </w:t>
            </w:r>
            <w:r>
              <w:rPr>
                <w:rFonts w:ascii="楷体" w:eastAsia="楷体" w:hAnsi="楷体"/>
                <w:kern w:val="0"/>
                <w:sz w:val="24"/>
              </w:rPr>
              <w:t xml:space="preserve">特定对象调研       </w:t>
            </w:r>
            <w:r>
              <w:rPr>
                <w:rFonts w:ascii="楷体" w:eastAsia="楷体" w:hAnsi="楷体" w:hint="eastAsia"/>
                <w:kern w:val="0"/>
                <w:sz w:val="24"/>
              </w:rPr>
              <w:t xml:space="preserve"> </w:t>
            </w: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分析师会议</w:t>
            </w:r>
          </w:p>
          <w:p w14:paraId="5AC8CA15" w14:textId="77777777" w:rsidR="0021573F" w:rsidRDefault="00B2273C">
            <w:pPr>
              <w:spacing w:beforeLines="50" w:before="156" w:afterLines="50" w:after="156" w:line="360" w:lineRule="auto"/>
              <w:rPr>
                <w:rFonts w:ascii="楷体" w:eastAsia="楷体" w:hAnsi="楷体"/>
                <w:bCs/>
                <w:iCs/>
                <w:color w:val="000000"/>
                <w:kern w:val="0"/>
                <w:sz w:val="24"/>
              </w:rPr>
            </w:pP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 xml:space="preserve">媒体采访            </w:t>
            </w: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业绩说明会</w:t>
            </w:r>
          </w:p>
          <w:p w14:paraId="63FD6091" w14:textId="77777777" w:rsidR="0021573F" w:rsidRDefault="00B2273C">
            <w:pPr>
              <w:spacing w:beforeLines="50" w:before="156" w:afterLines="50" w:after="156" w:line="360" w:lineRule="auto"/>
              <w:rPr>
                <w:rFonts w:ascii="楷体" w:eastAsia="楷体" w:hAnsi="楷体"/>
                <w:bCs/>
                <w:iCs/>
                <w:color w:val="000000"/>
                <w:kern w:val="0"/>
                <w:sz w:val="24"/>
              </w:rPr>
            </w:pP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 xml:space="preserve">新闻发布会          </w:t>
            </w: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路演活动</w:t>
            </w:r>
          </w:p>
          <w:p w14:paraId="0A6E8BD2" w14:textId="77777777" w:rsidR="0021573F" w:rsidRDefault="00B2273C">
            <w:pPr>
              <w:tabs>
                <w:tab w:val="left" w:pos="2805"/>
                <w:tab w:val="center" w:pos="3199"/>
              </w:tabs>
              <w:spacing w:beforeLines="50" w:before="156" w:afterLines="50" w:after="156" w:line="360" w:lineRule="auto"/>
              <w:rPr>
                <w:rFonts w:ascii="楷体" w:eastAsia="楷体" w:hAnsi="楷体"/>
                <w:bCs/>
                <w:iCs/>
                <w:color w:val="000000"/>
                <w:kern w:val="0"/>
                <w:sz w:val="24"/>
              </w:rPr>
            </w:pP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现场参观</w:t>
            </w:r>
            <w:r>
              <w:rPr>
                <w:rFonts w:ascii="楷体" w:eastAsia="楷体" w:hAnsi="楷体" w:hint="eastAsia"/>
                <w:kern w:val="0"/>
                <w:sz w:val="24"/>
              </w:rPr>
              <w:t xml:space="preserve">            </w:t>
            </w:r>
            <w:r>
              <w:rPr>
                <w:rFonts w:ascii="楷体" w:eastAsia="楷体" w:hAnsi="楷体"/>
                <w:bCs/>
                <w:iCs/>
                <w:color w:val="000000"/>
                <w:kern w:val="0"/>
                <w:sz w:val="24"/>
              </w:rPr>
              <w:t>□</w:t>
            </w:r>
            <w:r>
              <w:rPr>
                <w:rFonts w:ascii="楷体" w:eastAsia="楷体" w:hAnsi="楷体" w:hint="eastAsia"/>
                <w:bCs/>
                <w:iCs/>
                <w:color w:val="000000"/>
                <w:kern w:val="0"/>
                <w:sz w:val="24"/>
              </w:rPr>
              <w:t xml:space="preserve"> </w:t>
            </w:r>
            <w:r>
              <w:rPr>
                <w:rFonts w:ascii="楷体" w:eastAsia="楷体" w:hAnsi="楷体"/>
                <w:kern w:val="0"/>
                <w:sz w:val="24"/>
              </w:rPr>
              <w:t xml:space="preserve">其他 </w:t>
            </w:r>
          </w:p>
        </w:tc>
      </w:tr>
      <w:tr w:rsidR="0021573F" w14:paraId="55482E38" w14:textId="77777777">
        <w:tc>
          <w:tcPr>
            <w:tcW w:w="1908" w:type="dxa"/>
            <w:tcBorders>
              <w:top w:val="single" w:sz="4" w:space="0" w:color="auto"/>
              <w:left w:val="single" w:sz="4" w:space="0" w:color="auto"/>
              <w:bottom w:val="single" w:sz="4" w:space="0" w:color="auto"/>
              <w:right w:val="single" w:sz="4" w:space="0" w:color="auto"/>
            </w:tcBorders>
            <w:vAlign w:val="center"/>
          </w:tcPr>
          <w:p w14:paraId="0C9A2084"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7EE387B8" w14:textId="77777777" w:rsidR="0021573F" w:rsidRDefault="00B2273C">
            <w:pPr>
              <w:spacing w:beforeLines="50" w:before="156" w:afterLines="50" w:after="156" w:line="360" w:lineRule="auto"/>
              <w:rPr>
                <w:rFonts w:ascii="楷体" w:eastAsia="楷体" w:hAnsi="楷体"/>
                <w:bCs/>
                <w:iCs/>
                <w:color w:val="000000"/>
                <w:sz w:val="24"/>
              </w:rPr>
            </w:pPr>
            <w:r>
              <w:rPr>
                <w:rFonts w:ascii="楷体" w:eastAsia="楷体" w:hAnsi="楷体" w:hint="eastAsia"/>
                <w:bCs/>
                <w:iCs/>
                <w:color w:val="000000"/>
                <w:sz w:val="24"/>
              </w:rPr>
              <w:t>机构名称：</w:t>
            </w:r>
          </w:p>
          <w:p w14:paraId="0FDE113E" w14:textId="3E1A9A0C" w:rsidR="0021573F" w:rsidRDefault="004E6441">
            <w:pPr>
              <w:spacing w:beforeLines="50" w:before="156" w:afterLines="50" w:after="156" w:line="360" w:lineRule="auto"/>
              <w:rPr>
                <w:rFonts w:ascii="楷体" w:eastAsia="楷体" w:hAnsi="楷体"/>
                <w:bCs/>
                <w:iCs/>
                <w:color w:val="000000"/>
                <w:sz w:val="24"/>
              </w:rPr>
            </w:pPr>
            <w:r w:rsidRPr="004E6441">
              <w:rPr>
                <w:rFonts w:ascii="楷体" w:eastAsia="楷体" w:hAnsi="楷体" w:hint="eastAsia"/>
                <w:bCs/>
                <w:iCs/>
                <w:color w:val="000000"/>
                <w:sz w:val="24"/>
              </w:rPr>
              <w:t>东吴证券、银河基金管理有限公司、鸿途私募基金管理(广东)有限公司、湖南八零后资产管理有限公司、平安银行股份有限公司、金仕达投资、Willing Capital、前海开源基金、瑞银证券、鑫椤锂电、国金基金、信达澳亚、申万宏源证券股份有限公司、光大保德信、华富基金、广州云禧私募证券投资基金管理有限公司、海南省亿能投资有限公司、太平洋证券股份有限公司、建信基金管理有限责任公司、野村东方国际证券有限公司、玄卜投资(上海)有限公司、中国银河证券股份有限公司、平安基金管理有限公司、圆信永丰基金管理有限公司、浙江壹诺投资管理有限公司、红土创新基金管理有限公司、中国国际金融股份有限公司、天风(上海)证券资产管理有限公司、深圳市鲲鹏恒隆投资有限公司、中国银河证券自营、西部证券股份有限公司、海通资管、广东正圆私募基金管理有限公司、国信证券股份有限公司、上海洛书投资管理有限公司、煜诚私募基金、招商基金、富安达基金、摩根士丹利基金管理(中国)有限公司、上银基金管理有限公司、广东钜洲投资有限责任公司、陕西敦敏投资合伙企业（有限合伙）、米仓资本、太平洋资产管理有限责任公司、永赢基金管理有限公司、华宝兴业基金管理有限公司、上海亘曦私募基金管理有限公</w:t>
            </w:r>
            <w:r w:rsidRPr="004E6441">
              <w:rPr>
                <w:rFonts w:ascii="楷体" w:eastAsia="楷体" w:hAnsi="楷体" w:hint="eastAsia"/>
                <w:bCs/>
                <w:iCs/>
                <w:color w:val="000000"/>
                <w:sz w:val="24"/>
              </w:rPr>
              <w:lastRenderedPageBreak/>
              <w:t>司、华西证券股份有限公司、博时基金管理有限公司、平安证券股份有限公司、南方基金管理股份有限公司、中银基金管理有限公司、工银安盛资产管理有限公司、华泰证券股份有限公司、银华基金、国信证券自营、摩根基金管理(中国)有限公司、中国平安保险(集团)股份有限公司、上海涌铧投资管理有限公司、深圳市前海夷吾资产管理有限公司、深圳亘泰投资管理有限公司、广州金控资产管理有限公司、大湾区发展基金管理有限公司、申万宏源证券（投资）、摩根士丹利、北京京管泰富基金管理有限责任公司、上海冰河资产管理有限公司、上海保盈投资有限公司、咸和资产、汇华理财有限公司、招商证券股份有限公司、宝盈基金管理有限公司、中邮人寿保险股份有限公司、才华资本(香港)控股有限公司、上海杭贵投资管理有限公司、浙江省发展资产经营有限公司、上海盟洋投资管理有限公司、湖南长心私募基金管理有限公司、进门、深圳前海汇杰达理资本有限公司、东方阿尔法基金管理有限公司、中国人民健康保险股份有限公司、度势投资、禾永投资管理(北京)有限公司、国投证券股份有限公司、招商、兴业证券、金鹰基金管理有限公司。</w:t>
            </w:r>
          </w:p>
        </w:tc>
      </w:tr>
      <w:tr w:rsidR="0021573F" w14:paraId="60FF8B51" w14:textId="77777777">
        <w:tc>
          <w:tcPr>
            <w:tcW w:w="1908" w:type="dxa"/>
            <w:tcBorders>
              <w:top w:val="single" w:sz="4" w:space="0" w:color="auto"/>
              <w:left w:val="single" w:sz="4" w:space="0" w:color="auto"/>
              <w:bottom w:val="single" w:sz="4" w:space="0" w:color="auto"/>
              <w:right w:val="single" w:sz="4" w:space="0" w:color="auto"/>
            </w:tcBorders>
            <w:vAlign w:val="center"/>
          </w:tcPr>
          <w:p w14:paraId="4D220B1C"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lastRenderedPageBreak/>
              <w:t>时间</w:t>
            </w:r>
          </w:p>
        </w:tc>
        <w:tc>
          <w:tcPr>
            <w:tcW w:w="6847" w:type="dxa"/>
            <w:tcBorders>
              <w:top w:val="single" w:sz="4" w:space="0" w:color="auto"/>
              <w:left w:val="single" w:sz="4" w:space="0" w:color="auto"/>
              <w:bottom w:val="single" w:sz="4" w:space="0" w:color="auto"/>
              <w:right w:val="single" w:sz="4" w:space="0" w:color="auto"/>
            </w:tcBorders>
          </w:tcPr>
          <w:p w14:paraId="2E11192C" w14:textId="77777777" w:rsidR="0021573F" w:rsidRDefault="00B2273C">
            <w:pPr>
              <w:spacing w:beforeLines="50" w:before="156" w:afterLines="50" w:after="156" w:line="360" w:lineRule="auto"/>
              <w:rPr>
                <w:rFonts w:ascii="楷体" w:eastAsia="楷体" w:hAnsi="楷体"/>
                <w:bCs/>
                <w:iCs/>
                <w:color w:val="000000"/>
                <w:sz w:val="24"/>
              </w:rPr>
            </w:pPr>
            <w:r>
              <w:rPr>
                <w:rFonts w:ascii="楷体" w:eastAsia="楷体" w:hAnsi="楷体" w:hint="eastAsia"/>
                <w:bCs/>
                <w:iCs/>
                <w:color w:val="000000"/>
                <w:sz w:val="24"/>
              </w:rPr>
              <w:t>202</w:t>
            </w:r>
            <w:r>
              <w:rPr>
                <w:rFonts w:ascii="楷体" w:eastAsia="楷体" w:hAnsi="楷体"/>
                <w:bCs/>
                <w:iCs/>
                <w:color w:val="000000"/>
                <w:sz w:val="24"/>
              </w:rPr>
              <w:t>6</w:t>
            </w:r>
            <w:r>
              <w:rPr>
                <w:rFonts w:ascii="楷体" w:eastAsia="楷体" w:hAnsi="楷体" w:hint="eastAsia"/>
                <w:bCs/>
                <w:iCs/>
                <w:color w:val="000000"/>
                <w:sz w:val="24"/>
              </w:rPr>
              <w:t>年</w:t>
            </w:r>
            <w:r>
              <w:rPr>
                <w:rFonts w:ascii="楷体" w:eastAsia="楷体" w:hAnsi="楷体"/>
                <w:bCs/>
                <w:iCs/>
                <w:color w:val="000000"/>
                <w:sz w:val="24"/>
              </w:rPr>
              <w:t>7</w:t>
            </w:r>
            <w:r>
              <w:rPr>
                <w:rFonts w:ascii="楷体" w:eastAsia="楷体" w:hAnsi="楷体" w:hint="eastAsia"/>
                <w:bCs/>
                <w:iCs/>
                <w:color w:val="000000"/>
                <w:sz w:val="24"/>
              </w:rPr>
              <w:t>月</w:t>
            </w:r>
            <w:r>
              <w:rPr>
                <w:rFonts w:ascii="楷体" w:eastAsia="楷体" w:hAnsi="楷体"/>
                <w:bCs/>
                <w:iCs/>
                <w:color w:val="000000"/>
                <w:sz w:val="24"/>
              </w:rPr>
              <w:t>31</w:t>
            </w:r>
            <w:r>
              <w:rPr>
                <w:rFonts w:ascii="楷体" w:eastAsia="楷体" w:hAnsi="楷体" w:hint="eastAsia"/>
                <w:bCs/>
                <w:iCs/>
                <w:color w:val="000000"/>
                <w:sz w:val="24"/>
              </w:rPr>
              <w:t>日</w:t>
            </w:r>
          </w:p>
        </w:tc>
      </w:tr>
      <w:tr w:rsidR="0021573F" w14:paraId="264B81E4" w14:textId="77777777">
        <w:tc>
          <w:tcPr>
            <w:tcW w:w="1908" w:type="dxa"/>
            <w:tcBorders>
              <w:top w:val="single" w:sz="4" w:space="0" w:color="auto"/>
              <w:left w:val="single" w:sz="4" w:space="0" w:color="auto"/>
              <w:bottom w:val="single" w:sz="4" w:space="0" w:color="auto"/>
              <w:right w:val="single" w:sz="4" w:space="0" w:color="auto"/>
            </w:tcBorders>
            <w:vAlign w:val="center"/>
          </w:tcPr>
          <w:p w14:paraId="46909691"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14:paraId="33ED00FC" w14:textId="2E0FDCF4" w:rsidR="0021573F" w:rsidRDefault="004E6441">
            <w:pPr>
              <w:spacing w:beforeLines="50" w:before="156" w:afterLines="50" w:after="156" w:line="360" w:lineRule="auto"/>
              <w:rPr>
                <w:rFonts w:ascii="楷体" w:eastAsia="楷体" w:hAnsi="楷体"/>
                <w:bCs/>
                <w:iCs/>
                <w:color w:val="000000"/>
                <w:sz w:val="24"/>
              </w:rPr>
            </w:pPr>
            <w:r>
              <w:rPr>
                <w:rFonts w:ascii="楷体" w:eastAsia="楷体" w:hAnsi="楷体" w:hint="eastAsia"/>
                <w:bCs/>
                <w:iCs/>
                <w:color w:val="000000"/>
                <w:sz w:val="24"/>
              </w:rPr>
              <w:t>线上电话会议</w:t>
            </w:r>
          </w:p>
        </w:tc>
      </w:tr>
      <w:tr w:rsidR="0021573F" w14:paraId="75ADE12C" w14:textId="77777777">
        <w:tc>
          <w:tcPr>
            <w:tcW w:w="1908" w:type="dxa"/>
            <w:tcBorders>
              <w:top w:val="single" w:sz="4" w:space="0" w:color="auto"/>
              <w:left w:val="single" w:sz="4" w:space="0" w:color="auto"/>
              <w:bottom w:val="single" w:sz="4" w:space="0" w:color="auto"/>
              <w:right w:val="single" w:sz="4" w:space="0" w:color="auto"/>
            </w:tcBorders>
            <w:vAlign w:val="center"/>
          </w:tcPr>
          <w:p w14:paraId="39C2C01A"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14:paraId="4D9EB87F" w14:textId="77777777" w:rsidR="0021573F" w:rsidRDefault="00B2273C">
            <w:pPr>
              <w:spacing w:beforeLines="50" w:before="156" w:afterLines="50" w:after="156" w:line="360" w:lineRule="auto"/>
              <w:rPr>
                <w:rFonts w:ascii="楷体" w:eastAsia="楷体" w:hAnsi="楷体"/>
                <w:bCs/>
                <w:sz w:val="24"/>
              </w:rPr>
            </w:pPr>
            <w:r>
              <w:rPr>
                <w:rFonts w:ascii="楷体" w:eastAsia="楷体" w:hAnsi="楷体" w:hint="eastAsia"/>
                <w:bCs/>
                <w:sz w:val="24"/>
              </w:rPr>
              <w:t>陈郁弼（总经理）</w:t>
            </w:r>
          </w:p>
          <w:p w14:paraId="7F5068BA" w14:textId="77777777" w:rsidR="0021573F" w:rsidRDefault="00B2273C">
            <w:pPr>
              <w:spacing w:beforeLines="50" w:before="156" w:afterLines="50" w:after="156" w:line="360" w:lineRule="auto"/>
              <w:rPr>
                <w:rFonts w:ascii="楷体" w:eastAsia="楷体" w:hAnsi="楷体"/>
                <w:bCs/>
                <w:sz w:val="24"/>
              </w:rPr>
            </w:pPr>
            <w:r>
              <w:rPr>
                <w:rFonts w:ascii="楷体" w:eastAsia="楷体" w:hAnsi="楷体" w:hint="eastAsia"/>
                <w:bCs/>
                <w:sz w:val="24"/>
              </w:rPr>
              <w:t>王寒朵（副总经理兼董事会秘书）</w:t>
            </w:r>
          </w:p>
          <w:p w14:paraId="4ACEAC1E" w14:textId="77777777" w:rsidR="0021573F" w:rsidRDefault="00B2273C">
            <w:pPr>
              <w:spacing w:beforeLines="50" w:before="156" w:afterLines="50" w:after="156" w:line="360" w:lineRule="auto"/>
              <w:rPr>
                <w:rFonts w:ascii="楷体" w:eastAsia="楷体" w:hAnsi="楷体"/>
                <w:bCs/>
                <w:sz w:val="24"/>
              </w:rPr>
            </w:pPr>
            <w:r>
              <w:rPr>
                <w:rFonts w:ascii="楷体" w:eastAsia="楷体" w:hAnsi="楷体" w:hint="eastAsia"/>
                <w:bCs/>
                <w:sz w:val="24"/>
              </w:rPr>
              <w:t>程楚楚（证券事务代表）</w:t>
            </w:r>
          </w:p>
        </w:tc>
      </w:tr>
      <w:tr w:rsidR="0021573F" w14:paraId="466836D4" w14:textId="77777777">
        <w:tc>
          <w:tcPr>
            <w:tcW w:w="1908" w:type="dxa"/>
            <w:tcBorders>
              <w:top w:val="single" w:sz="4" w:space="0" w:color="auto"/>
              <w:left w:val="single" w:sz="4" w:space="0" w:color="auto"/>
              <w:bottom w:val="single" w:sz="4" w:space="0" w:color="auto"/>
              <w:right w:val="single" w:sz="4" w:space="0" w:color="auto"/>
            </w:tcBorders>
            <w:vAlign w:val="center"/>
          </w:tcPr>
          <w:p w14:paraId="2AA452DE"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投资者关系活动主要内容介绍</w:t>
            </w:r>
          </w:p>
          <w:p w14:paraId="7D0BC81D" w14:textId="77777777" w:rsidR="0021573F" w:rsidRDefault="0021573F">
            <w:pPr>
              <w:spacing w:line="420" w:lineRule="exact"/>
              <w:jc w:val="center"/>
              <w:rPr>
                <w:rFonts w:ascii="楷体" w:eastAsia="楷体" w:hAnsi="楷体"/>
                <w:bCs/>
                <w:iCs/>
                <w:color w:val="000000"/>
                <w:sz w:val="24"/>
              </w:rPr>
            </w:pPr>
          </w:p>
        </w:tc>
        <w:tc>
          <w:tcPr>
            <w:tcW w:w="6847" w:type="dxa"/>
            <w:tcBorders>
              <w:top w:val="single" w:sz="4" w:space="0" w:color="auto"/>
              <w:left w:val="single" w:sz="4" w:space="0" w:color="auto"/>
              <w:bottom w:val="single" w:sz="4" w:space="0" w:color="auto"/>
              <w:right w:val="single" w:sz="4" w:space="0" w:color="auto"/>
            </w:tcBorders>
          </w:tcPr>
          <w:p w14:paraId="4EAED06B" w14:textId="77777777" w:rsidR="0021573F" w:rsidRDefault="00B2273C">
            <w:pPr>
              <w:spacing w:line="360" w:lineRule="auto"/>
              <w:ind w:firstLineChars="200" w:firstLine="480"/>
              <w:rPr>
                <w:rFonts w:ascii="华文楷体" w:eastAsia="华文楷体" w:hAnsi="华文楷体"/>
                <w:sz w:val="24"/>
              </w:rPr>
            </w:pPr>
            <w:bookmarkStart w:id="0" w:name="OLE_LINK1"/>
            <w:r>
              <w:rPr>
                <w:rFonts w:ascii="华文楷体" w:eastAsia="华文楷体" w:hAnsi="华文楷体" w:hint="eastAsia"/>
                <w:sz w:val="24"/>
              </w:rPr>
              <w:t>1、可以简要介绍公司2026年上半年的整体经营情况吗？</w:t>
            </w:r>
          </w:p>
          <w:p w14:paraId="4795C42C" w14:textId="7426A952"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2026年上半年</w:t>
            </w:r>
            <w:r>
              <w:rPr>
                <w:rFonts w:ascii="华文楷体" w:eastAsia="华文楷体" w:hAnsi="华文楷体"/>
                <w:sz w:val="24"/>
              </w:rPr>
              <w:t>（未经审计）</w:t>
            </w:r>
            <w:r>
              <w:rPr>
                <w:rFonts w:ascii="华文楷体" w:eastAsia="华文楷体" w:hAnsi="华文楷体" w:hint="eastAsia"/>
                <w:sz w:val="24"/>
              </w:rPr>
              <w:t>，</w:t>
            </w:r>
            <w:r>
              <w:rPr>
                <w:rFonts w:ascii="华文楷体" w:eastAsia="华文楷体" w:hAnsi="华文楷体"/>
                <w:sz w:val="24"/>
              </w:rPr>
              <w:t>经营状况相较</w:t>
            </w:r>
            <w:r w:rsidR="004E6441">
              <w:rPr>
                <w:rFonts w:ascii="华文楷体" w:eastAsia="华文楷体" w:hAnsi="华文楷体"/>
                <w:sz w:val="24"/>
              </w:rPr>
              <w:t>2025</w:t>
            </w:r>
            <w:r>
              <w:rPr>
                <w:rFonts w:ascii="华文楷体" w:eastAsia="华文楷体" w:hAnsi="华文楷体"/>
                <w:sz w:val="24"/>
              </w:rPr>
              <w:t>年同期出现实质性改善</w:t>
            </w:r>
            <w:r>
              <w:rPr>
                <w:rFonts w:ascii="华文楷体" w:eastAsia="华文楷体" w:hAnsi="华文楷体" w:hint="eastAsia"/>
                <w:sz w:val="24"/>
              </w:rPr>
              <w:t>，营收、归母净利润均实现大幅增长，同比实现扭</w:t>
            </w:r>
            <w:r>
              <w:rPr>
                <w:rFonts w:ascii="华文楷体" w:eastAsia="华文楷体" w:hAnsi="华文楷体" w:hint="eastAsia"/>
                <w:sz w:val="24"/>
              </w:rPr>
              <w:lastRenderedPageBreak/>
              <w:t>亏为盈。</w:t>
            </w:r>
            <w:r>
              <w:rPr>
                <w:rFonts w:ascii="华文楷体" w:eastAsia="华文楷体" w:hAnsi="华文楷体"/>
                <w:sz w:val="24"/>
              </w:rPr>
              <w:t>上半年研发投入总额超</w:t>
            </w:r>
            <w:r w:rsidR="004E6441">
              <w:rPr>
                <w:rFonts w:ascii="华文楷体" w:eastAsia="华文楷体" w:hAnsi="华文楷体"/>
                <w:sz w:val="24"/>
              </w:rPr>
              <w:t>2</w:t>
            </w:r>
            <w:r>
              <w:rPr>
                <w:rFonts w:ascii="华文楷体" w:eastAsia="华文楷体" w:hAnsi="华文楷体"/>
                <w:sz w:val="24"/>
              </w:rPr>
              <w:t>亿元，同比增幅超103.12%</w:t>
            </w:r>
            <w:r>
              <w:rPr>
                <w:rFonts w:ascii="华文楷体" w:eastAsia="华文楷体" w:hAnsi="华文楷体" w:hint="eastAsia"/>
                <w:sz w:val="24"/>
              </w:rPr>
              <w:t>，</w:t>
            </w:r>
            <w:r>
              <w:rPr>
                <w:rFonts w:ascii="华文楷体" w:eastAsia="华文楷体" w:hAnsi="华文楷体"/>
                <w:sz w:val="24"/>
              </w:rPr>
              <w:t>营收、归母净利润等核心盈利指标同比大幅攀升，实现扭亏为盈，多项指标同比增幅实现翻倍</w:t>
            </w:r>
            <w:r>
              <w:rPr>
                <w:rFonts w:ascii="华文楷体" w:eastAsia="华文楷体" w:hAnsi="华文楷体" w:hint="eastAsia"/>
                <w:sz w:val="24"/>
              </w:rPr>
              <w:t>。公司整体出货量较上年同期大幅增长，受益于极薄锂电铜箔、AI服务器用超低轮廓PCB铜箔等高端产品占比持续上行，量增叠加产品结构升级，共同驱动上半年业绩显著改善。</w:t>
            </w:r>
          </w:p>
          <w:p w14:paraId="58896796"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2、公司业绩增长的底层逻辑是什么？</w:t>
            </w:r>
          </w:p>
          <w:p w14:paraId="06D7A913" w14:textId="4045FCB9"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一方面，铜箔行业整体迎来重大反转，供需格局持续优化，为公司业绩增长提供了坚实的行业基础。另一方面，公司长期推行的“双轮驱动”战略落地见效，锂电铜箔与高端电子电路铜箔两大业务协同贡献业绩增量。较一季度比，目前公司</w:t>
            </w:r>
            <w:r>
              <w:rPr>
                <w:rFonts w:ascii="华文楷体" w:eastAsia="华文楷体" w:hAnsi="华文楷体"/>
                <w:sz w:val="24"/>
              </w:rPr>
              <w:t>公司旗下四大生产基地</w:t>
            </w:r>
            <w:r w:rsidR="004E6441">
              <w:rPr>
                <w:rFonts w:ascii="华文楷体" w:eastAsia="华文楷体" w:hAnsi="华文楷体" w:hint="eastAsia"/>
                <w:sz w:val="24"/>
              </w:rPr>
              <w:t>稼动</w:t>
            </w:r>
            <w:r>
              <w:rPr>
                <w:rFonts w:ascii="华文楷体" w:eastAsia="华文楷体" w:hAnsi="华文楷体" w:hint="eastAsia"/>
                <w:sz w:val="24"/>
              </w:rPr>
              <w:t>率明显提升，</w:t>
            </w:r>
            <w:r>
              <w:rPr>
                <w:rFonts w:ascii="华文楷体" w:eastAsia="华文楷体" w:hAnsi="华文楷体"/>
                <w:sz w:val="24"/>
              </w:rPr>
              <w:t>现有在产产能二季度均保持满负荷生产运转</w:t>
            </w:r>
            <w:r>
              <w:rPr>
                <w:rFonts w:ascii="华文楷体" w:eastAsia="华文楷体" w:hAnsi="华文楷体" w:hint="eastAsia"/>
                <w:sz w:val="24"/>
              </w:rPr>
              <w:t>，三季度起将有新基地、技改产能陆续进入爬坡、试产阶段，月均出货量将持续攀升。</w:t>
            </w:r>
          </w:p>
          <w:p w14:paraId="6EBB6FB9"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3、公司在高端电子电路铜箔领域的产品布局和放量节奏如何？</w:t>
            </w:r>
          </w:p>
          <w:p w14:paraId="3961B7E4" w14:textId="22B655C6"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公司提前布局RTF、HVLP及半导体封装用极薄载体铜箔，已于2025年完成全系列新品发布。目前HVLP</w:t>
            </w:r>
            <w:r>
              <w:rPr>
                <w:rFonts w:ascii="华文楷体" w:eastAsia="华文楷体" w:hAnsi="华文楷体"/>
                <w:sz w:val="24"/>
              </w:rPr>
              <w:t>-1/HVLP-2</w:t>
            </w:r>
            <w:r>
              <w:rPr>
                <w:rFonts w:ascii="华文楷体" w:eastAsia="华文楷体" w:hAnsi="华文楷体" w:hint="eastAsia"/>
                <w:sz w:val="24"/>
              </w:rPr>
              <w:t>产品月出货已稳步提升，</w:t>
            </w:r>
            <w:r>
              <w:rPr>
                <w:rFonts w:ascii="华文楷体" w:eastAsia="华文楷体" w:hAnsi="华文楷体"/>
                <w:sz w:val="24"/>
              </w:rPr>
              <w:t>HVLP-4</w:t>
            </w:r>
            <w:r>
              <w:rPr>
                <w:rFonts w:ascii="华文楷体" w:eastAsia="华文楷体" w:hAnsi="华文楷体" w:hint="eastAsia"/>
                <w:sz w:val="24"/>
              </w:rPr>
              <w:t>方面已完成部分客户性能测试，</w:t>
            </w:r>
            <w:r w:rsidR="00151BA2">
              <w:rPr>
                <w:rFonts w:ascii="华文楷体" w:eastAsia="华文楷体" w:hAnsi="华文楷体" w:hint="eastAsia"/>
                <w:sz w:val="24"/>
              </w:rPr>
              <w:t>预计年内将</w:t>
            </w:r>
            <w:r>
              <w:rPr>
                <w:rFonts w:ascii="华文楷体" w:eastAsia="华文楷体" w:hAnsi="华文楷体" w:hint="eastAsia"/>
                <w:sz w:val="24"/>
              </w:rPr>
              <w:t>进入小批量供货阶段。公司部分高端电子电路铜箔产品已进入台系及国内主流覆铜板厂商供应链，覆盖</w:t>
            </w:r>
            <w:bookmarkStart w:id="1" w:name="_GoBack"/>
            <w:bookmarkEnd w:id="1"/>
            <w:r>
              <w:rPr>
                <w:rFonts w:ascii="华文楷体" w:eastAsia="华文楷体" w:hAnsi="华文楷体" w:hint="eastAsia"/>
                <w:sz w:val="24"/>
              </w:rPr>
              <w:t>头部核心客户。</w:t>
            </w:r>
          </w:p>
          <w:p w14:paraId="74D8874F"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4、高端电子电路铜箔的核心竞争壁垒体现在哪些方面？</w:t>
            </w:r>
          </w:p>
          <w:p w14:paraId="507E469F" w14:textId="51185958"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lastRenderedPageBreak/>
              <w:t>公司核心管理团队具备PCB/CCL行业二十余年从业经验，</w:t>
            </w:r>
            <w:r w:rsidR="002359A1" w:rsidRPr="002359A1">
              <w:rPr>
                <w:rFonts w:ascii="华文楷体" w:eastAsia="华文楷体" w:hAnsi="华文楷体" w:hint="eastAsia"/>
                <w:sz w:val="24"/>
              </w:rPr>
              <w:t>对相关产业具有一定的研发信息和渠道资源优势</w:t>
            </w:r>
            <w:r>
              <w:rPr>
                <w:rFonts w:ascii="华文楷体" w:eastAsia="华文楷体" w:hAnsi="华文楷体" w:hint="eastAsia"/>
                <w:sz w:val="24"/>
              </w:rPr>
              <w:t>，</w:t>
            </w:r>
            <w:r w:rsidR="002359A1" w:rsidRPr="002359A1">
              <w:rPr>
                <w:rFonts w:ascii="华文楷体" w:eastAsia="华文楷体" w:hAnsi="华文楷体" w:hint="eastAsia"/>
                <w:sz w:val="24"/>
              </w:rPr>
              <w:t>对公司的拓展进度带来一定的先发优势</w:t>
            </w:r>
            <w:r>
              <w:rPr>
                <w:rFonts w:ascii="华文楷体" w:eastAsia="华文楷体" w:hAnsi="华文楷体" w:hint="eastAsia"/>
                <w:sz w:val="24"/>
              </w:rPr>
              <w:t>。</w:t>
            </w:r>
            <w:r>
              <w:rPr>
                <w:rFonts w:ascii="华文楷体" w:eastAsia="华文楷体" w:hAnsi="华文楷体"/>
                <w:sz w:val="24"/>
              </w:rPr>
              <w:t>公司与核心设备供应商达成深度定制化独家合作供货约定，叠加自研融合日系成熟生产工艺，构筑设备端差异化竞争优势</w:t>
            </w:r>
            <w:r>
              <w:rPr>
                <w:rFonts w:ascii="华文楷体" w:eastAsia="华文楷体" w:hAnsi="华文楷体" w:hint="eastAsia"/>
                <w:sz w:val="24"/>
              </w:rPr>
              <w:t>，形成设备端护城河。此外，高阶铜箔配方需针对不同客户定制，产品参数需匹配原有供应商标准，新进入者难以短期突破。</w:t>
            </w:r>
          </w:p>
          <w:p w14:paraId="6FA39515"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5、锂电铜箔业务的行业供需格局如何？</w:t>
            </w:r>
          </w:p>
          <w:p w14:paraId="56B6FC4C" w14:textId="787F8358"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sz w:val="24"/>
              </w:rPr>
              <w:t>根据行业机构测算，</w:t>
            </w:r>
            <w:r w:rsidR="004E6441">
              <w:rPr>
                <w:rFonts w:ascii="华文楷体" w:eastAsia="华文楷体" w:hAnsi="华文楷体"/>
                <w:sz w:val="24"/>
              </w:rPr>
              <w:t>2026</w:t>
            </w:r>
            <w:r>
              <w:rPr>
                <w:rFonts w:ascii="华文楷体" w:eastAsia="华文楷体" w:hAnsi="华文楷体"/>
                <w:sz w:val="24"/>
              </w:rPr>
              <w:t>年储能赛道锂电铜箔需求量同比提升明显，机构普遍预判</w:t>
            </w:r>
            <w:r w:rsidR="004E6441">
              <w:rPr>
                <w:rFonts w:ascii="华文楷体" w:eastAsia="华文楷体" w:hAnsi="华文楷体"/>
                <w:sz w:val="24"/>
              </w:rPr>
              <w:t>2027</w:t>
            </w:r>
            <w:r>
              <w:rPr>
                <w:rFonts w:ascii="华文楷体" w:eastAsia="华文楷体" w:hAnsi="华文楷体"/>
                <w:sz w:val="24"/>
              </w:rPr>
              <w:t>年储能板块铜箔需求依旧具备较好增长空间</w:t>
            </w:r>
            <w:r>
              <w:rPr>
                <w:rFonts w:ascii="华文楷体" w:eastAsia="华文楷体" w:hAnsi="华文楷体" w:hint="eastAsia"/>
                <w:sz w:val="24"/>
              </w:rPr>
              <w:t>；汽车领域需求增长相对平稳。经历2024年全行业亏损后，行业扩产意愿显著下降，2026年新增产能相对有限。同时，因电子电路铜箔盈利水平更高，部分产能被改造用于生产电子电路铜箔，进一步压缩锂电铜箔有效供给，</w:t>
            </w:r>
            <w:r>
              <w:rPr>
                <w:rFonts w:ascii="华文楷体" w:eastAsia="华文楷体" w:hAnsi="华文楷体"/>
                <w:sz w:val="24"/>
              </w:rPr>
              <w:t>供需格局偏紧，预计供需缺口有望维持</w:t>
            </w:r>
            <w:r>
              <w:rPr>
                <w:rFonts w:ascii="华文楷体" w:eastAsia="华文楷体" w:hAnsi="华文楷体" w:hint="eastAsia"/>
                <w:sz w:val="24"/>
              </w:rPr>
              <w:t>。</w:t>
            </w:r>
          </w:p>
          <w:p w14:paraId="6BB56F9F"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6、公司锂电铜箔的出货规划和提价情况如何？</w:t>
            </w:r>
          </w:p>
          <w:p w14:paraId="429C76E0" w14:textId="4617BCC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公司锂电铜箔月度排产呈持续提升态势，新增产能可实现订单全额覆盖，排产优先向报价更高的客户倾斜，通过订单结构优化带动平均单价上行。今年以来，电子铜箔的订单量快速增加，价格也较年初大幅增长，导致公司产能较紧张，</w:t>
            </w:r>
            <w:r>
              <w:rPr>
                <w:rFonts w:ascii="华文楷体" w:eastAsia="华文楷体" w:hAnsi="华文楷体"/>
                <w:sz w:val="24"/>
              </w:rPr>
              <w:t>结合下游客户协商节奏，</w:t>
            </w:r>
            <w:r>
              <w:rPr>
                <w:rFonts w:ascii="华文楷体" w:eastAsia="华文楷体" w:hAnsi="华文楷体" w:hint="eastAsia"/>
                <w:sz w:val="24"/>
              </w:rPr>
              <w:t>三季度预计陆续落地第二</w:t>
            </w:r>
            <w:r>
              <w:rPr>
                <w:rFonts w:ascii="华文楷体" w:eastAsia="华文楷体" w:hAnsi="华文楷体"/>
                <w:sz w:val="24"/>
              </w:rPr>
              <w:t>轮锂电铜箔调价工作</w:t>
            </w:r>
            <w:r>
              <w:rPr>
                <w:rFonts w:ascii="华文楷体" w:eastAsia="华文楷体" w:hAnsi="华文楷体" w:hint="eastAsia"/>
                <w:sz w:val="24"/>
              </w:rPr>
              <w:t>。公司新增产能适配储能客户幅宽需求，损失更低，良率优于行业平均水</w:t>
            </w:r>
            <w:r>
              <w:rPr>
                <w:rFonts w:ascii="华文楷体" w:eastAsia="华文楷体" w:hAnsi="华文楷体" w:hint="eastAsia"/>
                <w:sz w:val="24"/>
              </w:rPr>
              <w:lastRenderedPageBreak/>
              <w:t>平，具备显著的成本优势。</w:t>
            </w:r>
          </w:p>
          <w:p w14:paraId="3A6B61E7"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7、公司对未来盈利趋势有何展望？</w:t>
            </w:r>
          </w:p>
          <w:p w14:paraId="079D0F14"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2026年三季度量价齐升将带动盈利改善，叠加规模效应释放，</w:t>
            </w:r>
            <w:r>
              <w:rPr>
                <w:rFonts w:ascii="华文楷体" w:eastAsia="华文楷体" w:hAnsi="华文楷体"/>
                <w:sz w:val="24"/>
              </w:rPr>
              <w:t>若无原材料价格大幅波动、行业需求突变等不可控因素影响下，预计三季度单吨盈利</w:t>
            </w:r>
            <w:r>
              <w:rPr>
                <w:rFonts w:ascii="华文楷体" w:eastAsia="华文楷体" w:hAnsi="华文楷体" w:hint="eastAsia"/>
                <w:sz w:val="24"/>
              </w:rPr>
              <w:t>能力</w:t>
            </w:r>
            <w:r>
              <w:rPr>
                <w:rFonts w:ascii="华文楷体" w:eastAsia="华文楷体" w:hAnsi="华文楷体"/>
                <w:sz w:val="24"/>
              </w:rPr>
              <w:t>将较二季度继续改善，公司整体盈利中枢稳步上移</w:t>
            </w:r>
            <w:r>
              <w:rPr>
                <w:rFonts w:ascii="华文楷体" w:eastAsia="华文楷体" w:hAnsi="华文楷体" w:hint="eastAsia"/>
                <w:sz w:val="24"/>
              </w:rPr>
              <w:t>。公司优先将产能分配至高毛利产品，普通低毛利锂电铜箔产能逐步被高附加值产品替代。</w:t>
            </w:r>
          </w:p>
          <w:p w14:paraId="6587065B"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8、公司未来的产能布局规划是怎样的？</w:t>
            </w:r>
          </w:p>
          <w:p w14:paraId="442C19C5" w14:textId="03120AC0"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结合目前的市场发展情况，公司顺应市场需求，拟规划增加部分高端电子电路铜箔产能，电子电路铜箔产线可兼容生产锂电铜箔，排产根据盈利水平动态调整。</w:t>
            </w:r>
            <w:r>
              <w:rPr>
                <w:rFonts w:ascii="华文楷体" w:eastAsia="华文楷体" w:hAnsi="华文楷体"/>
                <w:sz w:val="24"/>
              </w:rPr>
              <w:t>高阶电子铜箔专用后处理定制设备交付、现场调试及产能爬坡周期整体偏长，新增电子电路铜箔产能将循序渐进释放</w:t>
            </w:r>
            <w:r>
              <w:rPr>
                <w:rFonts w:ascii="华文楷体" w:eastAsia="华文楷体" w:hAnsi="华文楷体" w:hint="eastAsia"/>
                <w:sz w:val="24"/>
              </w:rPr>
              <w:t>。具体产能布局规划以公司公告为准。</w:t>
            </w:r>
          </w:p>
          <w:p w14:paraId="7CBB8D76"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9、公司目前的立案进度如何？</w:t>
            </w:r>
          </w:p>
          <w:p w14:paraId="409C474D" w14:textId="77777777" w:rsidR="0021573F" w:rsidRDefault="00B2273C">
            <w:pPr>
              <w:spacing w:line="360" w:lineRule="auto"/>
              <w:ind w:firstLineChars="200" w:firstLine="480"/>
              <w:rPr>
                <w:rFonts w:ascii="华文楷体" w:eastAsia="华文楷体" w:hAnsi="华文楷体"/>
                <w:sz w:val="24"/>
              </w:rPr>
            </w:pPr>
            <w:r>
              <w:rPr>
                <w:rFonts w:ascii="华文楷体" w:eastAsia="华文楷体" w:hAnsi="华文楷体" w:hint="eastAsia"/>
                <w:sz w:val="24"/>
              </w:rPr>
              <w:t>公司目前尚未收到关于立案调查的处理结果，具体进展请关注公司公告。</w:t>
            </w:r>
            <w:bookmarkEnd w:id="0"/>
          </w:p>
        </w:tc>
      </w:tr>
      <w:tr w:rsidR="0021573F" w14:paraId="511E2B5C" w14:textId="77777777">
        <w:tc>
          <w:tcPr>
            <w:tcW w:w="1908" w:type="dxa"/>
            <w:tcBorders>
              <w:top w:val="single" w:sz="4" w:space="0" w:color="auto"/>
              <w:left w:val="single" w:sz="4" w:space="0" w:color="auto"/>
              <w:bottom w:val="single" w:sz="4" w:space="0" w:color="auto"/>
              <w:right w:val="single" w:sz="4" w:space="0" w:color="auto"/>
            </w:tcBorders>
            <w:vAlign w:val="center"/>
          </w:tcPr>
          <w:p w14:paraId="00278136"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lastRenderedPageBreak/>
              <w:t>附件清单</w:t>
            </w:r>
          </w:p>
          <w:p w14:paraId="270C4566"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（如有）</w:t>
            </w:r>
          </w:p>
        </w:tc>
        <w:tc>
          <w:tcPr>
            <w:tcW w:w="6847" w:type="dxa"/>
            <w:tcBorders>
              <w:top w:val="single" w:sz="4" w:space="0" w:color="auto"/>
              <w:left w:val="single" w:sz="4" w:space="0" w:color="auto"/>
              <w:bottom w:val="single" w:sz="4" w:space="0" w:color="auto"/>
              <w:right w:val="single" w:sz="4" w:space="0" w:color="auto"/>
            </w:tcBorders>
          </w:tcPr>
          <w:p w14:paraId="1CCF207D" w14:textId="77777777" w:rsidR="0021573F" w:rsidRDefault="00B2273C">
            <w:pPr>
              <w:spacing w:beforeLines="50" w:before="156" w:afterLines="50" w:after="156" w:line="360" w:lineRule="auto"/>
              <w:rPr>
                <w:rFonts w:ascii="楷体" w:eastAsia="楷体" w:hAnsi="楷体"/>
                <w:bCs/>
                <w:iCs/>
                <w:color w:val="000000"/>
                <w:sz w:val="24"/>
              </w:rPr>
            </w:pPr>
            <w:r>
              <w:rPr>
                <w:rFonts w:ascii="楷体" w:eastAsia="楷体" w:hAnsi="楷体" w:hint="eastAsia"/>
                <w:bCs/>
                <w:iCs/>
                <w:color w:val="000000"/>
                <w:sz w:val="24"/>
              </w:rPr>
              <w:t>无</w:t>
            </w:r>
          </w:p>
        </w:tc>
      </w:tr>
      <w:tr w:rsidR="0021573F" w14:paraId="35C4EB16" w14:textId="77777777">
        <w:tc>
          <w:tcPr>
            <w:tcW w:w="1908" w:type="dxa"/>
            <w:tcBorders>
              <w:top w:val="single" w:sz="4" w:space="0" w:color="auto"/>
              <w:left w:val="single" w:sz="4" w:space="0" w:color="auto"/>
              <w:bottom w:val="single" w:sz="4" w:space="0" w:color="auto"/>
              <w:right w:val="single" w:sz="4" w:space="0" w:color="auto"/>
            </w:tcBorders>
            <w:vAlign w:val="center"/>
          </w:tcPr>
          <w:p w14:paraId="0D723AFF" w14:textId="77777777" w:rsidR="0021573F" w:rsidRDefault="00B2273C">
            <w:pPr>
              <w:spacing w:line="420" w:lineRule="exact"/>
              <w:jc w:val="center"/>
              <w:rPr>
                <w:rFonts w:ascii="楷体" w:eastAsia="楷体" w:hAnsi="楷体"/>
                <w:bCs/>
                <w:iCs/>
                <w:color w:val="000000"/>
                <w:kern w:val="0"/>
                <w:sz w:val="24"/>
              </w:rPr>
            </w:pPr>
            <w:r>
              <w:rPr>
                <w:rFonts w:ascii="楷体" w:eastAsia="楷体" w:hAnsi="楷体"/>
                <w:bCs/>
                <w:iCs/>
                <w:color w:val="000000"/>
                <w:kern w:val="0"/>
                <w:sz w:val="24"/>
              </w:rPr>
              <w:t>日期</w:t>
            </w:r>
          </w:p>
        </w:tc>
        <w:tc>
          <w:tcPr>
            <w:tcW w:w="6847" w:type="dxa"/>
            <w:tcBorders>
              <w:top w:val="single" w:sz="4" w:space="0" w:color="auto"/>
              <w:left w:val="single" w:sz="4" w:space="0" w:color="auto"/>
              <w:bottom w:val="single" w:sz="4" w:space="0" w:color="auto"/>
              <w:right w:val="single" w:sz="4" w:space="0" w:color="auto"/>
            </w:tcBorders>
          </w:tcPr>
          <w:p w14:paraId="724E028E" w14:textId="77777777" w:rsidR="0021573F" w:rsidRDefault="00B2273C">
            <w:pPr>
              <w:spacing w:beforeLines="50" w:before="156" w:afterLines="50" w:after="156" w:line="360" w:lineRule="auto"/>
              <w:rPr>
                <w:rFonts w:ascii="楷体" w:eastAsia="楷体" w:hAnsi="楷体"/>
                <w:bCs/>
                <w:iCs/>
                <w:color w:val="000000"/>
                <w:sz w:val="24"/>
              </w:rPr>
            </w:pPr>
            <w:r>
              <w:rPr>
                <w:rFonts w:ascii="楷体" w:eastAsia="楷体" w:hAnsi="楷体" w:hint="eastAsia"/>
                <w:bCs/>
                <w:iCs/>
                <w:color w:val="000000"/>
                <w:sz w:val="24"/>
              </w:rPr>
              <w:t>202</w:t>
            </w:r>
            <w:r>
              <w:rPr>
                <w:rFonts w:ascii="楷体" w:eastAsia="楷体" w:hAnsi="楷体"/>
                <w:bCs/>
                <w:iCs/>
                <w:color w:val="000000"/>
                <w:sz w:val="24"/>
              </w:rPr>
              <w:t>6</w:t>
            </w:r>
            <w:r>
              <w:rPr>
                <w:rFonts w:ascii="楷体" w:eastAsia="楷体" w:hAnsi="楷体" w:hint="eastAsia"/>
                <w:bCs/>
                <w:iCs/>
                <w:color w:val="000000"/>
                <w:sz w:val="24"/>
              </w:rPr>
              <w:t>年</w:t>
            </w:r>
            <w:r>
              <w:rPr>
                <w:rFonts w:ascii="楷体" w:eastAsia="楷体" w:hAnsi="楷体"/>
                <w:bCs/>
                <w:iCs/>
                <w:color w:val="000000"/>
                <w:sz w:val="24"/>
              </w:rPr>
              <w:t>7</w:t>
            </w:r>
            <w:r>
              <w:rPr>
                <w:rFonts w:ascii="楷体" w:eastAsia="楷体" w:hAnsi="楷体" w:hint="eastAsia"/>
                <w:bCs/>
                <w:iCs/>
                <w:color w:val="000000"/>
                <w:sz w:val="24"/>
              </w:rPr>
              <w:t>月</w:t>
            </w:r>
            <w:r>
              <w:rPr>
                <w:rFonts w:ascii="楷体" w:eastAsia="楷体" w:hAnsi="楷体"/>
                <w:bCs/>
                <w:iCs/>
                <w:color w:val="000000"/>
                <w:sz w:val="24"/>
              </w:rPr>
              <w:t>31</w:t>
            </w:r>
            <w:r>
              <w:rPr>
                <w:rFonts w:ascii="楷体" w:eastAsia="楷体" w:hAnsi="楷体" w:hint="eastAsia"/>
                <w:bCs/>
                <w:iCs/>
                <w:color w:val="000000"/>
                <w:sz w:val="24"/>
              </w:rPr>
              <w:t>日</w:t>
            </w:r>
          </w:p>
        </w:tc>
      </w:tr>
    </w:tbl>
    <w:p w14:paraId="5E7B7B3D" w14:textId="77777777" w:rsidR="0021573F" w:rsidRDefault="0021573F"/>
    <w:sectPr w:rsidR="0021573F">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143D9" w14:textId="77777777" w:rsidR="0061147C" w:rsidRDefault="0061147C">
      <w:r>
        <w:separator/>
      </w:r>
    </w:p>
  </w:endnote>
  <w:endnote w:type="continuationSeparator" w:id="0">
    <w:p w14:paraId="769C7007" w14:textId="77777777" w:rsidR="0061147C" w:rsidRDefault="0061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F054" w14:textId="77777777" w:rsidR="0021573F" w:rsidRDefault="0021573F">
    <w:pPr>
      <w:pStyle w:val="a3"/>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CB48A" w14:textId="77777777" w:rsidR="0061147C" w:rsidRDefault="0061147C">
      <w:r>
        <w:separator/>
      </w:r>
    </w:p>
  </w:footnote>
  <w:footnote w:type="continuationSeparator" w:id="0">
    <w:p w14:paraId="2C0A6727" w14:textId="77777777" w:rsidR="0061147C" w:rsidRDefault="006114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5ECE2" w14:textId="77777777" w:rsidR="0021573F" w:rsidRDefault="0021573F">
    <w:pPr>
      <w:pStyle w:val="a5"/>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73F"/>
    <w:rsid w:val="00151BA2"/>
    <w:rsid w:val="0021573F"/>
    <w:rsid w:val="002359A1"/>
    <w:rsid w:val="004E6441"/>
    <w:rsid w:val="0061147C"/>
    <w:rsid w:val="00B2273C"/>
    <w:rsid w:val="00DF75B7"/>
    <w:rsid w:val="00F22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9C550F"/>
  <w15:docId w15:val="{63CFFB6D-1B24-4B85-9FED-0F8D1CBF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1">
    <w:name w:val="Char Char Char1"/>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 w:type="paragraph" w:customStyle="1" w:styleId="1">
    <w:name w:val="列出段落1"/>
    <w:basedOn w:val="a"/>
    <w:uiPriority w:val="34"/>
    <w:qFormat/>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431</Words>
  <Characters>2458</Characters>
  <Application>Microsoft Office Word</Application>
  <DocSecurity>0</DocSecurity>
  <Lines>20</Lines>
  <Paragraphs>5</Paragraphs>
  <ScaleCrop>false</ScaleCrop>
  <Company>微软中国</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ZENG</cp:lastModifiedBy>
  <cp:revision>5</cp:revision>
  <cp:lastPrinted>2014-02-21T13:34:00Z</cp:lastPrinted>
  <dcterms:created xsi:type="dcterms:W3CDTF">2026-08-03T08:03:00Z</dcterms:created>
  <dcterms:modified xsi:type="dcterms:W3CDTF">2026-08-03T09:53:00Z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2052-26.7.0</vt:lpwstr>
  </property>
  <property fmtid="{D5CDD505-2E9C-101B-9397-08002B2CF9AE}" pid="3" name="ICV">
    <vt:lpwstr>3378DF92D5494EA79182626F58817F75</vt:lpwstr>
  </property>
</Properties>
</file>