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AFB6FA">
      <w:pPr>
        <w:widowControl/>
        <w:jc w:val="center"/>
        <w:rPr>
          <w:rFonts w:ascii="宋体" w:hAnsi="宋体" w:eastAsia="宋体" w:cs="宋体"/>
          <w:b/>
          <w:bCs/>
          <w:color w:val="000000"/>
          <w:kern w:val="0"/>
          <w:sz w:val="28"/>
          <w:szCs w:val="28"/>
        </w:rPr>
      </w:pPr>
      <w:r>
        <w:rPr>
          <w:rFonts w:hint="eastAsia" w:ascii="宋体" w:hAnsi="宋体" w:eastAsia="宋体" w:cs="宋体"/>
          <w:b/>
          <w:bCs/>
          <w:color w:val="000000"/>
          <w:kern w:val="0"/>
          <w:sz w:val="28"/>
          <w:szCs w:val="28"/>
        </w:rPr>
        <w:t>投资者关系活动记录表</w:t>
      </w:r>
    </w:p>
    <w:p w14:paraId="11DF99FB">
      <w:pPr>
        <w:widowControl/>
        <w:jc w:val="center"/>
        <w:rPr>
          <w:rFonts w:ascii="宋体" w:hAnsi="宋体" w:eastAsia="宋体" w:cs="宋体"/>
          <w:b/>
          <w:bCs/>
          <w:color w:val="000000"/>
          <w:kern w:val="0"/>
          <w:sz w:val="28"/>
          <w:szCs w:val="28"/>
        </w:rPr>
      </w:pPr>
      <w:r>
        <w:rPr>
          <w:rFonts w:hint="eastAsia" w:ascii="Times New Roman" w:hAnsi="Times New Roman" w:eastAsia="宋体" w:cs="Times New Roman"/>
          <w:b/>
          <w:bCs/>
          <w:color w:val="000000"/>
          <w:kern w:val="0"/>
          <w:sz w:val="28"/>
          <w:szCs w:val="28"/>
        </w:rPr>
        <w:t>2</w:t>
      </w:r>
      <w:r>
        <w:rPr>
          <w:rFonts w:ascii="Times New Roman" w:hAnsi="Times New Roman" w:eastAsia="宋体" w:cs="Times New Roman"/>
          <w:b/>
          <w:bCs/>
          <w:color w:val="000000"/>
          <w:kern w:val="0"/>
          <w:sz w:val="28"/>
          <w:szCs w:val="28"/>
        </w:rPr>
        <w:t>02</w:t>
      </w:r>
      <w:r>
        <w:rPr>
          <w:rFonts w:hint="eastAsia" w:ascii="Times New Roman" w:hAnsi="Times New Roman" w:eastAsia="宋体" w:cs="Times New Roman"/>
          <w:b/>
          <w:bCs/>
          <w:color w:val="000000"/>
          <w:kern w:val="0"/>
          <w:sz w:val="28"/>
          <w:szCs w:val="28"/>
        </w:rPr>
        <w:t>6</w:t>
      </w:r>
      <w:r>
        <w:rPr>
          <w:rFonts w:hint="eastAsia" w:ascii="宋体" w:hAnsi="宋体" w:eastAsia="宋体" w:cs="宋体"/>
          <w:b/>
          <w:bCs/>
          <w:color w:val="000000"/>
          <w:kern w:val="0"/>
          <w:sz w:val="28"/>
          <w:szCs w:val="28"/>
        </w:rPr>
        <w:t>年</w:t>
      </w:r>
      <w:r>
        <w:rPr>
          <w:rFonts w:ascii="Times New Roman" w:hAnsi="Times New Roman" w:eastAsia="宋体" w:cs="Times New Roman"/>
          <w:b/>
          <w:bCs/>
          <w:color w:val="000000"/>
          <w:kern w:val="0"/>
          <w:sz w:val="28"/>
          <w:szCs w:val="28"/>
        </w:rPr>
        <w:t>8</w:t>
      </w:r>
      <w:r>
        <w:rPr>
          <w:rFonts w:hint="eastAsia" w:ascii="宋体" w:hAnsi="宋体" w:eastAsia="宋体" w:cs="宋体"/>
          <w:b/>
          <w:bCs/>
          <w:color w:val="000000"/>
          <w:kern w:val="0"/>
          <w:sz w:val="28"/>
          <w:szCs w:val="28"/>
        </w:rPr>
        <w:t>月</w:t>
      </w:r>
    </w:p>
    <w:p w14:paraId="61426966">
      <w:pPr>
        <w:widowControl/>
        <w:jc w:val="left"/>
        <w:rPr>
          <w:rFonts w:ascii="宋体" w:hAnsi="宋体" w:eastAsia="宋体" w:cs="宋体"/>
          <w:kern w:val="0"/>
          <w:sz w:val="22"/>
        </w:rPr>
      </w:pPr>
      <w:r>
        <w:rPr>
          <w:rFonts w:hint="eastAsia" w:ascii="宋体" w:hAnsi="宋体" w:eastAsia="宋体" w:cs="宋体"/>
          <w:color w:val="000000"/>
          <w:kern w:val="0"/>
          <w:sz w:val="22"/>
        </w:rPr>
        <w:t xml:space="preserve">股票名称：智洋创新 </w:t>
      </w:r>
      <w:r>
        <w:rPr>
          <w:rFonts w:ascii="宋体" w:hAnsi="宋体" w:eastAsia="宋体" w:cs="宋体"/>
          <w:color w:val="000000"/>
          <w:kern w:val="0"/>
          <w:sz w:val="22"/>
        </w:rPr>
        <w:t xml:space="preserve">                                    </w:t>
      </w:r>
      <w:r>
        <w:rPr>
          <w:rFonts w:hint="eastAsia" w:ascii="宋体" w:hAnsi="宋体" w:eastAsia="宋体" w:cs="宋体"/>
          <w:color w:val="000000"/>
          <w:kern w:val="0"/>
          <w:sz w:val="22"/>
        </w:rPr>
        <w:t>股票代码：</w:t>
      </w:r>
      <w:r>
        <w:rPr>
          <w:rFonts w:ascii="Times New Roman" w:hAnsi="Times New Roman" w:eastAsia="宋体" w:cs="Times New Roman"/>
          <w:color w:val="000000"/>
          <w:kern w:val="0"/>
          <w:sz w:val="22"/>
        </w:rPr>
        <w:t xml:space="preserve">688191                   </w:t>
      </w:r>
    </w:p>
    <w:tbl>
      <w:tblPr>
        <w:tblStyle w:val="10"/>
        <w:tblW w:w="85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56"/>
        <w:gridCol w:w="5800"/>
      </w:tblGrid>
      <w:tr w14:paraId="57E1C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9" w:hRule="atLeast"/>
        </w:trPr>
        <w:tc>
          <w:tcPr>
            <w:tcW w:w="2756" w:type="dxa"/>
            <w:vAlign w:val="center"/>
          </w:tcPr>
          <w:p w14:paraId="45291320">
            <w:pPr>
              <w:widowControl/>
              <w:jc w:val="center"/>
              <w:rPr>
                <w:rFonts w:ascii="宋体" w:hAnsi="宋体" w:eastAsia="宋体" w:cs="宋体"/>
                <w:b/>
                <w:bCs/>
                <w:color w:val="000000"/>
                <w:kern w:val="0"/>
                <w:sz w:val="22"/>
              </w:rPr>
            </w:pPr>
            <w:r>
              <w:rPr>
                <w:rFonts w:hint="eastAsia" w:ascii="宋体" w:hAnsi="宋体" w:eastAsia="宋体" w:cs="宋体"/>
                <w:color w:val="000000"/>
                <w:kern w:val="0"/>
                <w:sz w:val="22"/>
              </w:rPr>
              <w:t>投资者关系活动类别</w:t>
            </w:r>
          </w:p>
        </w:tc>
        <w:tc>
          <w:tcPr>
            <w:tcW w:w="5800" w:type="dxa"/>
            <w:vAlign w:val="center"/>
          </w:tcPr>
          <w:p w14:paraId="66D0BF06">
            <w:pPr>
              <w:widowControl/>
              <w:spacing w:line="480" w:lineRule="auto"/>
              <w:rPr>
                <w:rFonts w:ascii="宋体" w:hAnsi="宋体" w:eastAsia="宋体" w:cs="宋体"/>
                <w:kern w:val="0"/>
                <w:szCs w:val="21"/>
              </w:rPr>
            </w:pPr>
            <w:r>
              <w:rPr>
                <w:rFonts w:hint="eastAsia" w:ascii="宋体" w:hAnsi="宋体" w:eastAsia="宋体" w:cs="宋体"/>
                <w:kern w:val="0"/>
                <w:szCs w:val="21"/>
              </w:rPr>
              <w:sym w:font="Wingdings 2" w:char="00A3"/>
            </w:r>
            <w:r>
              <w:rPr>
                <w:rFonts w:hint="eastAsia" w:ascii="宋体" w:hAnsi="宋体" w:eastAsia="宋体" w:cs="宋体"/>
                <w:kern w:val="0"/>
                <w:szCs w:val="21"/>
              </w:rPr>
              <w:t>特定对象调研</w:t>
            </w:r>
            <w:r>
              <w:rPr>
                <w:rFonts w:hint="eastAsia" w:ascii="宋体" w:hAnsi="宋体" w:eastAsia="宋体" w:cs="宋体"/>
                <w:kern w:val="0"/>
                <w:szCs w:val="21"/>
              </w:rPr>
              <w:sym w:font="Wingdings 2" w:char="00A3"/>
            </w:r>
            <w:r>
              <w:rPr>
                <w:rFonts w:hint="eastAsia" w:ascii="宋体" w:hAnsi="宋体" w:eastAsia="宋体" w:cs="宋体"/>
                <w:kern w:val="0"/>
                <w:szCs w:val="21"/>
              </w:rPr>
              <w:t>分析师会议</w:t>
            </w:r>
            <w:r>
              <w:rPr>
                <w:rFonts w:hint="eastAsia" w:ascii="宋体" w:hAnsi="宋体" w:eastAsia="宋体" w:cs="宋体"/>
                <w:kern w:val="0"/>
                <w:szCs w:val="21"/>
              </w:rPr>
              <w:sym w:font="Wingdings 2" w:char="00A3"/>
            </w:r>
            <w:r>
              <w:rPr>
                <w:rFonts w:hint="eastAsia" w:ascii="宋体" w:hAnsi="宋体" w:eastAsia="宋体" w:cs="宋体"/>
                <w:kern w:val="0"/>
                <w:szCs w:val="21"/>
              </w:rPr>
              <w:t>媒体采访</w:t>
            </w:r>
            <w:r>
              <w:rPr>
                <w:rFonts w:hint="eastAsia" w:ascii="宋体" w:hAnsi="宋体" w:eastAsia="宋体" w:cs="宋体"/>
                <w:kern w:val="0"/>
                <w:szCs w:val="21"/>
              </w:rPr>
              <w:sym w:font="Wingdings 2" w:char="00A3"/>
            </w:r>
            <w:r>
              <w:rPr>
                <w:rFonts w:hint="eastAsia" w:ascii="宋体" w:hAnsi="宋体" w:eastAsia="宋体" w:cs="宋体"/>
                <w:kern w:val="0"/>
                <w:szCs w:val="21"/>
              </w:rPr>
              <w:t>业绩说明会</w:t>
            </w:r>
          </w:p>
          <w:p w14:paraId="2B81F929">
            <w:pPr>
              <w:widowControl/>
              <w:spacing w:line="480" w:lineRule="auto"/>
              <w:rPr>
                <w:rFonts w:ascii="宋体" w:hAnsi="宋体" w:eastAsia="宋体" w:cs="宋体"/>
                <w:kern w:val="0"/>
                <w:sz w:val="22"/>
              </w:rPr>
            </w:pPr>
            <w:r>
              <w:rPr>
                <w:rFonts w:hint="eastAsia" w:ascii="宋体" w:hAnsi="宋体" w:eastAsia="宋体" w:cs="宋体"/>
                <w:kern w:val="0"/>
                <w:szCs w:val="21"/>
              </w:rPr>
              <w:sym w:font="Wingdings 2" w:char="00A3"/>
            </w:r>
            <w:r>
              <w:rPr>
                <w:rFonts w:hint="eastAsia" w:ascii="宋体" w:hAnsi="宋体" w:eastAsia="宋体" w:cs="宋体"/>
                <w:kern w:val="0"/>
                <w:szCs w:val="21"/>
              </w:rPr>
              <w:t>新闻发布会</w:t>
            </w:r>
            <w:r>
              <w:rPr>
                <w:rFonts w:hint="eastAsia" w:ascii="宋体" w:hAnsi="宋体" w:eastAsia="宋体" w:cs="宋体"/>
                <w:kern w:val="0"/>
                <w:szCs w:val="21"/>
              </w:rPr>
              <w:sym w:font="Wingdings 2" w:char="00A3"/>
            </w:r>
            <w:r>
              <w:rPr>
                <w:rFonts w:hint="eastAsia" w:ascii="宋体" w:hAnsi="宋体" w:eastAsia="宋体" w:cs="宋体"/>
                <w:kern w:val="0"/>
                <w:szCs w:val="21"/>
              </w:rPr>
              <w:t>路演活动</w:t>
            </w:r>
            <w:r>
              <w:rPr>
                <w:rFonts w:hint="eastAsia" w:ascii="宋体" w:hAnsi="宋体" w:eastAsia="宋体" w:cs="宋体"/>
                <w:kern w:val="0"/>
                <w:szCs w:val="21"/>
              </w:rPr>
              <w:sym w:font="Wingdings 2" w:char="0052"/>
            </w:r>
            <w:r>
              <w:rPr>
                <w:rFonts w:hint="eastAsia" w:ascii="宋体" w:hAnsi="宋体" w:eastAsia="宋体" w:cs="宋体"/>
                <w:kern w:val="0"/>
                <w:szCs w:val="21"/>
              </w:rPr>
              <w:t>现场参观</w:t>
            </w:r>
            <w:r>
              <w:rPr>
                <w:rFonts w:hint="eastAsia" w:ascii="宋体" w:hAnsi="宋体" w:eastAsia="宋体" w:cs="宋体"/>
                <w:kern w:val="0"/>
                <w:szCs w:val="21"/>
              </w:rPr>
              <w:sym w:font="Wingdings 2" w:char="00A3"/>
            </w:r>
            <w:r>
              <w:rPr>
                <w:rFonts w:hint="eastAsia" w:ascii="宋体" w:hAnsi="宋体" w:eastAsia="宋体" w:cs="宋体"/>
                <w:kern w:val="0"/>
                <w:szCs w:val="21"/>
              </w:rPr>
              <w:t>其他</w:t>
            </w:r>
          </w:p>
        </w:tc>
      </w:tr>
      <w:tr w14:paraId="07B6C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5" w:hRule="atLeast"/>
        </w:trPr>
        <w:tc>
          <w:tcPr>
            <w:tcW w:w="2756" w:type="dxa"/>
            <w:vAlign w:val="center"/>
          </w:tcPr>
          <w:p w14:paraId="54FFF0A1">
            <w:pPr>
              <w:widowControl/>
              <w:jc w:val="center"/>
              <w:rPr>
                <w:rFonts w:ascii="宋体" w:hAnsi="宋体" w:eastAsia="宋体" w:cs="宋体"/>
                <w:b/>
                <w:bCs/>
                <w:kern w:val="0"/>
                <w:sz w:val="22"/>
              </w:rPr>
            </w:pPr>
            <w:r>
              <w:rPr>
                <w:rFonts w:hint="eastAsia" w:ascii="宋体" w:hAnsi="宋体" w:eastAsia="宋体" w:cs="宋体"/>
                <w:kern w:val="0"/>
                <w:sz w:val="22"/>
              </w:rPr>
              <w:t>参与单位名称及人员姓名</w:t>
            </w:r>
          </w:p>
        </w:tc>
        <w:tc>
          <w:tcPr>
            <w:tcW w:w="5800" w:type="dxa"/>
            <w:vAlign w:val="center"/>
          </w:tcPr>
          <w:p w14:paraId="27314415">
            <w:pPr>
              <w:pStyle w:val="3"/>
              <w:numPr>
                <w:ilvl w:val="255"/>
                <w:numId w:val="0"/>
              </w:numPr>
              <w:rPr>
                <w:rFonts w:ascii="宋体" w:hAnsi="宋体" w:eastAsia="宋体" w:cs="宋体"/>
              </w:rPr>
            </w:pPr>
            <w:r>
              <w:rPr>
                <w:rFonts w:hint="eastAsia" w:ascii="宋体" w:hAnsi="宋体" w:eastAsia="宋体" w:cs="宋体"/>
              </w:rPr>
              <w:t>华创证券：吴鸣远、周楚薇</w:t>
            </w:r>
          </w:p>
          <w:p w14:paraId="3E92C497">
            <w:pPr>
              <w:pStyle w:val="3"/>
              <w:numPr>
                <w:ilvl w:val="255"/>
                <w:numId w:val="0"/>
              </w:numPr>
              <w:rPr>
                <w:rFonts w:ascii="宋体" w:hAnsi="宋体" w:eastAsia="宋体" w:cs="宋体"/>
              </w:rPr>
            </w:pPr>
            <w:r>
              <w:rPr>
                <w:rFonts w:hint="eastAsia" w:ascii="宋体" w:hAnsi="宋体" w:eastAsia="宋体" w:cs="宋体"/>
              </w:rPr>
              <w:t>长城证券：常绍轩</w:t>
            </w:r>
          </w:p>
          <w:p w14:paraId="0640969E">
            <w:pPr>
              <w:pStyle w:val="3"/>
              <w:numPr>
                <w:ilvl w:val="255"/>
                <w:numId w:val="0"/>
              </w:numPr>
              <w:rPr>
                <w:rFonts w:ascii="宋体" w:hAnsi="宋体" w:eastAsia="宋体" w:cs="宋体"/>
              </w:rPr>
            </w:pPr>
            <w:r>
              <w:rPr>
                <w:rFonts w:hint="eastAsia" w:ascii="宋体" w:hAnsi="宋体" w:eastAsia="宋体" w:cs="宋体"/>
              </w:rPr>
              <w:t>长江证券资管：施展</w:t>
            </w:r>
          </w:p>
          <w:p w14:paraId="09972C11">
            <w:pPr>
              <w:pStyle w:val="3"/>
              <w:numPr>
                <w:ilvl w:val="255"/>
                <w:numId w:val="0"/>
              </w:numPr>
              <w:rPr>
                <w:rFonts w:ascii="宋体" w:hAnsi="宋体" w:eastAsia="宋体" w:cs="宋体"/>
              </w:rPr>
            </w:pPr>
            <w:r>
              <w:rPr>
                <w:rFonts w:hint="eastAsia" w:ascii="宋体" w:hAnsi="宋体" w:eastAsia="宋体" w:cs="宋体"/>
              </w:rPr>
              <w:t>弘阳信基金：程国贤</w:t>
            </w:r>
          </w:p>
          <w:p w14:paraId="6DBE7F69">
            <w:pPr>
              <w:pStyle w:val="3"/>
              <w:numPr>
                <w:ilvl w:val="255"/>
                <w:numId w:val="0"/>
              </w:numPr>
              <w:rPr>
                <w:rFonts w:ascii="宋体" w:hAnsi="宋体" w:eastAsia="宋体" w:cs="宋体"/>
              </w:rPr>
            </w:pPr>
            <w:r>
              <w:rPr>
                <w:rFonts w:hint="eastAsia" w:ascii="宋体" w:hAnsi="宋体" w:eastAsia="宋体" w:cs="宋体"/>
              </w:rPr>
              <w:t>东吴自营：王喆</w:t>
            </w:r>
          </w:p>
          <w:p w14:paraId="349AB75D">
            <w:pPr>
              <w:pStyle w:val="3"/>
              <w:numPr>
                <w:ilvl w:val="255"/>
                <w:numId w:val="0"/>
              </w:numPr>
              <w:rPr>
                <w:rFonts w:ascii="宋体" w:hAnsi="宋体" w:eastAsia="宋体" w:cs="宋体"/>
              </w:rPr>
            </w:pPr>
            <w:r>
              <w:rPr>
                <w:rFonts w:hint="eastAsia" w:ascii="宋体" w:hAnsi="宋体" w:eastAsia="宋体" w:cs="宋体"/>
              </w:rPr>
              <w:t>鲁康投资：高衍娟、李晓瑄</w:t>
            </w:r>
          </w:p>
          <w:p w14:paraId="718D1E2B">
            <w:pPr>
              <w:pStyle w:val="3"/>
              <w:numPr>
                <w:ilvl w:val="255"/>
                <w:numId w:val="0"/>
              </w:numPr>
              <w:rPr>
                <w:rFonts w:ascii="宋体" w:hAnsi="宋体" w:eastAsia="宋体" w:cs="宋体"/>
              </w:rPr>
            </w:pPr>
            <w:r>
              <w:rPr>
                <w:rFonts w:hint="eastAsia" w:ascii="宋体" w:hAnsi="宋体" w:eastAsia="宋体" w:cs="宋体"/>
              </w:rPr>
              <w:t>源益基金：郭庆功</w:t>
            </w:r>
          </w:p>
          <w:p w14:paraId="186139C4">
            <w:pPr>
              <w:pStyle w:val="3"/>
              <w:numPr>
                <w:ilvl w:val="255"/>
                <w:numId w:val="0"/>
              </w:numPr>
              <w:rPr>
                <w:rFonts w:ascii="宋体" w:hAnsi="宋体" w:eastAsia="宋体" w:cs="宋体"/>
              </w:rPr>
            </w:pPr>
            <w:r>
              <w:rPr>
                <w:rFonts w:hint="eastAsia" w:ascii="宋体" w:hAnsi="宋体" w:eastAsia="宋体" w:cs="宋体"/>
              </w:rPr>
              <w:t>胤胜资产：王栋</w:t>
            </w:r>
          </w:p>
          <w:p w14:paraId="603AF431">
            <w:pPr>
              <w:pStyle w:val="3"/>
              <w:numPr>
                <w:ilvl w:val="255"/>
                <w:numId w:val="0"/>
              </w:numPr>
              <w:rPr>
                <w:rFonts w:ascii="宋体" w:hAnsi="宋体" w:eastAsia="宋体" w:cs="宋体"/>
              </w:rPr>
            </w:pPr>
            <w:r>
              <w:rPr>
                <w:rFonts w:hint="eastAsia" w:ascii="宋体" w:hAnsi="宋体" w:eastAsia="宋体" w:cs="宋体"/>
              </w:rPr>
              <w:t>吉富创投：柳伟</w:t>
            </w:r>
            <w:bookmarkStart w:id="0" w:name="_GoBack"/>
            <w:bookmarkEnd w:id="0"/>
          </w:p>
          <w:p w14:paraId="4E16E8F0">
            <w:pPr>
              <w:pStyle w:val="3"/>
              <w:numPr>
                <w:ilvl w:val="255"/>
                <w:numId w:val="0"/>
              </w:numPr>
              <w:rPr>
                <w:rFonts w:ascii="宋体" w:hAnsi="宋体" w:eastAsia="宋体" w:cs="宋体"/>
              </w:rPr>
            </w:pPr>
            <w:r>
              <w:rPr>
                <w:rFonts w:hint="eastAsia" w:ascii="宋体" w:hAnsi="宋体" w:eastAsia="宋体" w:cs="宋体"/>
              </w:rPr>
              <w:t>睿郡投资：陆士杰</w:t>
            </w:r>
          </w:p>
          <w:p w14:paraId="0FF60F64">
            <w:pPr>
              <w:pStyle w:val="3"/>
              <w:numPr>
                <w:ilvl w:val="255"/>
                <w:numId w:val="0"/>
              </w:numPr>
              <w:rPr>
                <w:rFonts w:ascii="宋体" w:hAnsi="宋体" w:eastAsia="宋体" w:cs="宋体"/>
              </w:rPr>
            </w:pPr>
            <w:r>
              <w:rPr>
                <w:rFonts w:hint="eastAsia" w:ascii="宋体" w:hAnsi="宋体" w:eastAsia="宋体" w:cs="宋体"/>
              </w:rPr>
              <w:t>上海证券报：赵彬彬</w:t>
            </w:r>
          </w:p>
          <w:p w14:paraId="2DFCF10A">
            <w:pPr>
              <w:pStyle w:val="3"/>
              <w:numPr>
                <w:ilvl w:val="255"/>
                <w:numId w:val="0"/>
              </w:numPr>
              <w:rPr>
                <w:rFonts w:ascii="宋体" w:hAnsi="宋体" w:eastAsia="宋体" w:cs="宋体"/>
              </w:rPr>
            </w:pPr>
            <w:r>
              <w:rPr>
                <w:rFonts w:hint="eastAsia" w:ascii="宋体" w:hAnsi="宋体" w:eastAsia="宋体" w:cs="宋体"/>
              </w:rPr>
              <w:t>证券日报：王僖、王文甲</w:t>
            </w:r>
          </w:p>
          <w:p w14:paraId="01FDA198">
            <w:pPr>
              <w:pStyle w:val="3"/>
              <w:numPr>
                <w:ilvl w:val="255"/>
                <w:numId w:val="0"/>
              </w:numPr>
              <w:rPr>
                <w:rFonts w:ascii="宋体" w:hAnsi="宋体" w:eastAsia="宋体" w:cs="宋体"/>
              </w:rPr>
            </w:pPr>
            <w:r>
              <w:rPr>
                <w:rFonts w:hint="eastAsia" w:ascii="宋体" w:hAnsi="宋体" w:eastAsia="宋体" w:cs="宋体"/>
              </w:rPr>
              <w:t>证券时报：李师胜</w:t>
            </w:r>
          </w:p>
        </w:tc>
      </w:tr>
      <w:tr w14:paraId="2FE50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2756" w:type="dxa"/>
            <w:vAlign w:val="center"/>
          </w:tcPr>
          <w:p w14:paraId="47BF1BBD">
            <w:pPr>
              <w:widowControl/>
              <w:jc w:val="center"/>
              <w:rPr>
                <w:rFonts w:hint="eastAsia" w:ascii="Times Regular" w:hAnsi="Times Regular" w:eastAsia="宋体" w:cs="Times Regular"/>
                <w:kern w:val="0"/>
                <w:sz w:val="22"/>
              </w:rPr>
            </w:pPr>
            <w:r>
              <w:rPr>
                <w:rFonts w:ascii="Times Regular" w:hAnsi="Times Regular" w:eastAsia="宋体" w:cs="Times Regular"/>
                <w:kern w:val="0"/>
                <w:sz w:val="22"/>
              </w:rPr>
              <w:t>时间</w:t>
            </w:r>
          </w:p>
        </w:tc>
        <w:tc>
          <w:tcPr>
            <w:tcW w:w="5800" w:type="dxa"/>
            <w:vAlign w:val="center"/>
          </w:tcPr>
          <w:p w14:paraId="37833933">
            <w:pPr>
              <w:pStyle w:val="3"/>
              <w:ind w:firstLine="0" w:firstLineChars="0"/>
              <w:rPr>
                <w:rFonts w:hint="eastAsia" w:ascii="Times Regular" w:hAnsi="Times Regular" w:eastAsia="宋体" w:cs="Times Regular"/>
              </w:rPr>
            </w:pPr>
            <w:r>
              <w:rPr>
                <w:rFonts w:ascii="Times Regular" w:hAnsi="Times Regular" w:eastAsia="宋体" w:cs="Times Regular"/>
              </w:rPr>
              <w:t>2026年8月5日15:00-18:00</w:t>
            </w:r>
          </w:p>
        </w:tc>
      </w:tr>
      <w:tr w14:paraId="0F05A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2756" w:type="dxa"/>
            <w:vAlign w:val="center"/>
          </w:tcPr>
          <w:p w14:paraId="6CFF9B13">
            <w:pPr>
              <w:widowControl/>
              <w:jc w:val="center"/>
              <w:rPr>
                <w:rFonts w:ascii="宋体" w:hAnsi="宋体" w:eastAsia="宋体" w:cs="宋体"/>
                <w:b/>
                <w:bCs/>
                <w:kern w:val="0"/>
                <w:sz w:val="22"/>
              </w:rPr>
            </w:pPr>
            <w:r>
              <w:rPr>
                <w:rFonts w:hint="eastAsia" w:ascii="宋体" w:hAnsi="宋体" w:eastAsia="宋体" w:cs="宋体"/>
                <w:kern w:val="0"/>
                <w:sz w:val="22"/>
              </w:rPr>
              <w:t>地点</w:t>
            </w:r>
          </w:p>
        </w:tc>
        <w:tc>
          <w:tcPr>
            <w:tcW w:w="5800" w:type="dxa"/>
            <w:vAlign w:val="center"/>
          </w:tcPr>
          <w:p w14:paraId="4B0A9FEF">
            <w:pPr>
              <w:widowControl/>
              <w:rPr>
                <w:rFonts w:ascii="宋体" w:hAnsi="宋体" w:eastAsia="宋体" w:cs="宋体"/>
                <w:color w:val="000000"/>
                <w:kern w:val="0"/>
                <w:szCs w:val="21"/>
              </w:rPr>
            </w:pPr>
            <w:r>
              <w:rPr>
                <w:rFonts w:hint="eastAsia" w:ascii="宋体" w:hAnsi="宋体" w:eastAsia="宋体" w:cs="宋体"/>
                <w:color w:val="000000"/>
                <w:kern w:val="0"/>
                <w:szCs w:val="21"/>
              </w:rPr>
              <w:t>智洋创新淄博总部</w:t>
            </w:r>
          </w:p>
        </w:tc>
      </w:tr>
      <w:tr w14:paraId="19AEB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2756" w:type="dxa"/>
            <w:vAlign w:val="center"/>
          </w:tcPr>
          <w:p w14:paraId="70248138">
            <w:pPr>
              <w:widowControl/>
              <w:jc w:val="center"/>
              <w:rPr>
                <w:rFonts w:ascii="宋体" w:hAnsi="宋体" w:eastAsia="宋体" w:cs="宋体"/>
                <w:kern w:val="0"/>
                <w:sz w:val="22"/>
              </w:rPr>
            </w:pPr>
            <w:r>
              <w:rPr>
                <w:rFonts w:hint="eastAsia" w:ascii="宋体" w:hAnsi="宋体" w:eastAsia="宋体" w:cs="宋体"/>
                <w:kern w:val="0"/>
                <w:sz w:val="22"/>
              </w:rPr>
              <w:t>公司接待人员姓名</w:t>
            </w:r>
          </w:p>
        </w:tc>
        <w:tc>
          <w:tcPr>
            <w:tcW w:w="5800" w:type="dxa"/>
            <w:vAlign w:val="center"/>
          </w:tcPr>
          <w:p w14:paraId="0B7996B7">
            <w:pPr>
              <w:widowControl/>
              <w:rPr>
                <w:rFonts w:ascii="宋体" w:hAnsi="宋体" w:eastAsia="宋体" w:cs="宋体"/>
              </w:rPr>
            </w:pPr>
            <w:r>
              <w:rPr>
                <w:rFonts w:hint="eastAsia" w:ascii="宋体" w:hAnsi="宋体" w:eastAsia="宋体" w:cs="宋体"/>
              </w:rPr>
              <w:t>董事长：刘国永</w:t>
            </w:r>
          </w:p>
          <w:p w14:paraId="39286F6B">
            <w:pPr>
              <w:widowControl/>
              <w:rPr>
                <w:rFonts w:ascii="宋体" w:hAnsi="宋体" w:eastAsia="宋体" w:cs="宋体"/>
              </w:rPr>
            </w:pPr>
            <w:r>
              <w:rPr>
                <w:rFonts w:hint="eastAsia" w:ascii="宋体" w:hAnsi="宋体" w:eastAsia="宋体" w:cs="宋体"/>
              </w:rPr>
              <w:t>董事、总经理：聂树刚</w:t>
            </w:r>
          </w:p>
          <w:p w14:paraId="0C085A10">
            <w:pPr>
              <w:widowControl/>
              <w:rPr>
                <w:rFonts w:ascii="宋体" w:hAnsi="宋体" w:eastAsia="宋体" w:cs="宋体"/>
              </w:rPr>
            </w:pPr>
            <w:r>
              <w:rPr>
                <w:rFonts w:hint="eastAsia" w:ascii="宋体" w:hAnsi="宋体" w:eastAsia="宋体" w:cs="宋体"/>
              </w:rPr>
              <w:t>董事：赵砚青</w:t>
            </w:r>
          </w:p>
          <w:p w14:paraId="2C6EE322">
            <w:pPr>
              <w:widowControl/>
              <w:rPr>
                <w:rFonts w:ascii="宋体" w:hAnsi="宋体" w:eastAsia="宋体" w:cs="宋体"/>
              </w:rPr>
            </w:pPr>
            <w:r>
              <w:rPr>
                <w:rFonts w:hint="eastAsia" w:ascii="宋体" w:hAnsi="宋体" w:eastAsia="宋体" w:cs="宋体"/>
              </w:rPr>
              <w:t>董事：陈晓娟</w:t>
            </w:r>
          </w:p>
          <w:p w14:paraId="7FC0AE2D">
            <w:pPr>
              <w:widowControl/>
              <w:rPr>
                <w:rFonts w:ascii="宋体" w:hAnsi="宋体" w:eastAsia="宋体" w:cs="宋体"/>
              </w:rPr>
            </w:pPr>
            <w:r>
              <w:rPr>
                <w:rFonts w:hint="eastAsia" w:ascii="宋体" w:hAnsi="宋体" w:eastAsia="宋体" w:cs="宋体"/>
              </w:rPr>
              <w:t>副总经理：鲍春飞</w:t>
            </w:r>
          </w:p>
          <w:p w14:paraId="7F74AC1B">
            <w:pPr>
              <w:widowControl/>
              <w:rPr>
                <w:rFonts w:ascii="宋体" w:hAnsi="宋体" w:eastAsia="宋体" w:cs="宋体"/>
              </w:rPr>
            </w:pPr>
            <w:r>
              <w:rPr>
                <w:rFonts w:hint="eastAsia" w:ascii="宋体" w:hAnsi="宋体" w:eastAsia="宋体" w:cs="宋体"/>
              </w:rPr>
              <w:t>董事会秘书：吴馨竹</w:t>
            </w:r>
          </w:p>
          <w:p w14:paraId="09DFB896">
            <w:pPr>
              <w:widowControl/>
              <w:rPr>
                <w:rFonts w:ascii="宋体" w:hAnsi="宋体" w:eastAsia="宋体" w:cs="宋体"/>
              </w:rPr>
            </w:pPr>
            <w:r>
              <w:rPr>
                <w:rFonts w:hint="eastAsia" w:ascii="宋体" w:hAnsi="宋体" w:eastAsia="宋体" w:cs="宋体"/>
              </w:rPr>
              <w:t>核心技术人员：许克</w:t>
            </w:r>
          </w:p>
        </w:tc>
      </w:tr>
      <w:tr w14:paraId="53471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8" w:hRule="atLeast"/>
        </w:trPr>
        <w:tc>
          <w:tcPr>
            <w:tcW w:w="2756" w:type="dxa"/>
            <w:vAlign w:val="center"/>
          </w:tcPr>
          <w:p w14:paraId="40056AAC">
            <w:pPr>
              <w:widowControl/>
              <w:jc w:val="center"/>
              <w:rPr>
                <w:rFonts w:ascii="宋体" w:hAnsi="宋体" w:eastAsia="宋体" w:cs="宋体"/>
                <w:b/>
                <w:bCs/>
                <w:kern w:val="0"/>
                <w:sz w:val="22"/>
              </w:rPr>
            </w:pPr>
            <w:r>
              <w:rPr>
                <w:rFonts w:hint="eastAsia" w:ascii="宋体" w:hAnsi="宋体" w:eastAsia="宋体" w:cs="宋体"/>
                <w:kern w:val="0"/>
                <w:sz w:val="22"/>
              </w:rPr>
              <w:t>投资者关系活动主要内容介绍</w:t>
            </w:r>
          </w:p>
        </w:tc>
        <w:tc>
          <w:tcPr>
            <w:tcW w:w="5800" w:type="dxa"/>
          </w:tcPr>
          <w:p w14:paraId="1F1C1CC3">
            <w:pPr>
              <w:pStyle w:val="3"/>
              <w:keepNext w:val="0"/>
              <w:keepLines w:val="0"/>
              <w:pageBreakBefore w:val="0"/>
              <w:widowControl w:val="0"/>
              <w:numPr>
                <w:ilvl w:val="255"/>
                <w:numId w:val="0"/>
              </w:numPr>
              <w:kinsoku/>
              <w:wordWrap/>
              <w:overflowPunct/>
              <w:topLinePunct w:val="0"/>
              <w:autoSpaceDE/>
              <w:autoSpaceDN/>
              <w:bidi w:val="0"/>
              <w:adjustRightInd/>
              <w:snapToGrid/>
              <w:spacing w:after="120" w:line="276" w:lineRule="auto"/>
              <w:ind w:firstLine="422" w:firstLineChars="200"/>
              <w:jc w:val="left"/>
              <w:textAlignment w:val="auto"/>
              <w:rPr>
                <w:rFonts w:cs="宋体" w:asciiTheme="minorEastAsia" w:hAnsiTheme="minorEastAsia"/>
                <w:b/>
                <w:bCs/>
              </w:rPr>
            </w:pPr>
            <w:r>
              <w:rPr>
                <w:rFonts w:hint="eastAsia" w:cs="宋体" w:asciiTheme="minorEastAsia" w:hAnsiTheme="minorEastAsia"/>
                <w:b/>
                <w:bCs/>
              </w:rPr>
              <w:t>1、请介绍公司“人工智能+行业”发展战略及整体业务布局。</w:t>
            </w:r>
          </w:p>
          <w:p w14:paraId="3838D906">
            <w:pPr>
              <w:keepNext w:val="0"/>
              <w:keepLines w:val="0"/>
              <w:pageBreakBefore w:val="0"/>
              <w:widowControl w:val="0"/>
              <w:kinsoku/>
              <w:wordWrap/>
              <w:overflowPunct/>
              <w:topLinePunct w:val="0"/>
              <w:autoSpaceDE/>
              <w:autoSpaceDN/>
              <w:bidi w:val="0"/>
              <w:adjustRightInd/>
              <w:snapToGrid/>
              <w:spacing w:after="120" w:line="276" w:lineRule="auto"/>
              <w:ind w:firstLine="420" w:firstLineChars="200"/>
              <w:textAlignment w:val="auto"/>
              <w:rPr>
                <w:rFonts w:asciiTheme="minorEastAsia" w:hAnsiTheme="minorEastAsia"/>
              </w:rPr>
            </w:pPr>
            <w:r>
              <w:rPr>
                <w:rFonts w:asciiTheme="minorEastAsia" w:hAnsiTheme="minorEastAsia"/>
              </w:rPr>
              <w:t>答：公司长期坚持“人工智能+行业”发展战略，围绕关系国计民生的重要基础设施，将人工智能算法、大数据、物联网、数字孪生和具身智能等技术转化为可落地的产品和解决方案，已经形成天空地多源感知、云边协同的“算法—软件—硬件”产品体系。</w:t>
            </w:r>
          </w:p>
          <w:p w14:paraId="121E4993">
            <w:pPr>
              <w:keepNext w:val="0"/>
              <w:keepLines w:val="0"/>
              <w:pageBreakBefore w:val="0"/>
              <w:widowControl w:val="0"/>
              <w:kinsoku/>
              <w:wordWrap/>
              <w:overflowPunct/>
              <w:topLinePunct w:val="0"/>
              <w:autoSpaceDE/>
              <w:autoSpaceDN/>
              <w:bidi w:val="0"/>
              <w:adjustRightInd/>
              <w:snapToGrid/>
              <w:spacing w:after="120" w:line="276" w:lineRule="auto"/>
              <w:ind w:firstLine="420" w:firstLineChars="200"/>
              <w:textAlignment w:val="auto"/>
              <w:rPr>
                <w:rFonts w:asciiTheme="minorEastAsia" w:hAnsiTheme="minorEastAsia"/>
              </w:rPr>
            </w:pPr>
            <w:r>
              <w:rPr>
                <w:rFonts w:asciiTheme="minorEastAsia" w:hAnsiTheme="minorEastAsia"/>
              </w:rPr>
              <w:t>国家部署加强水网、新型电网、算力网、新一代通信网、城市地下管网和物流网等“六张网”规划建设，基础设施正在从规模完善进一步走向质量提升，对安全运行、智能运维、风险感知和预测预警提出了更高要求。这与公司近二十年来持续深耕的方向高度契合。公司现有业务与新型电网、国家水网以及交通物流基础设施建设具有较强的场景关联，相关产品还可应用于城市地下管线涵洞、综合管廊等场景：</w:t>
            </w:r>
          </w:p>
          <w:p w14:paraId="267C637B">
            <w:pPr>
              <w:keepNext w:val="0"/>
              <w:keepLines w:val="0"/>
              <w:pageBreakBefore w:val="0"/>
              <w:widowControl w:val="0"/>
              <w:kinsoku/>
              <w:wordWrap/>
              <w:overflowPunct/>
              <w:topLinePunct w:val="0"/>
              <w:autoSpaceDE/>
              <w:autoSpaceDN/>
              <w:bidi w:val="0"/>
              <w:adjustRightInd/>
              <w:snapToGrid/>
              <w:spacing w:after="120" w:line="276" w:lineRule="auto"/>
              <w:ind w:firstLine="420" w:firstLineChars="200"/>
              <w:textAlignment w:val="auto"/>
              <w:rPr>
                <w:rFonts w:asciiTheme="minorEastAsia" w:hAnsiTheme="minorEastAsia"/>
              </w:rPr>
            </w:pPr>
            <w:r>
              <w:rPr>
                <w:rFonts w:asciiTheme="minorEastAsia" w:hAnsiTheme="minorEastAsia"/>
              </w:rPr>
              <w:t>（1）新型电网方面，电力是公司长期深耕的基本盘，也是公司行业理解、技术能力和商业化经验的重要来源。公司持续巩固输电、变电等既有优势，并向配电、新能源及地下电力设施等场景拓展。</w:t>
            </w:r>
          </w:p>
          <w:p w14:paraId="0B3CB329">
            <w:pPr>
              <w:keepNext w:val="0"/>
              <w:keepLines w:val="0"/>
              <w:pageBreakBefore w:val="0"/>
              <w:widowControl w:val="0"/>
              <w:kinsoku/>
              <w:wordWrap/>
              <w:overflowPunct/>
              <w:topLinePunct w:val="0"/>
              <w:autoSpaceDE/>
              <w:autoSpaceDN/>
              <w:bidi w:val="0"/>
              <w:adjustRightInd/>
              <w:snapToGrid/>
              <w:spacing w:after="120" w:line="276" w:lineRule="auto"/>
              <w:ind w:firstLine="420" w:firstLineChars="200"/>
              <w:textAlignment w:val="auto"/>
              <w:rPr>
                <w:rFonts w:asciiTheme="minorEastAsia" w:hAnsiTheme="minorEastAsia"/>
              </w:rPr>
            </w:pPr>
            <w:r>
              <w:rPr>
                <w:rFonts w:asciiTheme="minorEastAsia" w:hAnsiTheme="minorEastAsia"/>
              </w:rPr>
              <w:t>（2）国家水网方面，公司围绕江河湖库、水文监测、防洪防汛和水利工程运行管理，形成数字孪生智慧水利、无人机智慧测流与巡河、水库现代化运行管理等产品和解决方案。</w:t>
            </w:r>
          </w:p>
          <w:p w14:paraId="56C4EDCB">
            <w:pPr>
              <w:keepNext w:val="0"/>
              <w:keepLines w:val="0"/>
              <w:pageBreakBefore w:val="0"/>
              <w:widowControl w:val="0"/>
              <w:kinsoku/>
              <w:wordWrap/>
              <w:overflowPunct/>
              <w:topLinePunct w:val="0"/>
              <w:autoSpaceDE/>
              <w:autoSpaceDN/>
              <w:bidi w:val="0"/>
              <w:adjustRightInd/>
              <w:snapToGrid/>
              <w:spacing w:after="120" w:line="276" w:lineRule="auto"/>
              <w:ind w:firstLine="420" w:firstLineChars="200"/>
              <w:textAlignment w:val="auto"/>
              <w:rPr>
                <w:rFonts w:asciiTheme="minorEastAsia" w:hAnsiTheme="minorEastAsia"/>
              </w:rPr>
            </w:pPr>
            <w:r>
              <w:rPr>
                <w:rFonts w:asciiTheme="minorEastAsia" w:hAnsiTheme="minorEastAsia"/>
              </w:rPr>
              <w:t>（3）交通物流基础设施方面，公司轨道交通业务已覆盖铁路沿线环境安全、自然灾害防范以及桥梁、隧道等基础设施巡检，相关技术和产品已在多个铁路局实现工程化应用。</w:t>
            </w:r>
          </w:p>
          <w:p w14:paraId="65CB0560">
            <w:pPr>
              <w:keepNext w:val="0"/>
              <w:keepLines w:val="0"/>
              <w:pageBreakBefore w:val="0"/>
              <w:widowControl w:val="0"/>
              <w:kinsoku/>
              <w:wordWrap/>
              <w:overflowPunct/>
              <w:topLinePunct w:val="0"/>
              <w:autoSpaceDE/>
              <w:autoSpaceDN/>
              <w:bidi w:val="0"/>
              <w:adjustRightInd/>
              <w:snapToGrid/>
              <w:spacing w:after="120" w:line="276" w:lineRule="auto"/>
              <w:ind w:firstLine="420" w:firstLineChars="200"/>
              <w:textAlignment w:val="auto"/>
              <w:rPr>
                <w:rFonts w:asciiTheme="minorEastAsia" w:hAnsiTheme="minorEastAsia"/>
              </w:rPr>
            </w:pPr>
            <w:r>
              <w:rPr>
                <w:rFonts w:asciiTheme="minorEastAsia" w:hAnsiTheme="minorEastAsia"/>
              </w:rPr>
              <w:t>（4）地下复杂空间方面，公司卫星拒止空间具身智能无人机可应用于地下管线涵洞、综合管廊和电缆隧道等场景，为传统人工难以进入的复杂空间提供新的智能巡检手段。</w:t>
            </w:r>
          </w:p>
          <w:p w14:paraId="6A5D39A1">
            <w:pPr>
              <w:pStyle w:val="3"/>
              <w:keepNext w:val="0"/>
              <w:keepLines w:val="0"/>
              <w:pageBreakBefore w:val="0"/>
              <w:widowControl w:val="0"/>
              <w:numPr>
                <w:ilvl w:val="255"/>
                <w:numId w:val="0"/>
              </w:numPr>
              <w:kinsoku/>
              <w:wordWrap/>
              <w:overflowPunct/>
              <w:topLinePunct w:val="0"/>
              <w:autoSpaceDE/>
              <w:autoSpaceDN/>
              <w:bidi w:val="0"/>
              <w:adjustRightInd/>
              <w:snapToGrid/>
              <w:spacing w:after="120" w:line="276" w:lineRule="auto"/>
              <w:ind w:firstLine="420" w:firstLineChars="200"/>
              <w:jc w:val="left"/>
              <w:textAlignment w:val="auto"/>
              <w:rPr>
                <w:rFonts w:cs="宋体" w:asciiTheme="minorEastAsia" w:hAnsiTheme="minorEastAsia"/>
              </w:rPr>
            </w:pPr>
            <w:r>
              <w:rPr>
                <w:rFonts w:asciiTheme="minorEastAsia" w:hAnsiTheme="minorEastAsia"/>
              </w:rPr>
              <w:t>面向未来，公司将以电力业务夯实基本盘，</w:t>
            </w:r>
            <w:r>
              <w:rPr>
                <w:rFonts w:hint="eastAsia" w:asciiTheme="minorEastAsia" w:hAnsiTheme="minorEastAsia"/>
              </w:rPr>
              <w:t>将</w:t>
            </w:r>
            <w:r>
              <w:rPr>
                <w:rFonts w:asciiTheme="minorEastAsia" w:hAnsiTheme="minorEastAsia"/>
              </w:rPr>
              <w:t>水利</w:t>
            </w:r>
            <w:r>
              <w:rPr>
                <w:rFonts w:hint="eastAsia" w:asciiTheme="minorEastAsia" w:hAnsiTheme="minorEastAsia"/>
              </w:rPr>
              <w:t>、</w:t>
            </w:r>
            <w:r>
              <w:rPr>
                <w:rFonts w:asciiTheme="minorEastAsia" w:hAnsiTheme="minorEastAsia"/>
              </w:rPr>
              <w:t>轨道交通</w:t>
            </w:r>
            <w:r>
              <w:rPr>
                <w:rFonts w:hint="eastAsia" w:asciiTheme="minorEastAsia" w:hAnsiTheme="minorEastAsia"/>
              </w:rPr>
              <w:t>、新能源、地质灾害监测等业务板块逐渐发展成</w:t>
            </w:r>
            <w:r>
              <w:rPr>
                <w:rFonts w:asciiTheme="minorEastAsia" w:hAnsiTheme="minorEastAsia"/>
              </w:rPr>
              <w:t>重要的业务支撑，以</w:t>
            </w:r>
            <w:r>
              <w:rPr>
                <w:rFonts w:hint="eastAsia" w:asciiTheme="minorEastAsia" w:hAnsiTheme="minorEastAsia"/>
              </w:rPr>
              <w:t>智能感知终端、具身智能无人机、工业大模型</w:t>
            </w:r>
            <w:r>
              <w:rPr>
                <w:rFonts w:asciiTheme="minorEastAsia" w:hAnsiTheme="minorEastAsia"/>
              </w:rPr>
              <w:t>等产品打开新的场景空间，并通过产业协同补充上游核心技术能力，进一步提升“人工智能+行业”的商业化落地能力</w:t>
            </w:r>
            <w:r>
              <w:rPr>
                <w:rFonts w:hint="eastAsia" w:cs="宋体" w:asciiTheme="minorEastAsia" w:hAnsiTheme="minorEastAsia"/>
              </w:rPr>
              <w:t>。</w:t>
            </w:r>
          </w:p>
          <w:p w14:paraId="77BC7171">
            <w:pPr>
              <w:pStyle w:val="3"/>
              <w:keepNext w:val="0"/>
              <w:keepLines w:val="0"/>
              <w:pageBreakBefore w:val="0"/>
              <w:widowControl w:val="0"/>
              <w:numPr>
                <w:ilvl w:val="255"/>
                <w:numId w:val="0"/>
              </w:numPr>
              <w:kinsoku/>
              <w:wordWrap/>
              <w:overflowPunct/>
              <w:topLinePunct w:val="0"/>
              <w:autoSpaceDE/>
              <w:autoSpaceDN/>
              <w:bidi w:val="0"/>
              <w:adjustRightInd/>
              <w:snapToGrid/>
              <w:spacing w:after="120" w:line="276" w:lineRule="auto"/>
              <w:ind w:firstLine="422" w:firstLineChars="200"/>
              <w:jc w:val="left"/>
              <w:textAlignment w:val="auto"/>
              <w:rPr>
                <w:rFonts w:cs="宋体" w:asciiTheme="minorEastAsia" w:hAnsiTheme="minorEastAsia"/>
                <w:b/>
                <w:bCs/>
              </w:rPr>
            </w:pPr>
            <w:r>
              <w:rPr>
                <w:rFonts w:hint="eastAsia" w:cs="宋体" w:asciiTheme="minorEastAsia" w:hAnsiTheme="minorEastAsia"/>
                <w:b/>
                <w:bCs/>
              </w:rPr>
              <w:t>2、电力业务作为公司的基本盘，未来的增长空间主要来自哪些方面？</w:t>
            </w:r>
          </w:p>
          <w:p w14:paraId="568D2955">
            <w:pPr>
              <w:keepNext w:val="0"/>
              <w:keepLines w:val="0"/>
              <w:pageBreakBefore w:val="0"/>
              <w:widowControl w:val="0"/>
              <w:kinsoku/>
              <w:wordWrap/>
              <w:overflowPunct/>
              <w:topLinePunct w:val="0"/>
              <w:autoSpaceDE/>
              <w:autoSpaceDN/>
              <w:bidi w:val="0"/>
              <w:adjustRightInd/>
              <w:snapToGrid/>
              <w:spacing w:after="120" w:line="276" w:lineRule="auto"/>
              <w:ind w:firstLine="420" w:firstLineChars="200"/>
              <w:textAlignment w:val="auto"/>
              <w:rPr>
                <w:rFonts w:asciiTheme="minorEastAsia" w:hAnsiTheme="minorEastAsia"/>
              </w:rPr>
            </w:pPr>
            <w:r>
              <w:rPr>
                <w:rFonts w:asciiTheme="minorEastAsia" w:hAnsiTheme="minorEastAsia"/>
              </w:rPr>
              <w:t>答：电力是公司事业起步的地方，也是核心能力形成的重要基础。公司是国内较早将人工智能技术应用于输电线路智能运维的企业之一，自</w:t>
            </w:r>
            <w:r>
              <w:rPr>
                <w:rFonts w:ascii="Times New Roman" w:hAnsi="Times New Roman" w:cs="Times New Roman"/>
              </w:rPr>
              <w:t>2017</w:t>
            </w:r>
            <w:r>
              <w:rPr>
                <w:rFonts w:asciiTheme="minorEastAsia" w:hAnsiTheme="minorEastAsia"/>
              </w:rPr>
              <w:t>年起持续推动人工智能算法在电力场景落地，在输电可视化、智能分析和智能终端等方面形成了较深积累。</w:t>
            </w:r>
          </w:p>
          <w:p w14:paraId="1B15730E">
            <w:pPr>
              <w:keepNext w:val="0"/>
              <w:keepLines w:val="0"/>
              <w:pageBreakBefore w:val="0"/>
              <w:widowControl w:val="0"/>
              <w:kinsoku/>
              <w:wordWrap/>
              <w:overflowPunct/>
              <w:topLinePunct w:val="0"/>
              <w:autoSpaceDE/>
              <w:autoSpaceDN/>
              <w:bidi w:val="0"/>
              <w:adjustRightInd/>
              <w:snapToGrid/>
              <w:spacing w:after="120" w:line="276" w:lineRule="auto"/>
              <w:ind w:firstLine="420" w:firstLineChars="200"/>
              <w:textAlignment w:val="auto"/>
              <w:rPr>
                <w:rFonts w:asciiTheme="minorEastAsia" w:hAnsiTheme="minorEastAsia"/>
              </w:rPr>
            </w:pPr>
            <w:r>
              <w:rPr>
                <w:rFonts w:asciiTheme="minorEastAsia" w:hAnsiTheme="minorEastAsia"/>
              </w:rPr>
              <w:t>“十五五”期间我国新型电网投资预计将超过</w:t>
            </w:r>
            <w:r>
              <w:rPr>
                <w:rFonts w:ascii="Times New Roman" w:hAnsi="Times New Roman" w:cs="Times New Roman"/>
              </w:rPr>
              <w:t>5</w:t>
            </w:r>
            <w:r>
              <w:rPr>
                <w:rFonts w:asciiTheme="minorEastAsia" w:hAnsiTheme="minorEastAsia"/>
              </w:rPr>
              <w:t>万亿元</w:t>
            </w:r>
            <w:r>
              <w:rPr>
                <w:rFonts w:hint="eastAsia" w:asciiTheme="minorEastAsia" w:hAnsiTheme="minorEastAsia"/>
              </w:rPr>
              <w:t>，</w:t>
            </w:r>
            <w:r>
              <w:rPr>
                <w:rFonts w:asciiTheme="minorEastAsia" w:hAnsiTheme="minorEastAsia"/>
              </w:rPr>
              <w:t>随着新型电力系统建设、新能源大规模接入、源网荷储协同以及极端天气防范需求持续提升，电网运维正加快向数字化、智能化转型。智能设备和算法能够持续感知线路及周边环境变化、主动识别并推送风险，推动运维管理从“人找问题”向“问题找人”转变。</w:t>
            </w:r>
          </w:p>
          <w:p w14:paraId="5D41C561">
            <w:pPr>
              <w:pStyle w:val="3"/>
              <w:keepNext w:val="0"/>
              <w:keepLines w:val="0"/>
              <w:pageBreakBefore w:val="0"/>
              <w:widowControl w:val="0"/>
              <w:numPr>
                <w:ilvl w:val="255"/>
                <w:numId w:val="0"/>
              </w:numPr>
              <w:kinsoku/>
              <w:wordWrap/>
              <w:overflowPunct/>
              <w:topLinePunct w:val="0"/>
              <w:autoSpaceDE/>
              <w:autoSpaceDN/>
              <w:bidi w:val="0"/>
              <w:adjustRightInd/>
              <w:snapToGrid/>
              <w:spacing w:after="120" w:line="276" w:lineRule="auto"/>
              <w:ind w:firstLine="420" w:firstLineChars="200"/>
              <w:jc w:val="left"/>
              <w:textAlignment w:val="auto"/>
              <w:rPr>
                <w:rFonts w:cs="宋体" w:asciiTheme="minorEastAsia" w:hAnsiTheme="minorEastAsia"/>
              </w:rPr>
            </w:pPr>
            <w:r>
              <w:rPr>
                <w:rFonts w:asciiTheme="minorEastAsia" w:hAnsiTheme="minorEastAsia"/>
              </w:rPr>
              <w:t>公司认为，随着既有设备和系统持续更新升级，以及输电、变电、配电、新能源和地下电力设施等新场景不断拓展，相关市场需求有望进一步释放。公司将持续巩固既有优势，结合新一代感知技术、无人机和具身智能，推动能力由运行检修和智能巡视进一步向设备状态分析、辅助决策等方向延伸，持续夯实电力业务的技术基础和竞争优势</w:t>
            </w:r>
            <w:r>
              <w:rPr>
                <w:rFonts w:hint="eastAsia" w:cs="宋体" w:asciiTheme="minorEastAsia" w:hAnsiTheme="minorEastAsia"/>
              </w:rPr>
              <w:t>。</w:t>
            </w:r>
          </w:p>
          <w:p w14:paraId="2F60BE62">
            <w:pPr>
              <w:pStyle w:val="3"/>
              <w:keepNext w:val="0"/>
              <w:keepLines w:val="0"/>
              <w:pageBreakBefore w:val="0"/>
              <w:widowControl w:val="0"/>
              <w:numPr>
                <w:ilvl w:val="255"/>
                <w:numId w:val="0"/>
              </w:numPr>
              <w:kinsoku/>
              <w:wordWrap/>
              <w:overflowPunct/>
              <w:topLinePunct w:val="0"/>
              <w:autoSpaceDE/>
              <w:autoSpaceDN/>
              <w:bidi w:val="0"/>
              <w:adjustRightInd/>
              <w:snapToGrid/>
              <w:spacing w:after="120" w:line="276" w:lineRule="auto"/>
              <w:ind w:firstLine="422" w:firstLineChars="200"/>
              <w:jc w:val="left"/>
              <w:textAlignment w:val="auto"/>
              <w:rPr>
                <w:rFonts w:cs="宋体" w:asciiTheme="minorEastAsia" w:hAnsiTheme="minorEastAsia"/>
              </w:rPr>
            </w:pPr>
            <w:r>
              <w:rPr>
                <w:rFonts w:hint="eastAsia" w:cs="宋体" w:asciiTheme="minorEastAsia" w:hAnsiTheme="minorEastAsia"/>
                <w:b/>
                <w:bCs/>
              </w:rPr>
              <w:t>3、公司水利、轨道交通等新业务目前取得了哪些进展？</w:t>
            </w:r>
          </w:p>
          <w:p w14:paraId="1017C04F">
            <w:pPr>
              <w:keepNext w:val="0"/>
              <w:keepLines w:val="0"/>
              <w:pageBreakBefore w:val="0"/>
              <w:widowControl w:val="0"/>
              <w:kinsoku/>
              <w:wordWrap/>
              <w:overflowPunct/>
              <w:topLinePunct w:val="0"/>
              <w:autoSpaceDE/>
              <w:autoSpaceDN/>
              <w:bidi w:val="0"/>
              <w:adjustRightInd/>
              <w:snapToGrid/>
              <w:spacing w:after="120" w:line="276" w:lineRule="auto"/>
              <w:ind w:firstLine="420" w:firstLineChars="200"/>
              <w:textAlignment w:val="auto"/>
              <w:rPr>
                <w:rFonts w:asciiTheme="minorEastAsia" w:hAnsiTheme="minorEastAsia"/>
              </w:rPr>
            </w:pPr>
            <w:r>
              <w:rPr>
                <w:rFonts w:asciiTheme="minorEastAsia" w:hAnsiTheme="minorEastAsia"/>
              </w:rPr>
              <w:t>答：公司将电力行业形成的场景理解、产品研发、工程化验证和商业化应用能力逐步复制复制到水利、轨道交通等行业。公司自</w:t>
            </w:r>
            <w:r>
              <w:rPr>
                <w:rFonts w:ascii="Times New Roman" w:hAnsi="Times New Roman" w:cs="Times New Roman"/>
              </w:rPr>
              <w:t>2021</w:t>
            </w:r>
            <w:r>
              <w:rPr>
                <w:rFonts w:asciiTheme="minorEastAsia" w:hAnsiTheme="minorEastAsia"/>
              </w:rPr>
              <w:t>年开始重点培育相关业务，经过多年持续投入，水利和轨道交通已形成较为丰富的产品布局和扎实的业务基础。</w:t>
            </w:r>
          </w:p>
          <w:p w14:paraId="18705615">
            <w:pPr>
              <w:keepNext w:val="0"/>
              <w:keepLines w:val="0"/>
              <w:pageBreakBefore w:val="0"/>
              <w:widowControl w:val="0"/>
              <w:kinsoku/>
              <w:wordWrap/>
              <w:overflowPunct/>
              <w:topLinePunct w:val="0"/>
              <w:autoSpaceDE/>
              <w:autoSpaceDN/>
              <w:bidi w:val="0"/>
              <w:adjustRightInd/>
              <w:snapToGrid/>
              <w:spacing w:after="120" w:line="276" w:lineRule="auto"/>
              <w:ind w:firstLine="420" w:firstLineChars="200"/>
              <w:textAlignment w:val="auto"/>
              <w:rPr>
                <w:rFonts w:asciiTheme="minorEastAsia" w:hAnsiTheme="minorEastAsia"/>
              </w:rPr>
            </w:pPr>
            <w:r>
              <w:rPr>
                <w:rFonts w:asciiTheme="minorEastAsia" w:hAnsiTheme="minorEastAsia"/>
              </w:rPr>
              <w:t>（1）水利领域。</w:t>
            </w:r>
            <w:r>
              <w:rPr>
                <w:rFonts w:ascii="Times New Roman" w:hAnsi="Times New Roman" w:cs="Times New Roman"/>
              </w:rPr>
              <w:t>2025</w:t>
            </w:r>
            <w:r>
              <w:rPr>
                <w:rFonts w:asciiTheme="minorEastAsia" w:hAnsiTheme="minorEastAsia"/>
              </w:rPr>
              <w:t>年全国水利建设投资达到</w:t>
            </w:r>
            <w:r>
              <w:rPr>
                <w:rFonts w:ascii="Times New Roman" w:hAnsi="Times New Roman" w:cs="Times New Roman"/>
              </w:rPr>
              <w:t>1.28</w:t>
            </w:r>
            <w:r>
              <w:rPr>
                <w:rFonts w:asciiTheme="minorEastAsia" w:hAnsiTheme="minorEastAsia"/>
              </w:rPr>
              <w:t>万亿元，连续四年保持在万亿元以上。公司围绕江河湖库、水文监测、防洪防汛、水资源管理和水利工程运行管理，运用人工智能、数字孪生和天空地水工一体化感知等技术，为风险预警、防洪调度和工程管理提供支撑。公司自主研发的农村供水数字孪生系统入选《全国农村供水工程数字孪生典型案例》；联合申报的“无人机智慧测流与巡河技术一站式应用”入选水利部</w:t>
            </w:r>
            <w:r>
              <w:rPr>
                <w:rFonts w:ascii="Times New Roman" w:hAnsi="Times New Roman" w:cs="Times New Roman"/>
              </w:rPr>
              <w:t>2025</w:t>
            </w:r>
            <w:r>
              <w:rPr>
                <w:rFonts w:asciiTheme="minorEastAsia" w:hAnsiTheme="minorEastAsia"/>
              </w:rPr>
              <w:t>年度成熟适用水利科技成果推广清单；公司还助力小浪底管理中心完成小浪底和西霞院水利枢纽首个无人机自主巡检系统建设并投入运行。公司参与的现代化水库运行管理矩阵被多个省级水利主管部门列为数字化建设典型经验。随着国家水网建设、防洪减灾和水利工程数字化管理不断推进，水利业务正在成为公司重要的业务支撑。</w:t>
            </w:r>
          </w:p>
          <w:p w14:paraId="13D74DB5">
            <w:pPr>
              <w:keepNext w:val="0"/>
              <w:keepLines w:val="0"/>
              <w:pageBreakBefore w:val="0"/>
              <w:widowControl w:val="0"/>
              <w:kinsoku/>
              <w:wordWrap/>
              <w:overflowPunct/>
              <w:topLinePunct w:val="0"/>
              <w:autoSpaceDE/>
              <w:autoSpaceDN/>
              <w:bidi w:val="0"/>
              <w:adjustRightInd/>
              <w:snapToGrid/>
              <w:spacing w:after="120" w:line="276" w:lineRule="auto"/>
              <w:ind w:firstLine="420" w:firstLineChars="200"/>
              <w:textAlignment w:val="auto"/>
              <w:rPr>
                <w:rFonts w:asciiTheme="minorEastAsia" w:hAnsiTheme="minorEastAsia"/>
              </w:rPr>
            </w:pPr>
            <w:r>
              <w:rPr>
                <w:rFonts w:asciiTheme="minorEastAsia" w:hAnsiTheme="minorEastAsia"/>
              </w:rPr>
              <w:t>（2）轨道交通领域。</w:t>
            </w:r>
            <w:r>
              <w:rPr>
                <w:rFonts w:ascii="Times New Roman" w:hAnsi="Times New Roman" w:cs="Times New Roman"/>
              </w:rPr>
              <w:t>2025</w:t>
            </w:r>
            <w:r>
              <w:rPr>
                <w:rFonts w:asciiTheme="minorEastAsia" w:hAnsiTheme="minorEastAsia"/>
              </w:rPr>
              <w:t>年全国铁路固定资产投资达到</w:t>
            </w:r>
            <w:r>
              <w:rPr>
                <w:rFonts w:ascii="Times New Roman" w:hAnsi="Times New Roman" w:cs="Times New Roman"/>
              </w:rPr>
              <w:t>9,015</w:t>
            </w:r>
            <w:r>
              <w:rPr>
                <w:rFonts w:asciiTheme="minorEastAsia" w:hAnsiTheme="minorEastAsia"/>
              </w:rPr>
              <w:t>亿元，创历史新高。公司围绕铁路沿线环境安全、自然灾害防范以及桥梁、隧道等基础设施巡检，持续完善“轨道交通智能巡防监测系统”和相关产品矩阵。公司技术方案已在北京、广州、昆明等十余个铁路局的高速铁路线路巡防场景，以及南宁、沈阳、乌鲁木齐等十余个铁路局的普速铁路核心防洪场景实现工程化应用。由智洋慧通主导的“铁路线路安全环境</w:t>
            </w:r>
            <w:r>
              <w:rPr>
                <w:rFonts w:ascii="Times New Roman" w:hAnsi="Times New Roman" w:cs="Times New Roman"/>
              </w:rPr>
              <w:t>AI</w:t>
            </w:r>
            <w:r>
              <w:rPr>
                <w:rFonts w:asciiTheme="minorEastAsia" w:hAnsiTheme="minorEastAsia"/>
              </w:rPr>
              <w:t>智能感知关键技术研究与应用”项目通过中国交通运输协会项目成果评价，达到国际领先水平；公司无人机方案也已在铁路桥梁受限空间场景率先实现工程化应用。</w:t>
            </w:r>
          </w:p>
          <w:p w14:paraId="5AA66C3E">
            <w:pPr>
              <w:pStyle w:val="3"/>
              <w:keepNext w:val="0"/>
              <w:keepLines w:val="0"/>
              <w:pageBreakBefore w:val="0"/>
              <w:widowControl w:val="0"/>
              <w:numPr>
                <w:ilvl w:val="255"/>
                <w:numId w:val="0"/>
              </w:numPr>
              <w:kinsoku/>
              <w:wordWrap/>
              <w:overflowPunct/>
              <w:topLinePunct w:val="0"/>
              <w:autoSpaceDE/>
              <w:autoSpaceDN/>
              <w:bidi w:val="0"/>
              <w:adjustRightInd/>
              <w:snapToGrid/>
              <w:spacing w:after="120" w:line="276" w:lineRule="auto"/>
              <w:ind w:firstLine="420" w:firstLineChars="200"/>
              <w:jc w:val="left"/>
              <w:textAlignment w:val="auto"/>
              <w:rPr>
                <w:rFonts w:cs="宋体" w:asciiTheme="minorEastAsia" w:hAnsiTheme="minorEastAsia"/>
              </w:rPr>
            </w:pPr>
            <w:r>
              <w:rPr>
                <w:rFonts w:asciiTheme="minorEastAsia" w:hAnsiTheme="minorEastAsia"/>
              </w:rPr>
              <w:t>从线路安全环境监测到基础设施检测，从智能感知到有限空间无人机，公司在水利、轨道交通领域积累的技术、产品和项目经验正在加快沉淀为可复制、可推广的标准化能力，为相关业务持续发展奠定基础</w:t>
            </w:r>
            <w:r>
              <w:rPr>
                <w:rFonts w:hint="eastAsia" w:cs="宋体" w:asciiTheme="minorEastAsia" w:hAnsiTheme="minorEastAsia"/>
              </w:rPr>
              <w:t>。</w:t>
            </w:r>
          </w:p>
          <w:p w14:paraId="52B4C155">
            <w:pPr>
              <w:pStyle w:val="3"/>
              <w:keepNext w:val="0"/>
              <w:keepLines w:val="0"/>
              <w:pageBreakBefore w:val="0"/>
              <w:widowControl w:val="0"/>
              <w:numPr>
                <w:ilvl w:val="255"/>
                <w:numId w:val="0"/>
              </w:numPr>
              <w:kinsoku/>
              <w:wordWrap/>
              <w:overflowPunct/>
              <w:topLinePunct w:val="0"/>
              <w:autoSpaceDE/>
              <w:autoSpaceDN/>
              <w:bidi w:val="0"/>
              <w:adjustRightInd/>
              <w:snapToGrid/>
              <w:spacing w:after="120" w:line="276" w:lineRule="auto"/>
              <w:ind w:firstLine="422" w:firstLineChars="200"/>
              <w:jc w:val="left"/>
              <w:textAlignment w:val="auto"/>
              <w:rPr>
                <w:rFonts w:cs="宋体" w:asciiTheme="minorEastAsia" w:hAnsiTheme="minorEastAsia"/>
                <w:b/>
                <w:bCs/>
              </w:rPr>
            </w:pPr>
            <w:r>
              <w:rPr>
                <w:rFonts w:hint="eastAsia" w:cs="宋体" w:asciiTheme="minorEastAsia" w:hAnsiTheme="minorEastAsia"/>
                <w:b/>
                <w:bCs/>
              </w:rPr>
              <w:t>4、公司在具身智能无人机及地质灾害监测产品方面有哪些布局？</w:t>
            </w:r>
          </w:p>
          <w:p w14:paraId="02F96216">
            <w:pPr>
              <w:keepNext w:val="0"/>
              <w:keepLines w:val="0"/>
              <w:pageBreakBefore w:val="0"/>
              <w:widowControl w:val="0"/>
              <w:kinsoku/>
              <w:wordWrap/>
              <w:overflowPunct/>
              <w:topLinePunct w:val="0"/>
              <w:autoSpaceDE/>
              <w:autoSpaceDN/>
              <w:bidi w:val="0"/>
              <w:adjustRightInd/>
              <w:snapToGrid/>
              <w:spacing w:after="120" w:line="276" w:lineRule="auto"/>
              <w:ind w:firstLine="420" w:firstLineChars="200"/>
              <w:textAlignment w:val="auto"/>
              <w:rPr>
                <w:rFonts w:asciiTheme="minorEastAsia" w:hAnsiTheme="minorEastAsia"/>
              </w:rPr>
            </w:pPr>
            <w:r>
              <w:rPr>
                <w:rFonts w:asciiTheme="minorEastAsia" w:hAnsiTheme="minorEastAsia"/>
              </w:rPr>
              <w:t>答：在持续深耕电力、水利和轨道交通等行业的同时，公司也围绕复杂工业环境和重大灾害风险中的共性难题，培育具有跨行业推广潜力的新产品形态。星隼和汛察是公司在具身智能、智能感知和风险预警方向的重要产品布局。</w:t>
            </w:r>
          </w:p>
          <w:p w14:paraId="38986309">
            <w:pPr>
              <w:pStyle w:val="3"/>
              <w:keepNext w:val="0"/>
              <w:keepLines w:val="0"/>
              <w:pageBreakBefore w:val="0"/>
              <w:widowControl w:val="0"/>
              <w:numPr>
                <w:ilvl w:val="255"/>
                <w:numId w:val="0"/>
              </w:numPr>
              <w:kinsoku/>
              <w:wordWrap/>
              <w:overflowPunct/>
              <w:topLinePunct w:val="0"/>
              <w:autoSpaceDE/>
              <w:autoSpaceDN/>
              <w:bidi w:val="0"/>
              <w:adjustRightInd/>
              <w:snapToGrid/>
              <w:spacing w:after="120" w:line="276" w:lineRule="auto"/>
              <w:ind w:firstLine="420" w:firstLineChars="200"/>
              <w:jc w:val="left"/>
              <w:textAlignment w:val="auto"/>
              <w:rPr>
                <w:rFonts w:asciiTheme="minorEastAsia" w:hAnsiTheme="minorEastAsia"/>
              </w:rPr>
            </w:pPr>
            <w:r>
              <w:rPr>
                <w:rFonts w:hint="eastAsia" w:asciiTheme="minorEastAsia" w:hAnsiTheme="minorEastAsia"/>
              </w:rPr>
              <w:t>（1）“智洋星隼</w:t>
            </w:r>
            <w:r>
              <w:rPr>
                <w:rFonts w:hint="eastAsia" w:asciiTheme="minorEastAsia" w:hAnsiTheme="minorEastAsia"/>
                <w:lang w:eastAsia="zh-CN"/>
              </w:rPr>
              <w:t>”</w:t>
            </w:r>
            <w:r>
              <w:rPr>
                <w:rFonts w:hint="eastAsia" w:asciiTheme="minorEastAsia" w:hAnsiTheme="minorEastAsia"/>
              </w:rPr>
              <w:t>有限空间具身智能无人机。桥梁底部、交通隧道、室内变电站、地下矿洞、管廊等场景，普遍面临卫星导航信号缺失、作业空间局促、光照条件恶劣、构筑物结构复杂等作业难点。公司推出的“智洋星隼”有限空间具身智能无人机，依托多源传感融合导航与定位、动态智能路径规划、全域三维环境感知等核心技术，可在封闭受限空间内实现自主飞行、精细化巡检与高精度测绘作业，替代人工进入高危区域等传统作业模式，显著提升工业检测、测绘和巡检的作业效率与安全水平。</w:t>
            </w:r>
          </w:p>
          <w:p w14:paraId="066F8ECC">
            <w:pPr>
              <w:pStyle w:val="3"/>
              <w:keepNext w:val="0"/>
              <w:keepLines w:val="0"/>
              <w:pageBreakBefore w:val="0"/>
              <w:widowControl w:val="0"/>
              <w:numPr>
                <w:ilvl w:val="255"/>
                <w:numId w:val="0"/>
              </w:numPr>
              <w:kinsoku/>
              <w:wordWrap/>
              <w:overflowPunct/>
              <w:topLinePunct w:val="0"/>
              <w:autoSpaceDE/>
              <w:autoSpaceDN/>
              <w:bidi w:val="0"/>
              <w:adjustRightInd/>
              <w:snapToGrid/>
              <w:spacing w:after="120" w:line="276" w:lineRule="auto"/>
              <w:ind w:firstLine="420" w:firstLineChars="200"/>
              <w:jc w:val="left"/>
              <w:textAlignment w:val="auto"/>
              <w:rPr>
                <w:rFonts w:hint="eastAsia" w:asciiTheme="minorEastAsia" w:hAnsiTheme="minorEastAsia" w:eastAsiaTheme="minorEastAsia"/>
                <w:lang w:eastAsia="zh-CN"/>
              </w:rPr>
            </w:pPr>
            <w:r>
              <w:rPr>
                <w:rFonts w:hint="eastAsia" w:asciiTheme="minorEastAsia" w:hAnsiTheme="minorEastAsia"/>
              </w:rPr>
              <w:t>目前，该产品解决方案已在桥梁受限空间场景完成工程化落地；公司正持续推进产品迭代与升级，加快向电力、矿山、火电、城市水务等多元行业场景的适配与拓展。“智洋星隼”有限空间具身智能无人机突破了复杂工业场景下</w:t>
            </w:r>
            <w:r>
              <w:rPr>
                <w:rFonts w:ascii="Times New Roman" w:hAnsi="Times New Roman" w:cs="Times New Roman"/>
              </w:rPr>
              <w:t>AI</w:t>
            </w:r>
            <w:r>
              <w:rPr>
                <w:rFonts w:hint="eastAsia" w:asciiTheme="minorEastAsia" w:hAnsiTheme="minorEastAsia"/>
              </w:rPr>
              <w:t>自主感知与作业的技术瓶颈，是公司深耕具身智能赛道、赋能工业场景智能化升级的核心产品载体</w:t>
            </w:r>
            <w:r>
              <w:rPr>
                <w:rFonts w:hint="eastAsia" w:asciiTheme="minorEastAsia" w:hAnsiTheme="minorEastAsia"/>
                <w:lang w:eastAsia="zh-CN"/>
              </w:rPr>
              <w:t>。</w:t>
            </w:r>
          </w:p>
          <w:p w14:paraId="6F19FA2F">
            <w:pPr>
              <w:pStyle w:val="3"/>
              <w:keepNext w:val="0"/>
              <w:keepLines w:val="0"/>
              <w:pageBreakBefore w:val="0"/>
              <w:widowControl w:val="0"/>
              <w:numPr>
                <w:ilvl w:val="255"/>
                <w:numId w:val="0"/>
              </w:numPr>
              <w:kinsoku/>
              <w:wordWrap/>
              <w:overflowPunct/>
              <w:topLinePunct w:val="0"/>
              <w:autoSpaceDE/>
              <w:autoSpaceDN/>
              <w:bidi w:val="0"/>
              <w:adjustRightInd/>
              <w:snapToGrid/>
              <w:spacing w:after="120" w:line="276" w:lineRule="auto"/>
              <w:ind w:firstLine="420" w:firstLineChars="200"/>
              <w:jc w:val="left"/>
              <w:textAlignment w:val="auto"/>
              <w:rPr>
                <w:rFonts w:asciiTheme="minorEastAsia" w:hAnsiTheme="minorEastAsia"/>
              </w:rPr>
            </w:pPr>
            <w:r>
              <w:rPr>
                <w:rFonts w:hint="eastAsia" w:asciiTheme="minorEastAsia" w:hAnsiTheme="minorEastAsia"/>
              </w:rPr>
              <w:t>（2）</w:t>
            </w:r>
            <w:r>
              <w:rPr>
                <w:rFonts w:asciiTheme="minorEastAsia" w:hAnsiTheme="minorEastAsia"/>
              </w:rPr>
              <w:t>汛察地质安全监测产品。面对强降雨条件下山洪、泥石流、边坡落石和危岩崩塌等灾害风险，公司围绕地质</w:t>
            </w:r>
            <w:r>
              <w:rPr>
                <w:rFonts w:hint="eastAsia" w:asciiTheme="minorEastAsia" w:hAnsiTheme="minorEastAsia"/>
              </w:rPr>
              <w:t>安全</w:t>
            </w:r>
            <w:r>
              <w:rPr>
                <w:rFonts w:asciiTheme="minorEastAsia" w:hAnsiTheme="minorEastAsia"/>
              </w:rPr>
              <w:t>监测需求开展产品研发，依托机器视觉、双光谱感知、雷达与视觉融合、</w:t>
            </w:r>
            <w:r>
              <w:rPr>
                <w:rFonts w:ascii="Times New Roman" w:hAnsi="Times New Roman" w:cs="Times New Roman"/>
              </w:rPr>
              <w:t>AI</w:t>
            </w:r>
            <w:r>
              <w:rPr>
                <w:rFonts w:asciiTheme="minorEastAsia" w:hAnsiTheme="minorEastAsia"/>
              </w:rPr>
              <w:t>边缘计算等技术，形成汛察</w:t>
            </w:r>
            <w:r>
              <w:rPr>
                <w:rFonts w:ascii="Times New Roman" w:hAnsi="Times New Roman" w:cs="Times New Roman"/>
              </w:rPr>
              <w:t>X1、X2</w:t>
            </w:r>
            <w:r>
              <w:rPr>
                <w:rFonts w:asciiTheme="minorEastAsia" w:hAnsiTheme="minorEastAsia"/>
              </w:rPr>
              <w:t>等系列智能监测终端和解决方案。产品能够在高山峡谷、高海拔及通信条件受限等复杂环境下开展全天候智能监测，将风险识别和研判进一步前移。相关产品已在西藏、云南、四川等地开展试点应用，并成功捕捉多起隐患，产品能力和实际应用效果正在得到验证。</w:t>
            </w:r>
          </w:p>
          <w:p w14:paraId="0A08F860">
            <w:pPr>
              <w:pStyle w:val="3"/>
              <w:keepNext w:val="0"/>
              <w:keepLines w:val="0"/>
              <w:pageBreakBefore w:val="0"/>
              <w:widowControl w:val="0"/>
              <w:numPr>
                <w:ilvl w:val="255"/>
                <w:numId w:val="0"/>
              </w:numPr>
              <w:kinsoku/>
              <w:wordWrap/>
              <w:overflowPunct/>
              <w:topLinePunct w:val="0"/>
              <w:autoSpaceDE/>
              <w:autoSpaceDN/>
              <w:bidi w:val="0"/>
              <w:adjustRightInd/>
              <w:snapToGrid/>
              <w:spacing w:after="120" w:line="276" w:lineRule="auto"/>
              <w:ind w:firstLine="420" w:firstLineChars="200"/>
              <w:jc w:val="left"/>
              <w:textAlignment w:val="auto"/>
              <w:rPr>
                <w:rFonts w:cs="宋体" w:asciiTheme="minorEastAsia" w:hAnsiTheme="minorEastAsia"/>
              </w:rPr>
            </w:pPr>
            <w:r>
              <w:rPr>
                <w:rFonts w:asciiTheme="minorEastAsia" w:hAnsiTheme="minorEastAsia"/>
              </w:rPr>
              <w:t>公司将持续完善星隼、汛察等产品，积累应用案例，拓展行业场景，推动智能巡检和灾害监测从单点项目实践逐步走向更加标准化、产品化的应用，为基础设施安全运行和人民生命财产安全提供技术支撑</w:t>
            </w:r>
            <w:r>
              <w:rPr>
                <w:rFonts w:hint="eastAsia" w:cs="宋体" w:asciiTheme="minorEastAsia" w:hAnsiTheme="minorEastAsia"/>
              </w:rPr>
              <w:t>。</w:t>
            </w:r>
          </w:p>
          <w:p w14:paraId="51EA2CB8">
            <w:pPr>
              <w:pStyle w:val="3"/>
              <w:keepNext w:val="0"/>
              <w:keepLines w:val="0"/>
              <w:pageBreakBefore w:val="0"/>
              <w:widowControl w:val="0"/>
              <w:numPr>
                <w:ilvl w:val="255"/>
                <w:numId w:val="0"/>
              </w:numPr>
              <w:kinsoku/>
              <w:wordWrap/>
              <w:overflowPunct/>
              <w:topLinePunct w:val="0"/>
              <w:autoSpaceDE/>
              <w:autoSpaceDN/>
              <w:bidi w:val="0"/>
              <w:adjustRightInd/>
              <w:snapToGrid/>
              <w:spacing w:after="120" w:line="276" w:lineRule="auto"/>
              <w:ind w:firstLine="422" w:firstLineChars="200"/>
              <w:jc w:val="left"/>
              <w:textAlignment w:val="auto"/>
              <w:rPr>
                <w:rFonts w:cs="宋体" w:asciiTheme="minorEastAsia" w:hAnsiTheme="minorEastAsia"/>
                <w:b/>
                <w:bCs/>
              </w:rPr>
            </w:pPr>
            <w:r>
              <w:rPr>
                <w:rFonts w:hint="eastAsia" w:cs="宋体" w:asciiTheme="minorEastAsia" w:hAnsiTheme="minorEastAsia"/>
                <w:b/>
                <w:bCs/>
              </w:rPr>
              <w:t>5、公司在具身智能产业生态和上游关键能力方面有哪些布局？</w:t>
            </w:r>
          </w:p>
          <w:p w14:paraId="673DEB12">
            <w:pPr>
              <w:keepNext w:val="0"/>
              <w:keepLines w:val="0"/>
              <w:pageBreakBefore w:val="0"/>
              <w:widowControl w:val="0"/>
              <w:kinsoku/>
              <w:wordWrap/>
              <w:overflowPunct/>
              <w:topLinePunct w:val="0"/>
              <w:autoSpaceDE/>
              <w:autoSpaceDN/>
              <w:bidi w:val="0"/>
              <w:adjustRightInd/>
              <w:snapToGrid/>
              <w:spacing w:after="120" w:line="276" w:lineRule="auto"/>
              <w:ind w:firstLine="420" w:firstLineChars="200"/>
              <w:textAlignment w:val="auto"/>
              <w:rPr>
                <w:rFonts w:asciiTheme="minorEastAsia" w:hAnsiTheme="minorEastAsia"/>
              </w:rPr>
            </w:pPr>
            <w:r>
              <w:rPr>
                <w:rFonts w:asciiTheme="minorEastAsia" w:hAnsiTheme="minorEastAsia"/>
              </w:rPr>
              <w:t>答：公司坚持自主研发与产业协同并举，持续拓宽技术边界、补充上游核心能力。公司于</w:t>
            </w:r>
            <w:r>
              <w:rPr>
                <w:rFonts w:ascii="Times New Roman" w:hAnsi="Times New Roman" w:cs="Times New Roman"/>
              </w:rPr>
              <w:t>2025</w:t>
            </w:r>
            <w:r>
              <w:rPr>
                <w:rFonts w:asciiTheme="minorEastAsia" w:hAnsiTheme="minorEastAsia"/>
              </w:rPr>
              <w:t>年</w:t>
            </w:r>
            <w:r>
              <w:rPr>
                <w:rFonts w:ascii="Times New Roman" w:hAnsi="Times New Roman" w:cs="Times New Roman"/>
              </w:rPr>
              <w:t>8</w:t>
            </w:r>
            <w:r>
              <w:rPr>
                <w:rFonts w:asciiTheme="minorEastAsia" w:hAnsiTheme="minorEastAsia"/>
              </w:rPr>
              <w:t>月在深圳设立智洋灵动，发挥珠三角在高端制造、供应链和科研人才方面的集聚优势，重点推进具身智能无人机技术迭代和产品化。</w:t>
            </w:r>
          </w:p>
          <w:p w14:paraId="3388414F">
            <w:pPr>
              <w:pStyle w:val="3"/>
              <w:keepNext w:val="0"/>
              <w:keepLines w:val="0"/>
              <w:pageBreakBefore w:val="0"/>
              <w:widowControl w:val="0"/>
              <w:numPr>
                <w:ilvl w:val="255"/>
                <w:numId w:val="0"/>
              </w:numPr>
              <w:kinsoku/>
              <w:wordWrap/>
              <w:overflowPunct/>
              <w:topLinePunct w:val="0"/>
              <w:autoSpaceDE/>
              <w:autoSpaceDN/>
              <w:bidi w:val="0"/>
              <w:adjustRightInd/>
              <w:snapToGrid/>
              <w:spacing w:after="120" w:line="276" w:lineRule="auto"/>
              <w:ind w:firstLine="420" w:firstLineChars="200"/>
              <w:jc w:val="left"/>
              <w:textAlignment w:val="auto"/>
              <w:rPr>
                <w:rFonts w:ascii="宋体" w:hAnsi="宋体" w:eastAsia="宋体" w:cs="宋体"/>
              </w:rPr>
            </w:pPr>
            <w:r>
              <w:rPr>
                <w:rFonts w:asciiTheme="minorEastAsia" w:hAnsiTheme="minorEastAsia"/>
              </w:rPr>
              <w:t>公司已完成对杭州灵明光子科技有限公司的战略投资，以</w:t>
            </w:r>
            <w:r>
              <w:rPr>
                <w:rFonts w:ascii="Times New Roman" w:hAnsi="Times New Roman" w:cs="Times New Roman"/>
              </w:rPr>
              <w:t>3</w:t>
            </w:r>
            <w:r>
              <w:rPr>
                <w:rFonts w:asciiTheme="minorEastAsia" w:hAnsiTheme="minorEastAsia"/>
              </w:rPr>
              <w:t>亿元认购其新增注册资本，持有其</w:t>
            </w:r>
            <w:r>
              <w:rPr>
                <w:rFonts w:ascii="Times New Roman" w:hAnsi="Times New Roman" w:cs="Times New Roman"/>
              </w:rPr>
              <w:t>9.1463%</w:t>
            </w:r>
            <w:r>
              <w:rPr>
                <w:rFonts w:asciiTheme="minorEastAsia" w:hAnsiTheme="minorEastAsia"/>
              </w:rPr>
              <w:t>的股权。灵明光子在</w:t>
            </w:r>
            <w:r>
              <w:rPr>
                <w:rFonts w:ascii="Times New Roman" w:hAnsi="Times New Roman" w:cs="Times New Roman"/>
              </w:rPr>
              <w:t>SPAD、dToF</w:t>
            </w:r>
            <w:r>
              <w:rPr>
                <w:rFonts w:hint="eastAsia" w:asciiTheme="minorEastAsia" w:hAnsiTheme="minorEastAsia"/>
              </w:rPr>
              <w:t>技术</w:t>
            </w:r>
            <w:r>
              <w:rPr>
                <w:rFonts w:asciiTheme="minorEastAsia" w:hAnsiTheme="minorEastAsia"/>
              </w:rPr>
              <w:t>及机器视觉</w:t>
            </w:r>
            <w:r>
              <w:rPr>
                <w:rFonts w:ascii="Times New Roman" w:hAnsi="Times New Roman" w:cs="Times New Roman"/>
              </w:rPr>
              <w:t>3D</w:t>
            </w:r>
            <w:r>
              <w:rPr>
                <w:rFonts w:asciiTheme="minorEastAsia" w:hAnsiTheme="minorEastAsia"/>
              </w:rPr>
              <w:t>感知方面具有较强技术积累，与公司在智能终端、无人机及行业应用场景方面具备良好的协同基础。双方将围绕产品研发和行业应用开展合作，进一步提升公司在复杂环境下的机器视觉</w:t>
            </w:r>
            <w:r>
              <w:rPr>
                <w:rFonts w:ascii="Times New Roman" w:hAnsi="Times New Roman" w:cs="Times New Roman"/>
              </w:rPr>
              <w:t>3D</w:t>
            </w:r>
            <w:r>
              <w:rPr>
                <w:rFonts w:asciiTheme="minorEastAsia" w:hAnsiTheme="minorEastAsia"/>
              </w:rPr>
              <w:t>感知能力，进一步补充公司上游核心感知器件能力。公司将持续关注相关技术的产业化进展，稳步推进双方在技术、产品和产业资源等方面的协同，进一步完善从上游核心感知能力到下游行业应用的产业布局</w:t>
            </w:r>
            <w:r>
              <w:rPr>
                <w:rFonts w:hint="eastAsia" w:asciiTheme="minorEastAsia" w:hAnsiTheme="minorEastAsia"/>
              </w:rPr>
              <w:t>。</w:t>
            </w:r>
          </w:p>
        </w:tc>
      </w:tr>
      <w:tr w14:paraId="7C382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2756" w:type="dxa"/>
            <w:vAlign w:val="center"/>
          </w:tcPr>
          <w:p w14:paraId="261B41E5">
            <w:pPr>
              <w:widowControl/>
              <w:jc w:val="center"/>
              <w:rPr>
                <w:rFonts w:ascii="宋体" w:hAnsi="宋体" w:eastAsia="宋体" w:cs="宋体"/>
                <w:kern w:val="0"/>
                <w:sz w:val="22"/>
              </w:rPr>
            </w:pPr>
            <w:r>
              <w:rPr>
                <w:rFonts w:hint="eastAsia" w:ascii="宋体" w:hAnsi="宋体" w:eastAsia="宋体" w:cs="宋体"/>
                <w:color w:val="000000"/>
                <w:kern w:val="0"/>
                <w:sz w:val="22"/>
              </w:rPr>
              <w:t>附件清单（如有）</w:t>
            </w:r>
          </w:p>
        </w:tc>
        <w:tc>
          <w:tcPr>
            <w:tcW w:w="5800" w:type="dxa"/>
            <w:vAlign w:val="center"/>
          </w:tcPr>
          <w:p w14:paraId="570D25ED">
            <w:pPr>
              <w:widowControl/>
              <w:jc w:val="left"/>
              <w:rPr>
                <w:rFonts w:ascii="宋体" w:hAnsi="宋体" w:eastAsia="宋体" w:cs="宋体"/>
                <w:kern w:val="0"/>
                <w:sz w:val="22"/>
              </w:rPr>
            </w:pPr>
            <w:r>
              <w:rPr>
                <w:rFonts w:hint="eastAsia" w:ascii="宋体" w:hAnsi="宋体" w:eastAsia="宋体" w:cs="宋体"/>
                <w:color w:val="000000"/>
                <w:kern w:val="0"/>
                <w:sz w:val="21"/>
                <w:szCs w:val="21"/>
              </w:rPr>
              <w:t>无</w:t>
            </w:r>
          </w:p>
        </w:tc>
      </w:tr>
    </w:tbl>
    <w:p w14:paraId="52FF578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Wingdings 2">
    <w:panose1 w:val="05020102010507070707"/>
    <w:charset w:val="02"/>
    <w:family w:val="roman"/>
    <w:pitch w:val="default"/>
    <w:sig w:usb0="00000000" w:usb1="00000000" w:usb2="00000000" w:usb3="00000000" w:csb0="80000000" w:csb1="00000000"/>
  </w:font>
  <w:font w:name="Times Regular">
    <w:altName w:val="Times New Roman"/>
    <w:panose1 w:val="00000000000000000000"/>
    <w:charset w:val="00"/>
    <w:family w:val="auto"/>
    <w:pitch w:val="default"/>
    <w:sig w:usb0="00000000" w:usb1="00000000" w:usb2="00000000" w:usb3="00000000" w:csb0="0000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MyZmJhNWUwZDM5YjMzNmE5OTJjMTljYWEyYTUyZGQifQ=="/>
  </w:docVars>
  <w:rsids>
    <w:rsidRoot w:val="00172A27"/>
    <w:rsid w:val="0015165D"/>
    <w:rsid w:val="00172A27"/>
    <w:rsid w:val="00276246"/>
    <w:rsid w:val="00437DB0"/>
    <w:rsid w:val="005606BC"/>
    <w:rsid w:val="007963DE"/>
    <w:rsid w:val="009F2CF0"/>
    <w:rsid w:val="00B61B0B"/>
    <w:rsid w:val="00C20653"/>
    <w:rsid w:val="00FC1FFF"/>
    <w:rsid w:val="010A1B1D"/>
    <w:rsid w:val="013F35C7"/>
    <w:rsid w:val="016F222E"/>
    <w:rsid w:val="021D3B2B"/>
    <w:rsid w:val="02210598"/>
    <w:rsid w:val="02227CFD"/>
    <w:rsid w:val="02701533"/>
    <w:rsid w:val="02B13BC6"/>
    <w:rsid w:val="02C72BF4"/>
    <w:rsid w:val="03463684"/>
    <w:rsid w:val="03A26EFC"/>
    <w:rsid w:val="03DE5572"/>
    <w:rsid w:val="03F01827"/>
    <w:rsid w:val="03FE37A0"/>
    <w:rsid w:val="04E00A6D"/>
    <w:rsid w:val="04F05A45"/>
    <w:rsid w:val="05435F87"/>
    <w:rsid w:val="05437A4D"/>
    <w:rsid w:val="059D36F5"/>
    <w:rsid w:val="05D26539"/>
    <w:rsid w:val="05D9297D"/>
    <w:rsid w:val="05EB486B"/>
    <w:rsid w:val="06270600"/>
    <w:rsid w:val="07097292"/>
    <w:rsid w:val="07460ABA"/>
    <w:rsid w:val="078F6F30"/>
    <w:rsid w:val="07A27123"/>
    <w:rsid w:val="07AC7BD4"/>
    <w:rsid w:val="07C7513E"/>
    <w:rsid w:val="08616FEA"/>
    <w:rsid w:val="089A4863"/>
    <w:rsid w:val="08EE736F"/>
    <w:rsid w:val="08F62613"/>
    <w:rsid w:val="08F874F0"/>
    <w:rsid w:val="09094DDA"/>
    <w:rsid w:val="09632933"/>
    <w:rsid w:val="097F1A8E"/>
    <w:rsid w:val="0A0D68E9"/>
    <w:rsid w:val="0A1107B2"/>
    <w:rsid w:val="0A44176F"/>
    <w:rsid w:val="0A4B061F"/>
    <w:rsid w:val="0A6646D7"/>
    <w:rsid w:val="0AC20E80"/>
    <w:rsid w:val="0ACA197F"/>
    <w:rsid w:val="0ACC7133"/>
    <w:rsid w:val="0AFE299F"/>
    <w:rsid w:val="0B0A4EE6"/>
    <w:rsid w:val="0B245D47"/>
    <w:rsid w:val="0B585547"/>
    <w:rsid w:val="0B64383C"/>
    <w:rsid w:val="0BB3573E"/>
    <w:rsid w:val="0BD62C31"/>
    <w:rsid w:val="0C1C5DD6"/>
    <w:rsid w:val="0CDC5604"/>
    <w:rsid w:val="0D016360"/>
    <w:rsid w:val="0D43757A"/>
    <w:rsid w:val="0DD341C2"/>
    <w:rsid w:val="0DDA0D2C"/>
    <w:rsid w:val="0E2C57A1"/>
    <w:rsid w:val="0E636C57"/>
    <w:rsid w:val="0EC87A33"/>
    <w:rsid w:val="0ED924BE"/>
    <w:rsid w:val="0ED96309"/>
    <w:rsid w:val="0EE91861"/>
    <w:rsid w:val="0EEE3020"/>
    <w:rsid w:val="0F503A5A"/>
    <w:rsid w:val="0F5572A5"/>
    <w:rsid w:val="0F5727DE"/>
    <w:rsid w:val="0F9A02BF"/>
    <w:rsid w:val="0FA64FA3"/>
    <w:rsid w:val="0FAB3DE0"/>
    <w:rsid w:val="102A7E2E"/>
    <w:rsid w:val="108175CA"/>
    <w:rsid w:val="109816DF"/>
    <w:rsid w:val="10FF4C3C"/>
    <w:rsid w:val="11211562"/>
    <w:rsid w:val="112655BB"/>
    <w:rsid w:val="11332717"/>
    <w:rsid w:val="114C4F30"/>
    <w:rsid w:val="11DE7013"/>
    <w:rsid w:val="12093BAD"/>
    <w:rsid w:val="121811C9"/>
    <w:rsid w:val="12C05415"/>
    <w:rsid w:val="13032866"/>
    <w:rsid w:val="130D4391"/>
    <w:rsid w:val="131A369D"/>
    <w:rsid w:val="136705BC"/>
    <w:rsid w:val="141166AC"/>
    <w:rsid w:val="14211F49"/>
    <w:rsid w:val="15160683"/>
    <w:rsid w:val="15417794"/>
    <w:rsid w:val="156144BC"/>
    <w:rsid w:val="15B87F2D"/>
    <w:rsid w:val="16137463"/>
    <w:rsid w:val="1642631D"/>
    <w:rsid w:val="16612B9C"/>
    <w:rsid w:val="169F72CB"/>
    <w:rsid w:val="16A971B0"/>
    <w:rsid w:val="16BE1E47"/>
    <w:rsid w:val="177253C0"/>
    <w:rsid w:val="17DF6058"/>
    <w:rsid w:val="17ED46D0"/>
    <w:rsid w:val="182B7D2A"/>
    <w:rsid w:val="184B797D"/>
    <w:rsid w:val="18666660"/>
    <w:rsid w:val="18895C11"/>
    <w:rsid w:val="18AC0339"/>
    <w:rsid w:val="18C24271"/>
    <w:rsid w:val="19024334"/>
    <w:rsid w:val="19D4595C"/>
    <w:rsid w:val="1A123269"/>
    <w:rsid w:val="1A533D8C"/>
    <w:rsid w:val="1A981ABF"/>
    <w:rsid w:val="1AA0263F"/>
    <w:rsid w:val="1AAA2915"/>
    <w:rsid w:val="1B364D60"/>
    <w:rsid w:val="1B4D3645"/>
    <w:rsid w:val="1B7D37E0"/>
    <w:rsid w:val="1BBB78FF"/>
    <w:rsid w:val="1BCE6400"/>
    <w:rsid w:val="1BEA5FCD"/>
    <w:rsid w:val="1C281CCA"/>
    <w:rsid w:val="1CAD5C4C"/>
    <w:rsid w:val="1CD04682"/>
    <w:rsid w:val="1D010737"/>
    <w:rsid w:val="1D032DBE"/>
    <w:rsid w:val="1D336832"/>
    <w:rsid w:val="1D342C3A"/>
    <w:rsid w:val="1DF97785"/>
    <w:rsid w:val="1E2612FC"/>
    <w:rsid w:val="1E276378"/>
    <w:rsid w:val="1EF315BA"/>
    <w:rsid w:val="1F54082A"/>
    <w:rsid w:val="1F69641E"/>
    <w:rsid w:val="1F713148"/>
    <w:rsid w:val="1FB57B5F"/>
    <w:rsid w:val="1FBF5D12"/>
    <w:rsid w:val="2020430B"/>
    <w:rsid w:val="209452FD"/>
    <w:rsid w:val="21260517"/>
    <w:rsid w:val="2165773C"/>
    <w:rsid w:val="21AA4163"/>
    <w:rsid w:val="21D56297"/>
    <w:rsid w:val="22057693"/>
    <w:rsid w:val="220B45FB"/>
    <w:rsid w:val="223360A0"/>
    <w:rsid w:val="22907E14"/>
    <w:rsid w:val="22C504CA"/>
    <w:rsid w:val="230A7776"/>
    <w:rsid w:val="231064A5"/>
    <w:rsid w:val="233E7BBA"/>
    <w:rsid w:val="239724A4"/>
    <w:rsid w:val="2436696D"/>
    <w:rsid w:val="24486182"/>
    <w:rsid w:val="247A5BD6"/>
    <w:rsid w:val="24AA16AC"/>
    <w:rsid w:val="255013C8"/>
    <w:rsid w:val="255A6D2C"/>
    <w:rsid w:val="25BA1229"/>
    <w:rsid w:val="26236BD2"/>
    <w:rsid w:val="27215DF4"/>
    <w:rsid w:val="27397488"/>
    <w:rsid w:val="27760BB9"/>
    <w:rsid w:val="27855555"/>
    <w:rsid w:val="27A2751F"/>
    <w:rsid w:val="27EB31D8"/>
    <w:rsid w:val="28154152"/>
    <w:rsid w:val="281976B6"/>
    <w:rsid w:val="282473C7"/>
    <w:rsid w:val="28C01545"/>
    <w:rsid w:val="28CE09B0"/>
    <w:rsid w:val="293A22CE"/>
    <w:rsid w:val="29477D41"/>
    <w:rsid w:val="297B7E8B"/>
    <w:rsid w:val="299020A1"/>
    <w:rsid w:val="2A032341"/>
    <w:rsid w:val="2A0E5B0E"/>
    <w:rsid w:val="2A4B1DB7"/>
    <w:rsid w:val="2ABD7C20"/>
    <w:rsid w:val="2AC5217D"/>
    <w:rsid w:val="2ADA3454"/>
    <w:rsid w:val="2B6A4497"/>
    <w:rsid w:val="2BC55B39"/>
    <w:rsid w:val="2C066AE0"/>
    <w:rsid w:val="2CAD6C55"/>
    <w:rsid w:val="2CD077D7"/>
    <w:rsid w:val="2CEA61F8"/>
    <w:rsid w:val="2D8F7C42"/>
    <w:rsid w:val="2D951AFB"/>
    <w:rsid w:val="2E6B3F2B"/>
    <w:rsid w:val="2EC6530B"/>
    <w:rsid w:val="2F6A2554"/>
    <w:rsid w:val="30E12562"/>
    <w:rsid w:val="3115795B"/>
    <w:rsid w:val="311C1AD3"/>
    <w:rsid w:val="31456BEB"/>
    <w:rsid w:val="31605B7D"/>
    <w:rsid w:val="31612DB1"/>
    <w:rsid w:val="318A49A8"/>
    <w:rsid w:val="31970A44"/>
    <w:rsid w:val="321665E0"/>
    <w:rsid w:val="325B3210"/>
    <w:rsid w:val="329007D9"/>
    <w:rsid w:val="329B1F49"/>
    <w:rsid w:val="32DD7307"/>
    <w:rsid w:val="33147CE6"/>
    <w:rsid w:val="335E09E9"/>
    <w:rsid w:val="33A00548"/>
    <w:rsid w:val="33AC6322"/>
    <w:rsid w:val="3439694D"/>
    <w:rsid w:val="34516EE5"/>
    <w:rsid w:val="345320E1"/>
    <w:rsid w:val="35275116"/>
    <w:rsid w:val="35C239A1"/>
    <w:rsid w:val="35D005E4"/>
    <w:rsid w:val="35D1418C"/>
    <w:rsid w:val="35F37400"/>
    <w:rsid w:val="363D3C0F"/>
    <w:rsid w:val="363E1541"/>
    <w:rsid w:val="36573053"/>
    <w:rsid w:val="36A67FA0"/>
    <w:rsid w:val="36BB34B9"/>
    <w:rsid w:val="37464610"/>
    <w:rsid w:val="3798061D"/>
    <w:rsid w:val="37C27B03"/>
    <w:rsid w:val="387A6C7E"/>
    <w:rsid w:val="38984EB0"/>
    <w:rsid w:val="38A36DF6"/>
    <w:rsid w:val="39052B68"/>
    <w:rsid w:val="392E24CC"/>
    <w:rsid w:val="395D6464"/>
    <w:rsid w:val="397D1296"/>
    <w:rsid w:val="39BB6F27"/>
    <w:rsid w:val="39D31C98"/>
    <w:rsid w:val="3A2736D2"/>
    <w:rsid w:val="3AC4126A"/>
    <w:rsid w:val="3AE643CE"/>
    <w:rsid w:val="3B0F2A3B"/>
    <w:rsid w:val="3B22579C"/>
    <w:rsid w:val="3B4066D5"/>
    <w:rsid w:val="3B5404EC"/>
    <w:rsid w:val="3C0042EC"/>
    <w:rsid w:val="3C0F02F1"/>
    <w:rsid w:val="3C44739D"/>
    <w:rsid w:val="3C725E88"/>
    <w:rsid w:val="3C951CEB"/>
    <w:rsid w:val="3CB72D11"/>
    <w:rsid w:val="3CBF663C"/>
    <w:rsid w:val="3D71311A"/>
    <w:rsid w:val="3D896A98"/>
    <w:rsid w:val="3DC87A8D"/>
    <w:rsid w:val="3DFB09DB"/>
    <w:rsid w:val="3E11180D"/>
    <w:rsid w:val="3E8401FC"/>
    <w:rsid w:val="3E940F7D"/>
    <w:rsid w:val="3F0E0AC7"/>
    <w:rsid w:val="3F1026D2"/>
    <w:rsid w:val="3F4756E8"/>
    <w:rsid w:val="3F7F3446"/>
    <w:rsid w:val="3FA93D9F"/>
    <w:rsid w:val="400C5F49"/>
    <w:rsid w:val="401F5C3E"/>
    <w:rsid w:val="404713AB"/>
    <w:rsid w:val="4064171F"/>
    <w:rsid w:val="40B774B3"/>
    <w:rsid w:val="40C63A63"/>
    <w:rsid w:val="40EA56FB"/>
    <w:rsid w:val="41037834"/>
    <w:rsid w:val="41250B55"/>
    <w:rsid w:val="418C1E31"/>
    <w:rsid w:val="41CA7CD2"/>
    <w:rsid w:val="420B22DF"/>
    <w:rsid w:val="4235270E"/>
    <w:rsid w:val="425F778B"/>
    <w:rsid w:val="427778D5"/>
    <w:rsid w:val="42A96C58"/>
    <w:rsid w:val="42FF712E"/>
    <w:rsid w:val="432307B8"/>
    <w:rsid w:val="432A1001"/>
    <w:rsid w:val="43394FCF"/>
    <w:rsid w:val="43790FC1"/>
    <w:rsid w:val="43D0207E"/>
    <w:rsid w:val="44331706"/>
    <w:rsid w:val="444B19CF"/>
    <w:rsid w:val="445642ED"/>
    <w:rsid w:val="446F7A2D"/>
    <w:rsid w:val="447A7409"/>
    <w:rsid w:val="447D0FBB"/>
    <w:rsid w:val="44E15CD4"/>
    <w:rsid w:val="44F24C67"/>
    <w:rsid w:val="45222596"/>
    <w:rsid w:val="452914D7"/>
    <w:rsid w:val="453136A9"/>
    <w:rsid w:val="45827D99"/>
    <w:rsid w:val="463466FB"/>
    <w:rsid w:val="465E3E35"/>
    <w:rsid w:val="470F4080"/>
    <w:rsid w:val="47161849"/>
    <w:rsid w:val="472B1063"/>
    <w:rsid w:val="475F01D5"/>
    <w:rsid w:val="47B072FC"/>
    <w:rsid w:val="47CF4FD6"/>
    <w:rsid w:val="48783EC5"/>
    <w:rsid w:val="48AE790D"/>
    <w:rsid w:val="48D23F22"/>
    <w:rsid w:val="48D909BC"/>
    <w:rsid w:val="48F12E38"/>
    <w:rsid w:val="4903536C"/>
    <w:rsid w:val="49687097"/>
    <w:rsid w:val="49756D85"/>
    <w:rsid w:val="4979722E"/>
    <w:rsid w:val="4984533F"/>
    <w:rsid w:val="49C9058B"/>
    <w:rsid w:val="4A6E03EE"/>
    <w:rsid w:val="4AD13BC7"/>
    <w:rsid w:val="4B090752"/>
    <w:rsid w:val="4B1F4F5F"/>
    <w:rsid w:val="4B4D41D4"/>
    <w:rsid w:val="4B653633"/>
    <w:rsid w:val="4B7E2F51"/>
    <w:rsid w:val="4B930A43"/>
    <w:rsid w:val="4BF70FA7"/>
    <w:rsid w:val="4C211DE9"/>
    <w:rsid w:val="4C757CBC"/>
    <w:rsid w:val="4C903D54"/>
    <w:rsid w:val="4D317A1B"/>
    <w:rsid w:val="4D387C5C"/>
    <w:rsid w:val="4D9011F0"/>
    <w:rsid w:val="4E126D3A"/>
    <w:rsid w:val="4E714C6A"/>
    <w:rsid w:val="4E796E1E"/>
    <w:rsid w:val="4F13449C"/>
    <w:rsid w:val="4F297D4A"/>
    <w:rsid w:val="4F804F51"/>
    <w:rsid w:val="4F881896"/>
    <w:rsid w:val="4F8E345D"/>
    <w:rsid w:val="503E4904"/>
    <w:rsid w:val="50692847"/>
    <w:rsid w:val="508F5DD3"/>
    <w:rsid w:val="509C43C4"/>
    <w:rsid w:val="50D7421A"/>
    <w:rsid w:val="50D744E9"/>
    <w:rsid w:val="50E161BC"/>
    <w:rsid w:val="512111FB"/>
    <w:rsid w:val="5138209E"/>
    <w:rsid w:val="51542485"/>
    <w:rsid w:val="516F18AB"/>
    <w:rsid w:val="51BD1827"/>
    <w:rsid w:val="523A1E14"/>
    <w:rsid w:val="529E4657"/>
    <w:rsid w:val="52B753C1"/>
    <w:rsid w:val="52DD2E1E"/>
    <w:rsid w:val="534E704F"/>
    <w:rsid w:val="536454A1"/>
    <w:rsid w:val="539B6B31"/>
    <w:rsid w:val="53CF1E7C"/>
    <w:rsid w:val="53D02297"/>
    <w:rsid w:val="53E91C39"/>
    <w:rsid w:val="543D53F8"/>
    <w:rsid w:val="54E619FF"/>
    <w:rsid w:val="551B42A4"/>
    <w:rsid w:val="551D67DF"/>
    <w:rsid w:val="553F7DD4"/>
    <w:rsid w:val="5545416E"/>
    <w:rsid w:val="55560EC1"/>
    <w:rsid w:val="55FE4406"/>
    <w:rsid w:val="561673D2"/>
    <w:rsid w:val="566779D8"/>
    <w:rsid w:val="56914A08"/>
    <w:rsid w:val="56E74480"/>
    <w:rsid w:val="56E87D29"/>
    <w:rsid w:val="57AF1DBF"/>
    <w:rsid w:val="57FF1A43"/>
    <w:rsid w:val="57FF3E6E"/>
    <w:rsid w:val="58BF7C36"/>
    <w:rsid w:val="59281F8A"/>
    <w:rsid w:val="592C2B4D"/>
    <w:rsid w:val="597A6232"/>
    <w:rsid w:val="59A12425"/>
    <w:rsid w:val="59C3104F"/>
    <w:rsid w:val="59F0161C"/>
    <w:rsid w:val="59F439CA"/>
    <w:rsid w:val="5A1A68E8"/>
    <w:rsid w:val="5AB40632"/>
    <w:rsid w:val="5B060463"/>
    <w:rsid w:val="5BD42293"/>
    <w:rsid w:val="5BDD766D"/>
    <w:rsid w:val="5C307A8B"/>
    <w:rsid w:val="5C8368D6"/>
    <w:rsid w:val="5C9626D8"/>
    <w:rsid w:val="5D312048"/>
    <w:rsid w:val="5D500321"/>
    <w:rsid w:val="5D902E1F"/>
    <w:rsid w:val="5E0013AF"/>
    <w:rsid w:val="5E532442"/>
    <w:rsid w:val="5EB26960"/>
    <w:rsid w:val="5ECA60E4"/>
    <w:rsid w:val="5EF53CC8"/>
    <w:rsid w:val="5EF84405"/>
    <w:rsid w:val="5F45214B"/>
    <w:rsid w:val="5F6107C3"/>
    <w:rsid w:val="5FB765CD"/>
    <w:rsid w:val="5FCE48AD"/>
    <w:rsid w:val="60331C88"/>
    <w:rsid w:val="605D7B4A"/>
    <w:rsid w:val="6060031F"/>
    <w:rsid w:val="60614D0A"/>
    <w:rsid w:val="61107AD5"/>
    <w:rsid w:val="611976B3"/>
    <w:rsid w:val="612666CE"/>
    <w:rsid w:val="61361570"/>
    <w:rsid w:val="614D6DFD"/>
    <w:rsid w:val="61691F7C"/>
    <w:rsid w:val="618B4015"/>
    <w:rsid w:val="619E1588"/>
    <w:rsid w:val="61C57FB9"/>
    <w:rsid w:val="61E96F29"/>
    <w:rsid w:val="620C4264"/>
    <w:rsid w:val="62B2525D"/>
    <w:rsid w:val="62D2376F"/>
    <w:rsid w:val="63455D65"/>
    <w:rsid w:val="6365113D"/>
    <w:rsid w:val="638A7A02"/>
    <w:rsid w:val="638B41CB"/>
    <w:rsid w:val="63F52765"/>
    <w:rsid w:val="640A42F1"/>
    <w:rsid w:val="642E7568"/>
    <w:rsid w:val="64787261"/>
    <w:rsid w:val="64EC395F"/>
    <w:rsid w:val="64F62857"/>
    <w:rsid w:val="652F0DE7"/>
    <w:rsid w:val="656B002A"/>
    <w:rsid w:val="65B72141"/>
    <w:rsid w:val="65BF1D00"/>
    <w:rsid w:val="66087D37"/>
    <w:rsid w:val="664E6468"/>
    <w:rsid w:val="665D7F78"/>
    <w:rsid w:val="66633782"/>
    <w:rsid w:val="66A148DD"/>
    <w:rsid w:val="66B370FA"/>
    <w:rsid w:val="66B46145"/>
    <w:rsid w:val="66C66513"/>
    <w:rsid w:val="66D91FDE"/>
    <w:rsid w:val="66FC0076"/>
    <w:rsid w:val="671A784B"/>
    <w:rsid w:val="679E48C0"/>
    <w:rsid w:val="68314937"/>
    <w:rsid w:val="68382D66"/>
    <w:rsid w:val="684F1CF5"/>
    <w:rsid w:val="68A3648F"/>
    <w:rsid w:val="68B34299"/>
    <w:rsid w:val="68DA5601"/>
    <w:rsid w:val="68F83862"/>
    <w:rsid w:val="692823E0"/>
    <w:rsid w:val="69370C94"/>
    <w:rsid w:val="69376D7B"/>
    <w:rsid w:val="698353CB"/>
    <w:rsid w:val="69E11460"/>
    <w:rsid w:val="6B131620"/>
    <w:rsid w:val="6B520BFD"/>
    <w:rsid w:val="6BF41431"/>
    <w:rsid w:val="6C1372C1"/>
    <w:rsid w:val="6C3B59F1"/>
    <w:rsid w:val="6C8A547B"/>
    <w:rsid w:val="6C9A398D"/>
    <w:rsid w:val="6CC938CF"/>
    <w:rsid w:val="6CE86177"/>
    <w:rsid w:val="6CF96C8E"/>
    <w:rsid w:val="6D3C12AA"/>
    <w:rsid w:val="6DA85A13"/>
    <w:rsid w:val="6DBF58D0"/>
    <w:rsid w:val="6DEC349C"/>
    <w:rsid w:val="6DFC5EB5"/>
    <w:rsid w:val="6E564558"/>
    <w:rsid w:val="6E6B3B38"/>
    <w:rsid w:val="6E7626AB"/>
    <w:rsid w:val="6E7A7577"/>
    <w:rsid w:val="6EBC4EA2"/>
    <w:rsid w:val="6F4B11EA"/>
    <w:rsid w:val="6F6A074D"/>
    <w:rsid w:val="6F717228"/>
    <w:rsid w:val="6F8E19D1"/>
    <w:rsid w:val="6F9F7DAF"/>
    <w:rsid w:val="6FA87620"/>
    <w:rsid w:val="6FC36291"/>
    <w:rsid w:val="70556C38"/>
    <w:rsid w:val="70605573"/>
    <w:rsid w:val="70EE1B56"/>
    <w:rsid w:val="71057BAE"/>
    <w:rsid w:val="71424947"/>
    <w:rsid w:val="71922E29"/>
    <w:rsid w:val="71AC2D14"/>
    <w:rsid w:val="71EE215A"/>
    <w:rsid w:val="720D65E0"/>
    <w:rsid w:val="72360EE8"/>
    <w:rsid w:val="72646CEB"/>
    <w:rsid w:val="72B90FC4"/>
    <w:rsid w:val="732E26DE"/>
    <w:rsid w:val="73345474"/>
    <w:rsid w:val="7387396F"/>
    <w:rsid w:val="73C76A4A"/>
    <w:rsid w:val="73E532F1"/>
    <w:rsid w:val="74401AB8"/>
    <w:rsid w:val="750077C7"/>
    <w:rsid w:val="751437B2"/>
    <w:rsid w:val="752179EF"/>
    <w:rsid w:val="75952E0A"/>
    <w:rsid w:val="75A339A7"/>
    <w:rsid w:val="75C76111"/>
    <w:rsid w:val="765D56C8"/>
    <w:rsid w:val="766E7E8B"/>
    <w:rsid w:val="769062DB"/>
    <w:rsid w:val="76C6190C"/>
    <w:rsid w:val="7733375C"/>
    <w:rsid w:val="777A72F9"/>
    <w:rsid w:val="777C4347"/>
    <w:rsid w:val="777D392A"/>
    <w:rsid w:val="77857E22"/>
    <w:rsid w:val="779E27EC"/>
    <w:rsid w:val="77E67EF0"/>
    <w:rsid w:val="781F7040"/>
    <w:rsid w:val="783629EC"/>
    <w:rsid w:val="7883527A"/>
    <w:rsid w:val="78AE262D"/>
    <w:rsid w:val="78D10B9C"/>
    <w:rsid w:val="79270A91"/>
    <w:rsid w:val="7A122D59"/>
    <w:rsid w:val="7A304361"/>
    <w:rsid w:val="7ABA1BA8"/>
    <w:rsid w:val="7B7C4A19"/>
    <w:rsid w:val="7BF64FE7"/>
    <w:rsid w:val="7C313C16"/>
    <w:rsid w:val="7C6164C4"/>
    <w:rsid w:val="7C6E7291"/>
    <w:rsid w:val="7C8E0680"/>
    <w:rsid w:val="7CB75A48"/>
    <w:rsid w:val="7CC3658D"/>
    <w:rsid w:val="7CE765F7"/>
    <w:rsid w:val="7D28519D"/>
    <w:rsid w:val="7D38369E"/>
    <w:rsid w:val="7D60687A"/>
    <w:rsid w:val="7D9D61F5"/>
    <w:rsid w:val="7DD96791"/>
    <w:rsid w:val="7DE83587"/>
    <w:rsid w:val="7E15459A"/>
    <w:rsid w:val="7E4E273F"/>
    <w:rsid w:val="7E4E5983"/>
    <w:rsid w:val="7E5342F6"/>
    <w:rsid w:val="7EEE63B7"/>
    <w:rsid w:val="7EF2463D"/>
    <w:rsid w:val="7F1B2E7F"/>
    <w:rsid w:val="7F232D2E"/>
    <w:rsid w:val="7F593C7E"/>
    <w:rsid w:val="7F863FFD"/>
    <w:rsid w:val="7F8E4305"/>
    <w:rsid w:val="7FAC1E0B"/>
    <w:rsid w:val="7FB45BB2"/>
    <w:rsid w:val="7FC75574"/>
    <w:rsid w:val="7FD40763"/>
    <w:rsid w:val="7FE61CF4"/>
    <w:rsid w:val="7FF369C9"/>
    <w:rsid w:val="7FF36EC3"/>
    <w:rsid w:val="DEBB1E6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firstLineChars="200"/>
    </w:pPr>
  </w:style>
  <w:style w:type="paragraph" w:styleId="4">
    <w:name w:val="annotation text"/>
    <w:basedOn w:val="1"/>
    <w:qFormat/>
    <w:uiPriority w:val="0"/>
    <w:pPr>
      <w:jc w:val="left"/>
    </w:pPr>
  </w:style>
  <w:style w:type="paragraph" w:styleId="5">
    <w:name w:val="Body Text"/>
    <w:basedOn w:val="1"/>
    <w:next w:val="6"/>
    <w:qFormat/>
    <w:uiPriority w:val="0"/>
    <w:rPr>
      <w:rFonts w:eastAsia="仿宋_GB2312"/>
      <w:color w:val="000000"/>
    </w:rPr>
  </w:style>
  <w:style w:type="paragraph" w:styleId="6">
    <w:name w:val="Title"/>
    <w:basedOn w:val="1"/>
    <w:next w:val="1"/>
    <w:qFormat/>
    <w:uiPriority w:val="0"/>
    <w:pPr>
      <w:widowControl/>
      <w:spacing w:before="240" w:after="60" w:line="560" w:lineRule="exact"/>
      <w:jc w:val="center"/>
      <w:outlineLvl w:val="0"/>
    </w:pPr>
    <w:rPr>
      <w:rFonts w:ascii="Arial" w:hAnsi="Arial" w:eastAsia="华文中宋" w:cs="Arial"/>
      <w:b/>
      <w:bCs/>
      <w:color w:val="FF0000"/>
      <w:kern w:val="0"/>
      <w:sz w:val="84"/>
      <w:szCs w:val="32"/>
    </w:rPr>
  </w:style>
  <w:style w:type="paragraph" w:styleId="7">
    <w:name w:val="Balloon Text"/>
    <w:basedOn w:val="1"/>
    <w:link w:val="17"/>
    <w:qFormat/>
    <w:uiPriority w:val="0"/>
    <w:rPr>
      <w:sz w:val="18"/>
      <w:szCs w:val="18"/>
    </w:rPr>
  </w:style>
  <w:style w:type="paragraph" w:styleId="8">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szCs w:val="24"/>
    </w:rPr>
  </w:style>
  <w:style w:type="table" w:styleId="10">
    <w:name w:val="Table Grid"/>
    <w:basedOn w:val="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paragraph" w:styleId="13">
    <w:name w:val="List Paragraph"/>
    <w:basedOn w:val="1"/>
    <w:qFormat/>
    <w:uiPriority w:val="34"/>
    <w:pPr>
      <w:ind w:firstLine="420" w:firstLineChars="200"/>
    </w:pPr>
  </w:style>
  <w:style w:type="paragraph" w:customStyle="1" w:styleId="14">
    <w:name w:val="_Style 217"/>
    <w:qFormat/>
    <w:uiPriority w:val="0"/>
    <w:pPr>
      <w:widowControl w:val="0"/>
      <w:jc w:val="both"/>
    </w:pPr>
    <w:rPr>
      <w:rFonts w:ascii="Calibri" w:hAnsi="Calibri" w:eastAsia="宋体" w:cs="Times New Roman"/>
      <w:kern w:val="2"/>
      <w:sz w:val="21"/>
      <w:szCs w:val="21"/>
      <w:lang w:val="en-US" w:eastAsia="zh-CN" w:bidi="ar-SA"/>
    </w:rPr>
  </w:style>
  <w:style w:type="paragraph" w:customStyle="1" w:styleId="15">
    <w:name w:val="_Style 113"/>
    <w:qFormat/>
    <w:uiPriority w:val="0"/>
    <w:rPr>
      <w:rFonts w:ascii="宋体" w:hAnsi="宋体" w:eastAsia="宋体" w:cs="宋体"/>
      <w:sz w:val="21"/>
      <w:szCs w:val="24"/>
      <w:lang w:val="en-US" w:eastAsia="zh-CN" w:bidi="ar-SA"/>
    </w:rPr>
  </w:style>
  <w:style w:type="paragraph" w:customStyle="1" w:styleId="16">
    <w:name w:val="_Style 471"/>
    <w:basedOn w:val="1"/>
    <w:qFormat/>
    <w:uiPriority w:val="0"/>
  </w:style>
  <w:style w:type="character" w:customStyle="1" w:styleId="17">
    <w:name w:val="批注框文本 字符"/>
    <w:basedOn w:val="11"/>
    <w:link w:val="7"/>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P R C</Company>
  <Pages>5</Pages>
  <Words>3485</Words>
  <Characters>3550</Characters>
  <Lines>26</Lines>
  <Paragraphs>7</Paragraphs>
  <TotalTime>18</TotalTime>
  <ScaleCrop>false</ScaleCrop>
  <LinksUpToDate>false</LinksUpToDate>
  <CharactersWithSpaces>3606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2022-06-17T22:36:00Z</dcterms:created>
  <dc:creator>Ivin</dc:creator>
  <cp:lastModifiedBy>han</cp:lastModifiedBy>
  <cp:lastPrinted>2022-10-01T02:29:00Z</cp:lastPrinted>
  <dcterms:modified xsi:type="dcterms:W3CDTF">2026-08-06T09:45:11Z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A2C767E95EFA4C93B32CBC420B440E6A_13</vt:lpwstr>
  </property>
  <property fmtid="{D5CDD505-2E9C-101B-9397-08002B2CF9AE}" pid="4" name="KSOTemplateDocerSaveRecord">
    <vt:lpwstr>eyJoZGlkIjoiM2E4MWZjMDQ1MWU4NDFkMTRlODc2MzY4OGE5MTgwZWMiLCJ1c2VySWQiOiIzODc5ODUwNjQifQ==</vt:lpwstr>
  </property>
</Properties>
</file>