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6FD" w:rsidRDefault="00170909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证券代码：</w:t>
      </w:r>
      <w:r>
        <w:rPr>
          <w:rFonts w:ascii="宋体" w:hAnsi="宋体"/>
          <w:sz w:val="24"/>
          <w:szCs w:val="24"/>
        </w:rPr>
        <w:t>600727</w:t>
      </w:r>
      <w:r>
        <w:rPr>
          <w:rFonts w:ascii="宋体" w:hAnsi="宋体" w:hint="eastAsia"/>
          <w:sz w:val="24"/>
          <w:szCs w:val="24"/>
        </w:rPr>
        <w:t xml:space="preserve">                    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公司简称：</w:t>
      </w:r>
      <w:r>
        <w:rPr>
          <w:rFonts w:ascii="宋体" w:hAnsi="宋体"/>
          <w:sz w:val="24"/>
          <w:szCs w:val="24"/>
        </w:rPr>
        <w:t>鲁北化工</w:t>
      </w:r>
    </w:p>
    <w:p w:rsidR="006546FD" w:rsidRDefault="006546FD">
      <w:pPr>
        <w:jc w:val="center"/>
        <w:rPr>
          <w:rFonts w:ascii="黑体" w:eastAsia="黑体" w:hAnsi="黑体"/>
          <w:sz w:val="36"/>
          <w:szCs w:val="36"/>
        </w:rPr>
      </w:pPr>
    </w:p>
    <w:p w:rsidR="006546FD" w:rsidRDefault="0017090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山东鲁北化工股份有限公司</w:t>
      </w:r>
    </w:p>
    <w:p w:rsidR="006546FD" w:rsidRDefault="00170909">
      <w:pPr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投资者关系活动记录表</w:t>
      </w:r>
    </w:p>
    <w:p w:rsidR="006546FD" w:rsidRDefault="006546FD">
      <w:pPr>
        <w:jc w:val="center"/>
        <w:rPr>
          <w:rFonts w:ascii="黑体" w:eastAsia="黑体" w:hAnsi="黑体"/>
          <w:sz w:val="24"/>
          <w:szCs w:val="24"/>
        </w:rPr>
      </w:pPr>
    </w:p>
    <w:tbl>
      <w:tblPr>
        <w:tblStyle w:val="ab"/>
        <w:tblW w:w="8717" w:type="dxa"/>
        <w:jc w:val="center"/>
        <w:tblLook w:val="04A0" w:firstRow="1" w:lastRow="0" w:firstColumn="1" w:lastColumn="0" w:noHBand="0" w:noVBand="1"/>
      </w:tblPr>
      <w:tblGrid>
        <w:gridCol w:w="1696"/>
        <w:gridCol w:w="7021"/>
      </w:tblGrid>
      <w:tr w:rsidR="006546FD">
        <w:trPr>
          <w:trHeight w:val="838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投资者关系</w:t>
            </w:r>
          </w:p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活动类别</w:t>
            </w:r>
          </w:p>
        </w:tc>
        <w:tc>
          <w:tcPr>
            <w:tcW w:w="7021" w:type="dxa"/>
            <w:vAlign w:val="center"/>
          </w:tcPr>
          <w:p w:rsidR="006546FD" w:rsidRDefault="001709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sz w:val="24"/>
                <w:szCs w:val="24"/>
              </w:rPr>
              <w:t>☑</w:t>
            </w:r>
            <w:r>
              <w:rPr>
                <w:rFonts w:hint="eastAsia"/>
                <w:sz w:val="24"/>
                <w:szCs w:val="24"/>
              </w:rPr>
              <w:t>特定对象调研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□分析师会议□媒体采访</w:t>
            </w:r>
          </w:p>
          <w:p w:rsidR="006546FD" w:rsidRDefault="001709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□业绩说明会□新闻发布会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□路演活动</w:t>
            </w:r>
          </w:p>
          <w:p w:rsidR="006546FD" w:rsidRDefault="001709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ascii="Segoe UI Emoji" w:hAnsi="Segoe UI Emoji" w:cs="Segoe UI Emoji"/>
                <w:sz w:val="24"/>
                <w:szCs w:val="24"/>
              </w:rPr>
              <w:t>☑</w:t>
            </w:r>
            <w:r>
              <w:rPr>
                <w:rFonts w:hint="eastAsia"/>
                <w:sz w:val="24"/>
                <w:szCs w:val="24"/>
              </w:rPr>
              <w:t>现场参观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□其他（电话交流会）</w:t>
            </w:r>
          </w:p>
        </w:tc>
      </w:tr>
      <w:tr w:rsidR="006546FD">
        <w:trPr>
          <w:trHeight w:val="838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参与单位名称及人员姓名</w:t>
            </w:r>
          </w:p>
        </w:tc>
        <w:tc>
          <w:tcPr>
            <w:tcW w:w="7021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东方财富证券：梅宇鑫</w:t>
            </w:r>
          </w:p>
          <w:p w:rsidR="000979C0" w:rsidRDefault="000979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方正证券：林建东</w:t>
            </w:r>
          </w:p>
          <w:p w:rsidR="006546FD" w:rsidRDefault="000979C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松熙私募基金：周威</w:t>
            </w:r>
          </w:p>
        </w:tc>
      </w:tr>
      <w:tr w:rsidR="006546FD">
        <w:trPr>
          <w:trHeight w:val="799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时间</w:t>
            </w:r>
          </w:p>
        </w:tc>
        <w:tc>
          <w:tcPr>
            <w:tcW w:w="7021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2026年</w:t>
            </w:r>
            <w:r>
              <w:rPr>
                <w:rFonts w:ascii="宋体" w:hAnsi="宋体" w:cs="宋体"/>
                <w:bCs/>
                <w:iCs/>
                <w:color w:val="000000"/>
                <w:sz w:val="24"/>
              </w:rPr>
              <w:t>8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月1</w:t>
            </w:r>
            <w:r>
              <w:rPr>
                <w:rFonts w:ascii="宋体" w:hAnsi="宋体" w:cs="宋体"/>
                <w:bCs/>
                <w:iCs/>
                <w:color w:val="000000"/>
                <w:sz w:val="24"/>
              </w:rPr>
              <w:t>1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 xml:space="preserve">日 </w:t>
            </w:r>
            <w:r>
              <w:rPr>
                <w:rFonts w:ascii="宋体" w:hAnsi="宋体" w:cs="宋体"/>
                <w:bCs/>
                <w:iCs/>
                <w:color w:val="00000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Cs/>
                <w:iCs/>
                <w:color w:val="000000"/>
                <w:sz w:val="24"/>
              </w:rPr>
              <w:t>15:00-17:00</w:t>
            </w:r>
          </w:p>
        </w:tc>
      </w:tr>
      <w:tr w:rsidR="006546FD">
        <w:trPr>
          <w:trHeight w:val="546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地点</w:t>
            </w:r>
          </w:p>
        </w:tc>
        <w:tc>
          <w:tcPr>
            <w:tcW w:w="7021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山东省滨州市无棣县鲁北高新技术开发区</w:t>
            </w:r>
          </w:p>
        </w:tc>
      </w:tr>
      <w:tr w:rsidR="006546FD">
        <w:trPr>
          <w:trHeight w:val="838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上市公司</w:t>
            </w:r>
          </w:p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参会人员</w:t>
            </w:r>
          </w:p>
        </w:tc>
        <w:tc>
          <w:tcPr>
            <w:tcW w:w="7021" w:type="dxa"/>
            <w:vAlign w:val="center"/>
          </w:tcPr>
          <w:p w:rsidR="006546FD" w:rsidRDefault="00170909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董事、副总经理、财务总监：马文举</w:t>
            </w:r>
          </w:p>
          <w:p w:rsidR="006546FD" w:rsidRDefault="00170909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董事会秘书：蔺红波</w:t>
            </w:r>
          </w:p>
          <w:p w:rsidR="006546FD" w:rsidRDefault="001709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祥海科技副总经理：乔仲春</w:t>
            </w:r>
          </w:p>
          <w:p w:rsidR="006546FD" w:rsidRDefault="001709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财务处处长：孟卫泉</w:t>
            </w:r>
          </w:p>
          <w:p w:rsidR="006546FD" w:rsidRDefault="0017090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证券事务代表：孟令镇</w:t>
            </w:r>
          </w:p>
        </w:tc>
      </w:tr>
      <w:tr w:rsidR="006546FD">
        <w:trPr>
          <w:trHeight w:val="2929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投资者关系活动主要内容介绍</w:t>
            </w:r>
          </w:p>
        </w:tc>
        <w:tc>
          <w:tcPr>
            <w:tcW w:w="7021" w:type="dxa"/>
          </w:tcPr>
          <w:p w:rsidR="006546FD" w:rsidRDefault="00170909" w:rsidP="00712F64">
            <w:pPr>
              <w:spacing w:line="360" w:lineRule="auto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本次沟通交流主要内容如下：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1.公司氯化法钛白粉二期的投产、产能释放及销售情况如何？2026年氯化法钛白粉的产量预计是多少？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氯化法钛白粉二期于2026年5月试生产成功，8月调试完成后可达到满产状态。二期设计产能为6万多吨，加上一期的6万吨产能，两条线合计产能可达12万吨。2026年全年氯化法钛白粉总产量预计在10万吨左右，二期产品已实现销售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2.公司氯化法钛白粉的生产原料是什么？氯化法钛白粉对高钛渣单耗是多少？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答：公司氯化法钛白粉生产使用的原料为外购高钛渣，硫酸法钛白粉使用钛矿作为原料。</w:t>
            </w:r>
            <w:r w:rsidR="00614727" w:rsidRPr="00614727">
              <w:rPr>
                <w:rFonts w:ascii="宋体" w:hAnsi="宋体" w:hint="eastAsia"/>
                <w:sz w:val="24"/>
                <w:szCs w:val="24"/>
              </w:rPr>
              <w:t>公司氯化法钛白粉高钛渣单耗</w:t>
            </w:r>
            <w:r w:rsidR="00614727">
              <w:rPr>
                <w:rFonts w:ascii="宋体" w:hAnsi="宋体" w:hint="eastAsia"/>
                <w:sz w:val="24"/>
                <w:szCs w:val="24"/>
              </w:rPr>
              <w:t>约为</w:t>
            </w:r>
            <w:r w:rsidR="00614727" w:rsidRPr="00614727">
              <w:rPr>
                <w:rFonts w:ascii="宋体" w:hAnsi="宋体" w:hint="eastAsia"/>
                <w:sz w:val="24"/>
                <w:szCs w:val="24"/>
              </w:rPr>
              <w:t>1.12</w:t>
            </w:r>
            <w:r w:rsidR="00676D60">
              <w:rPr>
                <w:rFonts w:ascii="宋体" w:hAnsi="宋体"/>
                <w:sz w:val="24"/>
                <w:szCs w:val="24"/>
              </w:rPr>
              <w:t>t</w:t>
            </w:r>
            <w:r>
              <w:rPr>
                <w:rFonts w:ascii="宋体" w:hAnsi="宋体" w:hint="eastAsia"/>
                <w:sz w:val="24"/>
                <w:szCs w:val="24"/>
              </w:rPr>
              <w:t>，处于行业较低水平。</w:t>
            </w:r>
            <w:bookmarkStart w:id="0" w:name="_GoBack"/>
            <w:bookmarkEnd w:id="0"/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3.国内氯化法钛白粉的竞争格局是怎样的？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答：国内氯化法钛白粉生产企业主要有5家，产能情况分别为：龙佰集团66万吨，天原股份10万吨，中信钛业12万吨</w:t>
            </w:r>
            <w:r w:rsidR="00491302">
              <w:rPr>
                <w:rFonts w:ascii="宋体" w:hAnsi="宋体" w:hint="eastAsia"/>
                <w:sz w:val="24"/>
                <w:szCs w:val="24"/>
              </w:rPr>
              <w:t>、钒钛股份7</w:t>
            </w:r>
            <w:r w:rsidR="00491302">
              <w:rPr>
                <w:rFonts w:ascii="宋体" w:hAnsi="宋体"/>
                <w:sz w:val="24"/>
                <w:szCs w:val="24"/>
              </w:rPr>
              <w:t>.5</w:t>
            </w:r>
            <w:r w:rsidR="00491302">
              <w:rPr>
                <w:rFonts w:ascii="宋体" w:hAnsi="宋体" w:hint="eastAsia"/>
                <w:sz w:val="24"/>
                <w:szCs w:val="24"/>
              </w:rPr>
              <w:t>万吨</w:t>
            </w:r>
            <w:r>
              <w:rPr>
                <w:rFonts w:ascii="宋体" w:hAnsi="宋体" w:hint="eastAsia"/>
                <w:sz w:val="24"/>
                <w:szCs w:val="24"/>
              </w:rPr>
              <w:t>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4.公司氯化法钛白粉的工艺来源是什么？相关技术储备和项目建设历程是怎样的？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氯化法钛白粉核心技术为自主研发，技术积累已有二十余年：2002年开始布局相关技术，先后完成四氯化钛、硫酸法钛白粉的技术攻关与产能建设，硫酸法工艺已十分成熟；期间针对氯化法的氧化环节难点进行技术研发，积累了相关专利和技术参数，2017年启动祥海科技氯化法钛白粉项目厂房建设。项目整体公辅设施按12万吨产能配套，首期6万吨产能于2021年12月投产，二期6万吨产能于2023年启动设计，依托已有公辅设施，二期投产后整体固定成本中的折旧不会大幅增加。</w:t>
            </w:r>
          </w:p>
          <w:p w:rsidR="006546FD" w:rsidRDefault="00BE69C5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lastRenderedPageBreak/>
              <w:t>5</w:t>
            </w:r>
            <w:r w:rsidR="00170909">
              <w:rPr>
                <w:rFonts w:ascii="宋体" w:hAnsi="宋体" w:hint="eastAsia"/>
                <w:b/>
                <w:bCs/>
                <w:sz w:val="24"/>
                <w:szCs w:val="24"/>
              </w:rPr>
              <w:t>.公司的硫酸是自制还是外购？自制硫酸采用什么工艺？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的硫酸部分自制，采用石膏制酸联产水泥工艺，该工艺是公司建厂时的国家攻关项目，目前已实现工艺突破，不仅使用磷石膏，还可协同处置钛石膏、脱硫石膏以及烷基化废酸，公司拥有山东省获批数量极少的危废处理中心资质，可对外承接危废处置业务。</w:t>
            </w:r>
          </w:p>
          <w:p w:rsidR="006546FD" w:rsidRDefault="00BE69C5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6</w:t>
            </w:r>
            <w:r w:rsidR="00170909">
              <w:rPr>
                <w:rFonts w:ascii="宋体" w:hAnsi="宋体" w:hint="eastAsia"/>
                <w:b/>
                <w:bCs/>
                <w:sz w:val="24"/>
                <w:szCs w:val="24"/>
              </w:rPr>
              <w:t>.公司2026年上半年2亿多的利润中，硫酸法钛白粉和氯化法钛白粉分别贡献多少？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答：2026年上半年钛白粉业务合计贡献利润约1亿多元，其中氯化法钛白粉利润略高，金海钛业贡献近5000万利润，祥海科技贡献5000多万利润。</w:t>
            </w:r>
          </w:p>
          <w:p w:rsidR="006546FD" w:rsidRDefault="00BE69C5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7</w:t>
            </w:r>
            <w:r w:rsidR="00170909">
              <w:rPr>
                <w:rFonts w:ascii="宋体" w:hAnsi="宋体" w:hint="eastAsia"/>
                <w:b/>
                <w:bCs/>
                <w:sz w:val="24"/>
                <w:szCs w:val="24"/>
              </w:rPr>
              <w:t>.行业内硫酸法钛白粉普遍亏损，公司的硫酸法钛白粉业务能够盈利的原因是什么？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硫酸法钛白粉能够实现盈利主要有两点原因：第一，自制硫酸的成本较低，大幅拉低了原材料端成本；第二，硫酸法钛白粉生产过程中会副产硫酸亚铁，每生产1吨钛白粉可副产4吨硫酸亚铁，当前公司硫酸亚铁售价约为700元/吨，大幅对冲了硫酸价格上涨带来的成本压力。</w:t>
            </w:r>
          </w:p>
          <w:p w:rsidR="006546FD" w:rsidRDefault="00BE69C5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8</w:t>
            </w:r>
            <w:r w:rsidR="00170909">
              <w:rPr>
                <w:rFonts w:ascii="宋体" w:hAnsi="宋体" w:hint="eastAsia"/>
                <w:b/>
                <w:bCs/>
                <w:sz w:val="24"/>
                <w:szCs w:val="24"/>
              </w:rPr>
              <w:t>.公司硫酸亚铁的客户有哪些？销量和定价情况如何？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副产硫酸亚铁年产能约为80万吨，采用副产品核算模式，利润计入钛白粉业务板块。核心客户为园区内的上市公司万润新能，万润新能在当地布局有磷酸铁锂产能，大部分硫酸亚铁供应给万润新能，剩余部分供应给净水剂生产企业。公司硫酸亚铁售价较高主要是因为万润新能的落地带动了当地需求，且硫酸亚铁单位价值低、运输成本高，园区内供应具备明显的区位优势。</w:t>
            </w:r>
          </w:p>
          <w:p w:rsidR="006546FD" w:rsidRDefault="00BE69C5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t>9</w:t>
            </w:r>
            <w:r w:rsidR="00170909">
              <w:rPr>
                <w:rFonts w:ascii="宋体" w:hAnsi="宋体" w:hint="eastAsia"/>
                <w:b/>
                <w:bCs/>
                <w:sz w:val="24"/>
                <w:szCs w:val="24"/>
              </w:rPr>
              <w:t>.2026年上半年溴素价格大幅上涨的原因是什么？</w:t>
            </w:r>
          </w:p>
          <w:p w:rsidR="006546FD" w:rsidRDefault="00170909" w:rsidP="004D16F6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答：溴素价格上涨主要是因为全球主要产溴地区以色列出口受阻，价格最高一度暴涨至6万多元/吨，随后价格回落。溴素进口依存度高，一旦国际市场溴素价格上涨，会对国内市场价格产生明显影响。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.公司溴素和原盐的生产工艺是什么？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答：公司溴素和原盐均为海水提取，采用一水多用的循环经济模式：抽取卤水后先用于养殖，收取养殖出租承包费，之后提溴，提溴后的卤水再用于生产原盐。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溴素的下游应用广泛，包括溴化氢、医药中间体、有机合成等，其中阻燃剂是溴素最大的下游应用领域。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.公司2026年溴素产量预计是多少？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答：2025年公司溴素产量为3000吨出头，2026年产量整体仍处于3000吨左右的水平。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.2026年上半年溴素价格水平如何？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答：2026年上半年溴素均价接近3.5万元/吨，个别月份价格最高达到4万元/吨。溴素目前需求情况良好，销售不存在问题，预计2026年下半年溴素价格将相对平稳。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.溴素生产是否存在淡旺季？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答：溴素生产存在季节性停工期，冬季温度较低时生产会受到影响，通常每年12月、1月、2月会停产。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.公司原盐产能、产量情况如何？产量波动的原因是什么？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答：公司原盐产能较大，正常年份产量约50万吨，最高可达到60万吨，产能利用率约50%。原盐产量波动主要受日照、蒸发量和降雨量影响：若当年降雨少、日照充足，蒸发量高，卤水浓度提升，产量就会</w:t>
            </w:r>
            <w:r w:rsidR="00712F64">
              <w:rPr>
                <w:rFonts w:ascii="宋体" w:hAnsi="宋体" w:hint="eastAsia"/>
                <w:sz w:val="24"/>
                <w:szCs w:val="24"/>
              </w:rPr>
              <w:t>提高</w:t>
            </w:r>
            <w:r>
              <w:rPr>
                <w:rFonts w:ascii="宋体" w:hAnsi="宋体" w:hint="eastAsia"/>
                <w:sz w:val="24"/>
                <w:szCs w:val="24"/>
              </w:rPr>
              <w:t>；若降雨多、蒸发量不足，产量则会下降。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lastRenderedPageBreak/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.公司化肥板块的产能、利用率情况如何？未来对化肥板块的发展规划是怎样的？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化肥设计产能为30万吨/年，产能利用率约40%。化肥属于公司硫磷科技板块的联产产品，行业整体产能过剩，公司对化肥板块的定位是维持运营、保障下游客户供应，不会作为重点发展方向，未来会将主要资源和精力放在钛白粉板块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.公司钛白粉的出口占比是多少？主要出口到哪些地区？欧洲、美国地区出口情况如何？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答：公司当前钛白粉出口占比约占一半，出口主要流向印度、韩国、土耳其、中东地区。欧洲地区出口量较少，美国地区的出口量更少。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7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.公司下半年以及未来一两年的发展规划是怎样的？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未来将坚定现有发展路线，提升行业话语权，拓展市场、增加产能，同时提升产品档次、拓展应用范围，发力高附加值产品，并配套相关研发投入。公司将首先夯实内功，优化成本、提升竞争力，做好产品升级与应用拓展，为后续国内外市场拓展提供支撑。目前国内钛白粉产能已经有所提升，但高附加值产品如电子级钛白粉、锐钛型、氯化法钛白粉等细分品类仍有发展空间，公司对该业务板块的发展充满信心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1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8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.公司上半年各业务板块的盈利情况分别是多少？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上半年各板块盈利情况如下：原盐和溴素板块合计盈利4900多万元，硫磷板块盈利4200万元，甲烷氯化物板块盈利约4800万元，公司持有锦亿科技51%的股权，甲烷氯化物板块归属于公司的盈利约2400万元；钛白粉板块盈利1亿元，扣除总部费用后，上半年整体盈利约1.7亿元。</w:t>
            </w:r>
          </w:p>
          <w:p w:rsidR="006546FD" w:rsidRDefault="00BE69C5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sz w:val="24"/>
                <w:szCs w:val="24"/>
              </w:rPr>
              <w:lastRenderedPageBreak/>
              <w:t>19</w:t>
            </w:r>
            <w:r w:rsidR="00170909">
              <w:rPr>
                <w:rFonts w:ascii="宋体" w:hAnsi="宋体" w:hint="eastAsia"/>
                <w:b/>
                <w:bCs/>
                <w:sz w:val="24"/>
                <w:szCs w:val="24"/>
              </w:rPr>
              <w:t>.公司60万吨锆钛矿选矿项目的建设进展如何？一期的产能是多少？对应的产出是什么？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该项目一期产能为30万吨钛精矿，目前建设已接近收尾，预计2026年年底完工并投料试车，2027年逐步上量释放产能。项目投产后可将入厂的30%品位左右的钛中矿提纯至40%以上品位，产出的钛精矿优先供应公司自身生产使用，仅部分富余产品考虑对外销售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0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.钛矿选矿项目投产后对公司原料自给率有什么影响？公司建设该项目的目的是什么？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该项目投产后可满足公司部分钛精矿需求，仍无法实现完全自给。公司建设该项目的核心目的有两个：一是丰富原料选择，新增毛矿、中矿自行加工的原料获取路径，对现有原料采购形成替代和补充，增强原料端抗风险能力；二是顺应行业优胜劣汰的发展趋势，在钛矿资源全球供应充足的背景下，为未来从海外获取低价矿资源预留加工能力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1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.公司上半年钛白粉的产量结构是怎样的？硫酸法钛白粉未来的产能规划是多少？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答：2026年上半年公司钛白粉总产量约16万吨，其中硫酸法钛白粉12万吨，氯化法钛白粉4万吨。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.公司上半年硫酸亚铁毛利率仅7.5%的原因是什么？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答：硫酸亚铁是钛白粉生产的副产品，公司采用副产品扣除法进行成本核算，其利润实际都合并到硫酸法钛白粉的利润中。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.公司上半年整体及硫酸法钛白粉的毛利率分别是多少？硫酸法钛白粉的成本和盈利来源是什么？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lastRenderedPageBreak/>
              <w:t>答：2026年上半年公司整体毛利率为9.7%，硫酸法钛白粉上半年毛利率接近9%，该毛利率已经包含了硫酸和硫酸亚铁相关业务的影响。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.公司钛白粉业务相比同行业有哪些成本优势？后续还有什么降本规划？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的成本优势主要包括三方面：一是硫酸亚铁的核心客户距离近，可节省运费；二是具备石膏制硫酸联产水泥的产业链配套优势；三是硫酸单耗下降明显，近年持续下降，同时相关产品还可作为水泥替代产品拓展收益。后续降本规划包括：对标行业推进干法生产，进一步降低生产成本；优化人员成本，提升金海基地的人员生产效率；同时根据市场状况灵活调节产品结构，推出锐钛型等适配市场需求的产品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5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.下半年钛白粉价格走势如何？当前行业整体格局是怎样的？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2026年第三季度是钛白粉传统淡季，行业从2026年4月后整体库存上升、价格下跌，目前国内近八成硫酸法钛白粉企业处于亏损状态，仅少数拥有自有矿产资源的企业可通过矿端利润分摊实现微利，后续行业将进入优胜劣汰、重新布局的整合阶段。正常情况下第四季度行业表现会好于第三季度，存在“金九银十”的传统旺季预期，但当前不确定因素较多，实际走势存在不确定性。</w:t>
            </w:r>
          </w:p>
          <w:p w:rsidR="006546FD" w:rsidRDefault="00170909" w:rsidP="00712F64">
            <w:pPr>
              <w:spacing w:line="360" w:lineRule="auto"/>
              <w:ind w:firstLineChars="200" w:firstLine="482"/>
              <w:jc w:val="both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2</w:t>
            </w:r>
            <w:r w:rsidR="00BE69C5">
              <w:rPr>
                <w:rFonts w:ascii="宋体" w:hAnsi="宋体"/>
                <w:b/>
                <w:bCs/>
                <w:sz w:val="24"/>
                <w:szCs w:val="24"/>
              </w:rPr>
              <w:t>6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.公司当前钛白粉库存处于什么水平？</w:t>
            </w:r>
          </w:p>
          <w:p w:rsidR="006546FD" w:rsidRDefault="00170909" w:rsidP="00712F64">
            <w:pPr>
              <w:spacing w:line="360" w:lineRule="auto"/>
              <w:ind w:firstLineChars="200" w:firstLine="480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答：公司当前钛白粉库存处于行业中游水平，库存周转周期约为2个多星期，历史最高库存为3万多吨，当前因为祥海科技二期生产线刚投产，库存略高于正常水平，若剔除二期投产的影响，库存会更低。</w:t>
            </w:r>
          </w:p>
        </w:tc>
      </w:tr>
      <w:tr w:rsidR="006546FD" w:rsidTr="00491302">
        <w:trPr>
          <w:trHeight w:val="58"/>
          <w:jc w:val="center"/>
        </w:trPr>
        <w:tc>
          <w:tcPr>
            <w:tcW w:w="1696" w:type="dxa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关于本次活动是否涉及应披</w:t>
            </w:r>
            <w:r>
              <w:rPr>
                <w:rFonts w:hint="eastAsia"/>
                <w:sz w:val="24"/>
                <w:szCs w:val="24"/>
              </w:rPr>
              <w:lastRenderedPageBreak/>
              <w:t>露重大信息的说明</w:t>
            </w:r>
          </w:p>
        </w:tc>
        <w:tc>
          <w:tcPr>
            <w:tcW w:w="7021" w:type="dxa"/>
            <w:vAlign w:val="center"/>
          </w:tcPr>
          <w:p w:rsidR="006546FD" w:rsidRDefault="00491302" w:rsidP="0049130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无</w:t>
            </w:r>
          </w:p>
        </w:tc>
      </w:tr>
      <w:tr w:rsidR="006546FD" w:rsidTr="00491302">
        <w:trPr>
          <w:trHeight w:val="1269"/>
          <w:jc w:val="center"/>
        </w:trPr>
        <w:tc>
          <w:tcPr>
            <w:tcW w:w="1696" w:type="dxa"/>
            <w:vAlign w:val="center"/>
          </w:tcPr>
          <w:p w:rsidR="006546FD" w:rsidRDefault="0017090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附件清单（如有）</w:t>
            </w:r>
          </w:p>
        </w:tc>
        <w:tc>
          <w:tcPr>
            <w:tcW w:w="7021" w:type="dxa"/>
            <w:vAlign w:val="center"/>
          </w:tcPr>
          <w:p w:rsidR="006546FD" w:rsidRDefault="00491302" w:rsidP="0049130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</w:t>
            </w:r>
          </w:p>
        </w:tc>
      </w:tr>
    </w:tbl>
    <w:p w:rsidR="006546FD" w:rsidRDefault="00170909">
      <w:pPr>
        <w:rPr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lang w:bidi="ar"/>
        </w:rPr>
        <w:t xml:space="preserve">注：公司严格遵守信息披露相关规则与投资者进行交流，如涉及公司战略规划等意向性目 </w:t>
      </w:r>
    </w:p>
    <w:p w:rsidR="006546FD" w:rsidRDefault="00170909">
      <w:pPr>
        <w:rPr>
          <w:szCs w:val="21"/>
        </w:rPr>
      </w:pPr>
      <w:r>
        <w:rPr>
          <w:rFonts w:ascii="宋体" w:eastAsia="宋体" w:hAnsi="宋体" w:cs="宋体" w:hint="eastAsia"/>
          <w:color w:val="000000"/>
          <w:sz w:val="21"/>
          <w:szCs w:val="21"/>
          <w:lang w:bidi="ar"/>
        </w:rPr>
        <w:t>标，不能视为公司或管理层对公司业绩的保证或承诺，敬请广大投资者注意投资风险。</w:t>
      </w:r>
    </w:p>
    <w:p w:rsidR="006546FD" w:rsidRDefault="006546FD"/>
    <w:p w:rsidR="006546FD" w:rsidRDefault="006546FD"/>
    <w:p w:rsidR="006546FD" w:rsidRDefault="006546FD"/>
    <w:p w:rsidR="006546FD" w:rsidRDefault="006546FD"/>
    <w:p w:rsidR="006546FD" w:rsidRDefault="006546FD"/>
    <w:p w:rsidR="006546FD" w:rsidRDefault="006546FD"/>
    <w:p w:rsidR="00491302" w:rsidRDefault="00491302"/>
    <w:sectPr w:rsidR="0049130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46FD" w:rsidRDefault="00170909">
      <w:pPr>
        <w:spacing w:line="240" w:lineRule="auto"/>
      </w:pPr>
      <w:r>
        <w:separator/>
      </w:r>
    </w:p>
  </w:endnote>
  <w:endnote w:type="continuationSeparator" w:id="0">
    <w:p w:rsidR="006546FD" w:rsidRDefault="001709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46FD" w:rsidRDefault="00170909">
      <w:pPr>
        <w:spacing w:after="0"/>
      </w:pPr>
      <w:r>
        <w:separator/>
      </w:r>
    </w:p>
  </w:footnote>
  <w:footnote w:type="continuationSeparator" w:id="0">
    <w:p w:rsidR="006546FD" w:rsidRDefault="001709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I3NTlhNGJhZTk1YmZkMTc2MTM0MTg2MGI3NTFmMTEifQ=="/>
  </w:docVars>
  <w:rsids>
    <w:rsidRoot w:val="00490599"/>
    <w:rsid w:val="000979C0"/>
    <w:rsid w:val="00170909"/>
    <w:rsid w:val="002A2D98"/>
    <w:rsid w:val="003C7A93"/>
    <w:rsid w:val="00490599"/>
    <w:rsid w:val="00491302"/>
    <w:rsid w:val="004D16F6"/>
    <w:rsid w:val="00535D6A"/>
    <w:rsid w:val="00555EDB"/>
    <w:rsid w:val="005956B0"/>
    <w:rsid w:val="00614727"/>
    <w:rsid w:val="006546FD"/>
    <w:rsid w:val="00676D60"/>
    <w:rsid w:val="006A202E"/>
    <w:rsid w:val="006C17ED"/>
    <w:rsid w:val="00712F64"/>
    <w:rsid w:val="007229AA"/>
    <w:rsid w:val="0097536A"/>
    <w:rsid w:val="00986DFE"/>
    <w:rsid w:val="00A2701F"/>
    <w:rsid w:val="00A908D3"/>
    <w:rsid w:val="00AB1FC4"/>
    <w:rsid w:val="00AB7778"/>
    <w:rsid w:val="00AF7991"/>
    <w:rsid w:val="00B245BE"/>
    <w:rsid w:val="00BD56EA"/>
    <w:rsid w:val="00BE69C5"/>
    <w:rsid w:val="00C219EB"/>
    <w:rsid w:val="00CE4E2D"/>
    <w:rsid w:val="00E90077"/>
    <w:rsid w:val="00E9687C"/>
    <w:rsid w:val="00FB4FAA"/>
    <w:rsid w:val="00FD386F"/>
    <w:rsid w:val="00FF6CAD"/>
    <w:rsid w:val="07F545F4"/>
    <w:rsid w:val="08D44707"/>
    <w:rsid w:val="0DA323B1"/>
    <w:rsid w:val="11316A13"/>
    <w:rsid w:val="11E72ACE"/>
    <w:rsid w:val="1ADE294C"/>
    <w:rsid w:val="1CB2496B"/>
    <w:rsid w:val="1E4E3AB1"/>
    <w:rsid w:val="1EC44947"/>
    <w:rsid w:val="20661F44"/>
    <w:rsid w:val="242A65BC"/>
    <w:rsid w:val="25646AB5"/>
    <w:rsid w:val="2B182D31"/>
    <w:rsid w:val="2DE14B3C"/>
    <w:rsid w:val="30951B43"/>
    <w:rsid w:val="33F10C8B"/>
    <w:rsid w:val="36243BA9"/>
    <w:rsid w:val="37723896"/>
    <w:rsid w:val="380A05F1"/>
    <w:rsid w:val="397B46A9"/>
    <w:rsid w:val="3CCD3EED"/>
    <w:rsid w:val="3FE52C86"/>
    <w:rsid w:val="41D20230"/>
    <w:rsid w:val="45C106F2"/>
    <w:rsid w:val="48483FF3"/>
    <w:rsid w:val="4C886BCD"/>
    <w:rsid w:val="55127171"/>
    <w:rsid w:val="56E85BCB"/>
    <w:rsid w:val="58E67174"/>
    <w:rsid w:val="5DE419B7"/>
    <w:rsid w:val="61B42C51"/>
    <w:rsid w:val="61E93079"/>
    <w:rsid w:val="670E1BEF"/>
    <w:rsid w:val="708A377D"/>
    <w:rsid w:val="713D663A"/>
    <w:rsid w:val="78E75809"/>
    <w:rsid w:val="79344560"/>
    <w:rsid w:val="79D4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A8A7A9"/>
  <w15:docId w15:val="{267BF63F-9977-4117-AA5F-3661D560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 w:unhideWhenUsed="1" w:qFormat="1"/>
    <w:lsdException w:name="footer" w:qFormat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 w:qFormat="1"/>
    <w:lsdException w:name="Subtitle" w:uiPriority="11" w:qFormat="1"/>
    <w:lsdException w:name="Hyperlink" w:uiPriority="99" w:unhideWhenUsed="1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Pr>
      <w:color w:val="595959" w:themeColor="text1" w:themeTint="A6"/>
      <w:spacing w:val="15"/>
    </w:rPr>
  </w:style>
  <w:style w:type="paragraph" w:styleId="a9">
    <w:name w:val="Title"/>
    <w:basedOn w:val="a"/>
    <w:next w:val="a"/>
    <w:link w:val="aa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table" w:styleId="ab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Strong"/>
    <w:basedOn w:val="a0"/>
    <w:uiPriority w:val="22"/>
    <w:qFormat/>
    <w:rPr>
      <w:b/>
      <w:bCs/>
      <w:color w:val="auto"/>
    </w:rPr>
  </w:style>
  <w:style w:type="character" w:styleId="ad">
    <w:name w:val="Emphasis"/>
    <w:basedOn w:val="a0"/>
    <w:uiPriority w:val="20"/>
    <w:qFormat/>
    <w:rPr>
      <w:i/>
      <w:iCs/>
      <w:color w:val="auto"/>
    </w:rPr>
  </w:style>
  <w:style w:type="character" w:styleId="ae">
    <w:name w:val="Hyperlink"/>
    <w:basedOn w:val="a0"/>
    <w:uiPriority w:val="99"/>
    <w:unhideWhenUsed/>
    <w:qFormat/>
    <w:rPr>
      <w:color w:val="0563C1"/>
      <w:u w:val="single"/>
    </w:rPr>
  </w:style>
  <w:style w:type="paragraph" w:customStyle="1" w:styleId="Style6">
    <w:name w:val="_Style 6"/>
    <w:basedOn w:val="a"/>
    <w:uiPriority w:val="34"/>
    <w:qFormat/>
    <w:pPr>
      <w:ind w:firstLineChars="200" w:firstLine="420"/>
    </w:p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color w:val="595959" w:themeColor="text1" w:themeTint="A6"/>
      <w:spacing w:val="15"/>
    </w:rPr>
  </w:style>
  <w:style w:type="paragraph" w:styleId="af">
    <w:name w:val="No Spacing"/>
    <w:uiPriority w:val="1"/>
    <w:qFormat/>
    <w:rPr>
      <w:sz w:val="22"/>
      <w:szCs w:val="22"/>
    </w:rPr>
  </w:style>
  <w:style w:type="paragraph" w:styleId="af0">
    <w:name w:val="Quote"/>
    <w:basedOn w:val="a"/>
    <w:next w:val="a"/>
    <w:link w:val="af1"/>
    <w:uiPriority w:val="29"/>
    <w:qFormat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1">
    <w:name w:val="引用 字符"/>
    <w:basedOn w:val="a0"/>
    <w:link w:val="af0"/>
    <w:uiPriority w:val="29"/>
    <w:qFormat/>
    <w:rPr>
      <w:i/>
      <w:iCs/>
      <w:color w:val="404040" w:themeColor="text1" w:themeTint="BF"/>
    </w:rPr>
  </w:style>
  <w:style w:type="paragraph" w:styleId="af2">
    <w:name w:val="Intense Quote"/>
    <w:basedOn w:val="a"/>
    <w:next w:val="a"/>
    <w:link w:val="af3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3">
    <w:name w:val="明显引用 字符"/>
    <w:basedOn w:val="a0"/>
    <w:link w:val="af2"/>
    <w:uiPriority w:val="30"/>
    <w:qFormat/>
    <w:rPr>
      <w:i/>
      <w:iCs/>
      <w:color w:val="4F81BD" w:themeColor="accent1"/>
    </w:rPr>
  </w:style>
  <w:style w:type="character" w:customStyle="1" w:styleId="11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12">
    <w:name w:val="明显强调1"/>
    <w:basedOn w:val="a0"/>
    <w:uiPriority w:val="21"/>
    <w:qFormat/>
    <w:rPr>
      <w:i/>
      <w:iCs/>
      <w:color w:val="4F81BD" w:themeColor="accent1"/>
    </w:rPr>
  </w:style>
  <w:style w:type="character" w:customStyle="1" w:styleId="13">
    <w:name w:val="不明显参考1"/>
    <w:basedOn w:val="a0"/>
    <w:uiPriority w:val="31"/>
    <w:qFormat/>
    <w:rPr>
      <w:smallCaps/>
      <w:color w:val="404040" w:themeColor="text1" w:themeTint="BF"/>
    </w:rPr>
  </w:style>
  <w:style w:type="character" w:customStyle="1" w:styleId="14">
    <w:name w:val="明显参考1"/>
    <w:basedOn w:val="a0"/>
    <w:uiPriority w:val="32"/>
    <w:qFormat/>
    <w:rPr>
      <w:b/>
      <w:bCs/>
      <w:smallCaps/>
      <w:color w:val="4F81BD" w:themeColor="accent1"/>
      <w:spacing w:val="5"/>
    </w:rPr>
  </w:style>
  <w:style w:type="character" w:customStyle="1" w:styleId="15">
    <w:name w:val="书籍标题1"/>
    <w:basedOn w:val="a0"/>
    <w:uiPriority w:val="33"/>
    <w:qFormat/>
    <w:rPr>
      <w:b/>
      <w:bCs/>
      <w:i/>
      <w:iCs/>
      <w:spacing w:val="5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AD29-482C-41DB-BF3C-27E53FCA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3805</Words>
  <Characters>333</Characters>
  <Application>Microsoft Office Word</Application>
  <DocSecurity>0</DocSecurity>
  <Lines>2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令镇 孟</cp:lastModifiedBy>
  <cp:revision>33</cp:revision>
  <cp:lastPrinted>2026-08-11T07:05:00Z</cp:lastPrinted>
  <dcterms:created xsi:type="dcterms:W3CDTF">2026-08-11T00:00:00Z</dcterms:created>
  <dcterms:modified xsi:type="dcterms:W3CDTF">2026-08-12T09:40:00Z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209E8F5F19474D9B86DA58D8A53133EF</vt:lpwstr>
  </property>
  <property fmtid="{D5CDD505-2E9C-101B-9397-08002B2CF9AE}" pid="4" name="KSOTemplateDocerSaveRecord">
    <vt:lpwstr>eyJoZGlkIjoiNTM2NWMxYmIwMTEzMTk3MDU0ZTMxZjQ2N2JlMWRhMDciLCJ1c2VySWQiOiI5MDU1NzM2NjkifQ==</vt:lpwstr>
  </property>
</Properties>
</file>