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69565A">
      <w:pPr>
        <w:spacing w:before="156" w:beforeLines="50" w:after="156" w:afterLines="50" w:line="400" w:lineRule="exact"/>
        <w:rPr>
          <w:rFonts w:ascii="Times New Roman" w:hAnsi="Times New Roman" w:eastAsia="宋体" w:cs="Times New Roman"/>
          <w:bCs/>
          <w:iCs/>
          <w:color w:val="000000"/>
          <w:sz w:val="28"/>
        </w:rPr>
      </w:pPr>
      <w:r>
        <w:rPr>
          <w:rFonts w:ascii="Times New Roman" w:hAnsi="Times New Roman" w:eastAsia="宋体" w:cs="Times New Roman"/>
          <w:bCs/>
          <w:iCs/>
          <w:color w:val="000000"/>
          <w:sz w:val="28"/>
        </w:rPr>
        <w:t>证券代码：688</w:t>
      </w:r>
      <w:r>
        <w:rPr>
          <w:rFonts w:hint="eastAsia" w:ascii="Times New Roman" w:hAnsi="Times New Roman" w:eastAsia="宋体" w:cs="Times New Roman"/>
          <w:bCs/>
          <w:iCs/>
          <w:color w:val="000000"/>
          <w:sz w:val="28"/>
        </w:rPr>
        <w:t>252</w:t>
      </w:r>
      <w:r>
        <w:rPr>
          <w:rFonts w:ascii="Times New Roman" w:hAnsi="Times New Roman" w:eastAsia="宋体" w:cs="Times New Roman"/>
          <w:bCs/>
          <w:iCs/>
          <w:color w:val="000000"/>
          <w:sz w:val="28"/>
        </w:rPr>
        <w:t xml:space="preserve">                          证券简称：</w:t>
      </w:r>
      <w:r>
        <w:rPr>
          <w:rFonts w:hint="eastAsia" w:ascii="Times New Roman" w:hAnsi="Times New Roman" w:eastAsia="宋体" w:cs="Times New Roman"/>
          <w:bCs/>
          <w:iCs/>
          <w:color w:val="000000"/>
          <w:sz w:val="28"/>
        </w:rPr>
        <w:t>天德钰</w:t>
      </w:r>
    </w:p>
    <w:p w14:paraId="2E41E58C">
      <w:pPr>
        <w:spacing w:before="156" w:beforeLines="50" w:after="156" w:afterLines="50" w:line="400" w:lineRule="exact"/>
        <w:jc w:val="center"/>
        <w:rPr>
          <w:rFonts w:ascii="Times New Roman" w:hAnsi="Times New Roman" w:eastAsia="宋体" w:cs="Times New Roman"/>
          <w:b/>
          <w:bCs/>
          <w:iCs/>
          <w:color w:val="000000"/>
          <w:sz w:val="32"/>
          <w:szCs w:val="32"/>
        </w:rPr>
      </w:pPr>
    </w:p>
    <w:p w14:paraId="296B273C">
      <w:pPr>
        <w:keepNext w:val="0"/>
        <w:keepLines w:val="0"/>
        <w:pageBreakBefore w:val="0"/>
        <w:widowControl w:val="0"/>
        <w:kinsoku/>
        <w:wordWrap/>
        <w:overflowPunct/>
        <w:topLinePunct w:val="0"/>
        <w:autoSpaceDE/>
        <w:autoSpaceDN/>
        <w:bidi w:val="0"/>
        <w:adjustRightInd/>
        <w:snapToGrid/>
        <w:spacing w:before="156" w:beforeLines="50" w:after="156" w:afterLines="50" w:line="360" w:lineRule="auto"/>
        <w:jc w:val="center"/>
        <w:textAlignment w:val="auto"/>
        <w:rPr>
          <w:rFonts w:ascii="Times New Roman" w:hAnsi="Times New Roman" w:eastAsia="宋体" w:cs="Times New Roman"/>
          <w:b/>
          <w:bCs/>
          <w:iCs/>
          <w:color w:val="000000"/>
          <w:sz w:val="32"/>
          <w:szCs w:val="32"/>
        </w:rPr>
      </w:pPr>
      <w:r>
        <w:rPr>
          <w:rFonts w:hint="eastAsia" w:ascii="Times New Roman" w:hAnsi="Times New Roman" w:eastAsia="宋体" w:cs="Times New Roman"/>
          <w:b/>
          <w:bCs/>
          <w:iCs/>
          <w:color w:val="000000"/>
          <w:sz w:val="32"/>
          <w:szCs w:val="32"/>
        </w:rPr>
        <w:t>深圳天德钰科技</w:t>
      </w:r>
      <w:r>
        <w:rPr>
          <w:rFonts w:ascii="Times New Roman" w:hAnsi="Times New Roman" w:eastAsia="宋体" w:cs="Times New Roman"/>
          <w:b/>
          <w:bCs/>
          <w:iCs/>
          <w:color w:val="000000"/>
          <w:sz w:val="32"/>
          <w:szCs w:val="32"/>
        </w:rPr>
        <w:t>股份有限公司投资者关系活动记录表</w:t>
      </w:r>
    </w:p>
    <w:p w14:paraId="37B6AD92">
      <w:pPr>
        <w:spacing w:line="400" w:lineRule="exact"/>
        <w:rPr>
          <w:rFonts w:ascii="Times New Roman" w:hAnsi="Times New Roman" w:eastAsia="宋体" w:cs="Times New Roman"/>
          <w:bCs/>
          <w:iCs/>
          <w:sz w:val="24"/>
        </w:rPr>
      </w:pPr>
      <w:r>
        <w:rPr>
          <w:rFonts w:ascii="Times New Roman" w:hAnsi="Times New Roman" w:eastAsia="宋体" w:cs="Times New Roman"/>
          <w:bCs/>
          <w:iCs/>
          <w:color w:val="000000"/>
          <w:sz w:val="24"/>
        </w:rPr>
        <w:t xml:space="preserve">                                                      </w:t>
      </w:r>
      <w:r>
        <w:rPr>
          <w:rFonts w:ascii="Times New Roman" w:hAnsi="Times New Roman" w:eastAsia="宋体" w:cs="Times New Roman"/>
          <w:bCs/>
          <w:iCs/>
          <w:color w:val="FF0000"/>
          <w:sz w:val="24"/>
        </w:rPr>
        <w:t xml:space="preserve"> </w:t>
      </w:r>
      <w:r>
        <w:rPr>
          <w:rFonts w:ascii="Times New Roman" w:hAnsi="Times New Roman" w:eastAsia="宋体" w:cs="Times New Roman"/>
          <w:bCs/>
          <w:iCs/>
          <w:sz w:val="24"/>
        </w:rPr>
        <w:t xml:space="preserve"> </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3648"/>
        <w:gridCol w:w="3686"/>
      </w:tblGrid>
      <w:tr w14:paraId="7ACA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74E448E6">
            <w:pPr>
              <w:jc w:val="center"/>
              <w:rPr>
                <w:rFonts w:ascii="Times New Roman" w:hAnsi="Times New Roman" w:eastAsia="宋体" w:cs="Times New Roman"/>
                <w:bCs/>
                <w:iCs/>
                <w:color w:val="000000"/>
                <w:sz w:val="24"/>
                <w:szCs w:val="24"/>
              </w:rPr>
            </w:pPr>
            <w:r>
              <w:rPr>
                <w:rFonts w:ascii="Times New Roman" w:hAnsi="Times New Roman" w:eastAsia="宋体" w:cs="Times New Roman"/>
                <w:bCs/>
                <w:iCs/>
                <w:color w:val="000000"/>
                <w:sz w:val="24"/>
                <w:szCs w:val="24"/>
              </w:rPr>
              <w:t>投资者关系活动类别</w:t>
            </w:r>
          </w:p>
          <w:p w14:paraId="7CAB181E">
            <w:pPr>
              <w:jc w:val="center"/>
              <w:rPr>
                <w:rFonts w:ascii="Times New Roman" w:hAnsi="Times New Roman" w:eastAsia="宋体" w:cs="Times New Roman"/>
                <w:bCs/>
                <w:iCs/>
                <w:color w:val="000000"/>
                <w:sz w:val="24"/>
                <w:szCs w:val="24"/>
              </w:rPr>
            </w:pPr>
          </w:p>
        </w:tc>
        <w:tc>
          <w:tcPr>
            <w:tcW w:w="4302" w:type="pct"/>
            <w:gridSpan w:val="2"/>
            <w:tcBorders>
              <w:top w:val="single" w:color="auto" w:sz="4" w:space="0"/>
              <w:left w:val="single" w:color="auto" w:sz="4" w:space="0"/>
              <w:bottom w:val="single" w:color="auto" w:sz="4" w:space="0"/>
              <w:right w:val="single" w:color="auto" w:sz="4" w:space="0"/>
            </w:tcBorders>
            <w:shd w:val="clear" w:color="auto" w:fill="auto"/>
          </w:tcPr>
          <w:p w14:paraId="18183491">
            <w:pPr>
              <w:spacing w:line="480" w:lineRule="atLeast"/>
              <w:rPr>
                <w:rFonts w:ascii="Times New Roman" w:hAnsi="Times New Roman" w:eastAsia="宋体" w:cs="Times New Roman"/>
                <w:bCs/>
                <w:iCs/>
                <w:color w:val="000000"/>
                <w:sz w:val="24"/>
                <w:szCs w:val="24"/>
              </w:rPr>
            </w:pPr>
            <w:r>
              <w:rPr>
                <w:rFonts w:ascii="Times New Roman" w:hAnsi="Times New Roman" w:eastAsia="宋体" w:cs="Times New Roman"/>
                <w:bCs/>
                <w:iCs/>
                <w:color w:val="000000"/>
                <w:sz w:val="24"/>
                <w:szCs w:val="24"/>
              </w:rPr>
              <w:sym w:font="Wingdings 2" w:char="00A3"/>
            </w:r>
            <w:r>
              <w:rPr>
                <w:rFonts w:ascii="Times New Roman" w:hAnsi="Times New Roman" w:eastAsia="宋体" w:cs="Times New Roman"/>
                <w:sz w:val="24"/>
                <w:szCs w:val="24"/>
              </w:rPr>
              <w:t xml:space="preserve">特定对象调研        </w:t>
            </w:r>
            <w:r>
              <w:rPr>
                <w:rFonts w:hint="eastAsia" w:ascii="Times New Roman" w:hAnsi="Times New Roman" w:eastAsia="宋体" w:cs="Times New Roman"/>
                <w:bCs/>
                <w:iCs/>
                <w:color w:val="000000"/>
                <w:sz w:val="24"/>
                <w:szCs w:val="24"/>
                <w:lang w:eastAsia="zh-CN"/>
              </w:rPr>
              <w:t>□</w:t>
            </w:r>
            <w:r>
              <w:rPr>
                <w:rFonts w:ascii="Times New Roman" w:hAnsi="Times New Roman" w:eastAsia="宋体" w:cs="Times New Roman"/>
                <w:sz w:val="24"/>
                <w:szCs w:val="24"/>
              </w:rPr>
              <w:t>分析师会议</w:t>
            </w:r>
          </w:p>
          <w:p w14:paraId="6371CB54">
            <w:pPr>
              <w:spacing w:line="480" w:lineRule="atLeast"/>
              <w:rPr>
                <w:rFonts w:ascii="Times New Roman" w:hAnsi="Times New Roman" w:eastAsia="宋体" w:cs="Times New Roman"/>
                <w:bCs/>
                <w:iCs/>
                <w:color w:val="000000"/>
                <w:sz w:val="24"/>
                <w:szCs w:val="24"/>
              </w:rPr>
            </w:pPr>
            <w:r>
              <w:rPr>
                <w:rFonts w:hint="eastAsia" w:ascii="Times New Roman" w:hAnsi="Times New Roman" w:eastAsia="宋体" w:cs="Times New Roman"/>
                <w:bCs/>
                <w:iCs/>
                <w:color w:val="000000"/>
                <w:sz w:val="24"/>
                <w:szCs w:val="24"/>
                <w:lang w:eastAsia="zh-CN"/>
              </w:rPr>
              <w:t>□</w:t>
            </w:r>
            <w:r>
              <w:rPr>
                <w:rFonts w:ascii="Times New Roman" w:hAnsi="Times New Roman" w:eastAsia="宋体" w:cs="Times New Roman"/>
                <w:sz w:val="24"/>
                <w:szCs w:val="24"/>
              </w:rPr>
              <w:t xml:space="preserve">媒体采访            </w:t>
            </w:r>
            <w:r>
              <w:rPr>
                <w:rFonts w:hint="eastAsia" w:ascii="Times New Roman" w:hAnsi="Times New Roman" w:eastAsia="宋体" w:cs="Times New Roman"/>
                <w:bCs/>
                <w:iCs/>
                <w:color w:val="000000"/>
                <w:sz w:val="24"/>
                <w:szCs w:val="24"/>
                <w:lang w:eastAsia="zh-CN"/>
              </w:rPr>
              <w:t>☑</w:t>
            </w:r>
            <w:r>
              <w:rPr>
                <w:rFonts w:ascii="Times New Roman" w:hAnsi="Times New Roman" w:eastAsia="宋体" w:cs="Times New Roman"/>
                <w:sz w:val="24"/>
                <w:szCs w:val="24"/>
              </w:rPr>
              <w:t>业绩说明会</w:t>
            </w:r>
          </w:p>
          <w:p w14:paraId="4A7206E5">
            <w:pPr>
              <w:spacing w:line="480" w:lineRule="atLeast"/>
              <w:rPr>
                <w:rFonts w:ascii="Times New Roman" w:hAnsi="Times New Roman" w:eastAsia="宋体" w:cs="Times New Roman"/>
                <w:bCs/>
                <w:iCs/>
                <w:color w:val="000000"/>
                <w:sz w:val="24"/>
                <w:szCs w:val="24"/>
              </w:rPr>
            </w:pPr>
            <w:r>
              <w:rPr>
                <w:rFonts w:hint="eastAsia" w:ascii="Times New Roman" w:hAnsi="Times New Roman" w:eastAsia="宋体" w:cs="Times New Roman"/>
                <w:bCs/>
                <w:iCs/>
                <w:color w:val="000000"/>
                <w:sz w:val="24"/>
                <w:szCs w:val="24"/>
                <w:lang w:eastAsia="zh-CN"/>
              </w:rPr>
              <w:t>□</w:t>
            </w:r>
            <w:r>
              <w:rPr>
                <w:rFonts w:ascii="Times New Roman" w:hAnsi="Times New Roman" w:eastAsia="宋体" w:cs="Times New Roman"/>
                <w:sz w:val="24"/>
                <w:szCs w:val="24"/>
              </w:rPr>
              <w:t xml:space="preserve">新闻发布会          </w:t>
            </w:r>
            <w:r>
              <w:rPr>
                <w:rFonts w:hint="eastAsia" w:ascii="Times New Roman" w:hAnsi="Times New Roman" w:eastAsia="宋体" w:cs="Times New Roman"/>
                <w:bCs/>
                <w:iCs/>
                <w:color w:val="000000"/>
                <w:sz w:val="24"/>
                <w:szCs w:val="24"/>
                <w:lang w:eastAsia="zh-CN"/>
              </w:rPr>
              <w:t>□</w:t>
            </w:r>
            <w:r>
              <w:rPr>
                <w:rFonts w:ascii="Times New Roman" w:hAnsi="Times New Roman" w:eastAsia="宋体" w:cs="Times New Roman"/>
                <w:sz w:val="24"/>
                <w:szCs w:val="24"/>
              </w:rPr>
              <w:t>路演活动</w:t>
            </w:r>
          </w:p>
          <w:p w14:paraId="0C15B395">
            <w:pPr>
              <w:tabs>
                <w:tab w:val="left" w:pos="3045"/>
                <w:tab w:val="center" w:pos="3199"/>
              </w:tabs>
              <w:spacing w:line="480" w:lineRule="atLeast"/>
              <w:rPr>
                <w:rFonts w:ascii="Times New Roman" w:hAnsi="Times New Roman" w:eastAsia="宋体" w:cs="Times New Roman"/>
                <w:bCs/>
                <w:iCs/>
                <w:color w:val="000000"/>
                <w:sz w:val="24"/>
                <w:szCs w:val="24"/>
              </w:rPr>
            </w:pPr>
            <w:r>
              <w:rPr>
                <w:rFonts w:hint="eastAsia" w:ascii="Times New Roman" w:hAnsi="Times New Roman" w:eastAsia="宋体" w:cs="Times New Roman"/>
                <w:bCs/>
                <w:iCs/>
                <w:color w:val="000000"/>
                <w:sz w:val="24"/>
                <w:szCs w:val="24"/>
                <w:lang w:eastAsia="zh-CN"/>
              </w:rPr>
              <w:t>□</w:t>
            </w:r>
            <w:r>
              <w:rPr>
                <w:rFonts w:ascii="Times New Roman" w:hAnsi="Times New Roman" w:eastAsia="宋体" w:cs="Times New Roman"/>
                <w:sz w:val="24"/>
                <w:szCs w:val="24"/>
              </w:rPr>
              <w:t>现场参观</w:t>
            </w:r>
            <w:r>
              <w:rPr>
                <w:rFonts w:ascii="Times New Roman" w:hAnsi="Times New Roman" w:eastAsia="宋体" w:cs="Times New Roman"/>
                <w:bCs/>
                <w:iCs/>
                <w:color w:val="000000"/>
                <w:sz w:val="24"/>
                <w:szCs w:val="24"/>
              </w:rPr>
              <w:tab/>
            </w:r>
          </w:p>
          <w:p w14:paraId="717BFF38">
            <w:pPr>
              <w:tabs>
                <w:tab w:val="center" w:pos="3199"/>
              </w:tabs>
              <w:spacing w:line="480" w:lineRule="atLeast"/>
              <w:rPr>
                <w:rFonts w:ascii="Times New Roman" w:hAnsi="Times New Roman" w:eastAsia="宋体" w:cs="Times New Roman"/>
                <w:bCs/>
                <w:iCs/>
                <w:color w:val="000000"/>
                <w:sz w:val="24"/>
                <w:szCs w:val="24"/>
              </w:rPr>
            </w:pPr>
            <w:r>
              <w:rPr>
                <w:rFonts w:hint="eastAsia" w:ascii="Times New Roman" w:hAnsi="Times New Roman" w:eastAsia="宋体" w:cs="Times New Roman"/>
                <w:bCs/>
                <w:iCs/>
                <w:color w:val="000000"/>
                <w:sz w:val="24"/>
                <w:szCs w:val="24"/>
                <w:lang w:eastAsia="zh-CN"/>
              </w:rPr>
              <w:t>□</w:t>
            </w:r>
            <w:r>
              <w:rPr>
                <w:rFonts w:ascii="Times New Roman" w:hAnsi="Times New Roman" w:eastAsia="宋体" w:cs="Times New Roman"/>
                <w:sz w:val="24"/>
                <w:szCs w:val="24"/>
              </w:rPr>
              <w:t>其他 （</w:t>
            </w:r>
            <w:r>
              <w:rPr>
                <w:rFonts w:ascii="Times New Roman" w:hAnsi="Times New Roman" w:eastAsia="宋体" w:cs="Times New Roman"/>
                <w:sz w:val="24"/>
                <w:szCs w:val="24"/>
                <w:u w:val="single"/>
              </w:rPr>
              <w:t>请文字说明其他活动内容）</w:t>
            </w:r>
          </w:p>
        </w:tc>
      </w:tr>
      <w:tr w14:paraId="5126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697" w:type="pct"/>
            <w:vMerge w:val="restart"/>
            <w:tcBorders>
              <w:left w:val="single" w:color="auto" w:sz="4" w:space="0"/>
              <w:right w:val="single" w:color="auto" w:sz="4" w:space="0"/>
            </w:tcBorders>
            <w:shd w:val="clear" w:color="auto" w:fill="auto"/>
            <w:vAlign w:val="center"/>
          </w:tcPr>
          <w:p w14:paraId="1A4D13BF">
            <w:pPr>
              <w:jc w:val="center"/>
              <w:rPr>
                <w:rFonts w:ascii="Times New Roman" w:hAnsi="Times New Roman" w:eastAsia="宋体" w:cs="Times New Roman"/>
                <w:bCs/>
                <w:iCs/>
                <w:color w:val="000000"/>
                <w:sz w:val="24"/>
                <w:szCs w:val="24"/>
              </w:rPr>
            </w:pPr>
            <w:r>
              <w:rPr>
                <w:rFonts w:hint="eastAsia" w:ascii="Times New Roman" w:hAnsi="Times New Roman" w:eastAsia="宋体" w:cs="Times New Roman"/>
                <w:bCs/>
                <w:iCs/>
                <w:color w:val="000000"/>
                <w:sz w:val="24"/>
                <w:szCs w:val="24"/>
              </w:rPr>
              <w:t>参与单位名称</w:t>
            </w:r>
          </w:p>
        </w:tc>
        <w:tc>
          <w:tcPr>
            <w:tcW w:w="2140" w:type="pct"/>
            <w:tcBorders>
              <w:left w:val="single" w:color="auto" w:sz="4" w:space="0"/>
              <w:right w:val="single" w:color="auto" w:sz="4" w:space="0"/>
            </w:tcBorders>
            <w:shd w:val="clear" w:color="auto" w:fill="auto"/>
            <w:vAlign w:val="center"/>
          </w:tcPr>
          <w:p w14:paraId="302B54E6">
            <w:pPr>
              <w:keepNext w:val="0"/>
              <w:keepLines w:val="0"/>
              <w:widowControl/>
              <w:suppressLineNumbers w:val="0"/>
              <w:jc w:val="center"/>
              <w:textAlignment w:val="center"/>
              <w:rPr>
                <w:rFonts w:hint="eastAsia"/>
                <w:color w:val="000000"/>
                <w:sz w:val="18"/>
                <w:szCs w:val="18"/>
              </w:rPr>
            </w:pPr>
            <w:r>
              <w:rPr>
                <w:rFonts w:hint="eastAsia" w:ascii="宋体" w:hAnsi="宋体" w:eastAsia="宋体" w:cs="宋体"/>
                <w:i w:val="0"/>
                <w:iCs w:val="0"/>
                <w:color w:val="000000"/>
                <w:kern w:val="0"/>
                <w:sz w:val="22"/>
                <w:szCs w:val="22"/>
                <w:u w:val="none"/>
                <w:lang w:val="en-US" w:eastAsia="zh-CN" w:bidi="ar"/>
              </w:rPr>
              <w:t>上海汇正财经顾问有限公司</w:t>
            </w:r>
          </w:p>
        </w:tc>
        <w:tc>
          <w:tcPr>
            <w:tcW w:w="2162" w:type="pct"/>
            <w:tcBorders>
              <w:left w:val="single" w:color="auto" w:sz="4" w:space="0"/>
              <w:right w:val="single" w:color="auto" w:sz="4" w:space="0"/>
            </w:tcBorders>
            <w:shd w:val="clear" w:color="auto" w:fill="auto"/>
            <w:vAlign w:val="center"/>
          </w:tcPr>
          <w:p w14:paraId="67CDFCDC">
            <w:pPr>
              <w:keepNext w:val="0"/>
              <w:keepLines w:val="0"/>
              <w:widowControl/>
              <w:suppressLineNumbers w:val="0"/>
              <w:jc w:val="center"/>
              <w:textAlignment w:val="center"/>
              <w:rPr>
                <w:rFonts w:ascii="宋体" w:hAnsi="宋体" w:eastAsia="宋体" w:cs="宋体"/>
                <w:color w:val="000000"/>
                <w:kern w:val="0"/>
                <w:sz w:val="18"/>
                <w:szCs w:val="18"/>
                <w:lang w:bidi="ar"/>
              </w:rPr>
            </w:pPr>
            <w:r>
              <w:rPr>
                <w:rFonts w:hint="eastAsia" w:ascii="宋体" w:hAnsi="宋体" w:eastAsia="宋体" w:cs="宋体"/>
                <w:i w:val="0"/>
                <w:iCs w:val="0"/>
                <w:color w:val="000000"/>
                <w:kern w:val="0"/>
                <w:sz w:val="22"/>
                <w:szCs w:val="22"/>
                <w:u w:val="none"/>
                <w:lang w:val="en-US" w:eastAsia="zh-CN" w:bidi="ar"/>
              </w:rPr>
              <w:t>TOPAZ FAMILY OFFICE LIMITED</w:t>
            </w:r>
          </w:p>
        </w:tc>
      </w:tr>
      <w:tr w14:paraId="07C9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jc w:val="center"/>
        </w:trPr>
        <w:tc>
          <w:tcPr>
            <w:tcW w:w="697" w:type="pct"/>
            <w:vMerge w:val="continue"/>
            <w:tcBorders>
              <w:left w:val="single" w:color="auto" w:sz="4" w:space="0"/>
              <w:right w:val="single" w:color="auto" w:sz="4" w:space="0"/>
            </w:tcBorders>
            <w:shd w:val="clear" w:color="auto" w:fill="auto"/>
            <w:vAlign w:val="center"/>
          </w:tcPr>
          <w:p w14:paraId="3EA4434E">
            <w:pPr>
              <w:jc w:val="center"/>
              <w:rPr>
                <w:rFonts w:ascii="Times New Roman" w:hAnsi="Times New Roman" w:eastAsia="宋体" w:cs="Times New Roman"/>
                <w:bCs/>
                <w:iCs/>
                <w:color w:val="000000"/>
                <w:sz w:val="24"/>
                <w:szCs w:val="24"/>
              </w:rPr>
            </w:pPr>
          </w:p>
        </w:tc>
        <w:tc>
          <w:tcPr>
            <w:tcW w:w="2140" w:type="pct"/>
            <w:tcBorders>
              <w:left w:val="single" w:color="auto" w:sz="4" w:space="0"/>
              <w:right w:val="single" w:color="auto" w:sz="4" w:space="0"/>
            </w:tcBorders>
            <w:shd w:val="clear" w:color="auto" w:fill="auto"/>
            <w:vAlign w:val="center"/>
          </w:tcPr>
          <w:p w14:paraId="333FAD43">
            <w:pPr>
              <w:keepNext w:val="0"/>
              <w:keepLines w:val="0"/>
              <w:widowControl/>
              <w:suppressLineNumbers w:val="0"/>
              <w:jc w:val="center"/>
              <w:textAlignment w:val="center"/>
              <w:rPr>
                <w:rFonts w:hint="eastAsia"/>
                <w:color w:val="000000"/>
                <w:sz w:val="18"/>
                <w:szCs w:val="18"/>
              </w:rPr>
            </w:pPr>
            <w:r>
              <w:rPr>
                <w:rFonts w:hint="eastAsia" w:ascii="宋体" w:hAnsi="宋体" w:eastAsia="宋体" w:cs="宋体"/>
                <w:i w:val="0"/>
                <w:iCs w:val="0"/>
                <w:color w:val="000000"/>
                <w:kern w:val="0"/>
                <w:sz w:val="22"/>
                <w:szCs w:val="22"/>
                <w:u w:val="none"/>
                <w:lang w:val="en-US" w:eastAsia="zh-CN" w:bidi="ar"/>
              </w:rPr>
              <w:t>西安江岳私募基金管理有限公司</w:t>
            </w:r>
          </w:p>
        </w:tc>
        <w:tc>
          <w:tcPr>
            <w:tcW w:w="2162" w:type="pct"/>
            <w:tcBorders>
              <w:left w:val="single" w:color="auto" w:sz="4" w:space="0"/>
              <w:right w:val="single" w:color="auto" w:sz="4" w:space="0"/>
            </w:tcBorders>
            <w:shd w:val="clear" w:color="auto" w:fill="auto"/>
            <w:vAlign w:val="center"/>
          </w:tcPr>
          <w:p w14:paraId="7673DB7F">
            <w:pPr>
              <w:keepNext w:val="0"/>
              <w:keepLines w:val="0"/>
              <w:widowControl/>
              <w:suppressLineNumbers w:val="0"/>
              <w:jc w:val="center"/>
              <w:textAlignment w:val="center"/>
              <w:rPr>
                <w:rFonts w:ascii="宋体" w:hAnsi="宋体" w:eastAsia="宋体" w:cs="宋体"/>
                <w:color w:val="000000"/>
                <w:kern w:val="0"/>
                <w:sz w:val="18"/>
                <w:szCs w:val="18"/>
                <w:lang w:bidi="ar"/>
              </w:rPr>
            </w:pPr>
            <w:r>
              <w:rPr>
                <w:rFonts w:hint="eastAsia" w:ascii="宋体" w:hAnsi="宋体" w:eastAsia="宋体" w:cs="宋体"/>
                <w:i w:val="0"/>
                <w:iCs w:val="0"/>
                <w:color w:val="000000"/>
                <w:kern w:val="0"/>
                <w:sz w:val="22"/>
                <w:szCs w:val="22"/>
                <w:u w:val="none"/>
                <w:lang w:val="en-US" w:eastAsia="zh-CN" w:bidi="ar"/>
              </w:rPr>
              <w:t>深圳市尚诚资产管理有限责任公司</w:t>
            </w:r>
          </w:p>
        </w:tc>
      </w:tr>
      <w:tr w14:paraId="24020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697" w:type="pct"/>
            <w:vMerge w:val="continue"/>
            <w:tcBorders>
              <w:left w:val="single" w:color="auto" w:sz="4" w:space="0"/>
              <w:right w:val="single" w:color="auto" w:sz="4" w:space="0"/>
            </w:tcBorders>
            <w:shd w:val="clear" w:color="auto" w:fill="auto"/>
            <w:vAlign w:val="center"/>
          </w:tcPr>
          <w:p w14:paraId="52D9D5AA">
            <w:pPr>
              <w:widowControl/>
              <w:jc w:val="left"/>
              <w:textAlignment w:val="center"/>
            </w:pPr>
          </w:p>
        </w:tc>
        <w:tc>
          <w:tcPr>
            <w:tcW w:w="2140" w:type="pct"/>
            <w:tcBorders>
              <w:left w:val="single" w:color="auto" w:sz="4" w:space="0"/>
              <w:bottom w:val="single" w:color="auto" w:sz="4" w:space="0"/>
              <w:right w:val="single" w:color="auto" w:sz="4" w:space="0"/>
            </w:tcBorders>
            <w:shd w:val="clear" w:color="auto" w:fill="auto"/>
            <w:vAlign w:val="center"/>
          </w:tcPr>
          <w:p w14:paraId="1718D9C0">
            <w:pPr>
              <w:keepNext w:val="0"/>
              <w:keepLines w:val="0"/>
              <w:widowControl/>
              <w:suppressLineNumbers w:val="0"/>
              <w:jc w:val="center"/>
              <w:textAlignment w:val="center"/>
              <w:rPr>
                <w:rFonts w:hint="eastAsia"/>
                <w:color w:val="000000"/>
                <w:sz w:val="18"/>
                <w:szCs w:val="18"/>
              </w:rPr>
            </w:pPr>
            <w:r>
              <w:rPr>
                <w:rFonts w:hint="eastAsia" w:ascii="宋体" w:hAnsi="宋体" w:eastAsia="宋体" w:cs="宋体"/>
                <w:i w:val="0"/>
                <w:iCs w:val="0"/>
                <w:color w:val="000000"/>
                <w:kern w:val="0"/>
                <w:sz w:val="22"/>
                <w:szCs w:val="22"/>
                <w:u w:val="none"/>
                <w:lang w:val="en-US" w:eastAsia="zh-CN" w:bidi="ar"/>
              </w:rPr>
              <w:t>上海顶天投资有限公司</w:t>
            </w:r>
          </w:p>
        </w:tc>
        <w:tc>
          <w:tcPr>
            <w:tcW w:w="2162" w:type="pct"/>
            <w:tcBorders>
              <w:left w:val="single" w:color="auto" w:sz="4" w:space="0"/>
              <w:bottom w:val="single" w:color="auto" w:sz="4" w:space="0"/>
              <w:right w:val="single" w:color="auto" w:sz="4" w:space="0"/>
            </w:tcBorders>
            <w:shd w:val="clear" w:color="auto" w:fill="auto"/>
            <w:vAlign w:val="center"/>
          </w:tcPr>
          <w:p w14:paraId="249E8F1E">
            <w:pPr>
              <w:keepNext w:val="0"/>
              <w:keepLines w:val="0"/>
              <w:widowControl/>
              <w:suppressLineNumbers w:val="0"/>
              <w:jc w:val="center"/>
              <w:textAlignment w:val="center"/>
              <w:rPr>
                <w:rFonts w:ascii="宋体" w:hAnsi="宋体" w:eastAsia="宋体" w:cs="宋体"/>
                <w:color w:val="000000"/>
                <w:kern w:val="0"/>
                <w:sz w:val="18"/>
                <w:szCs w:val="18"/>
                <w:lang w:bidi="ar"/>
              </w:rPr>
            </w:pPr>
            <w:r>
              <w:rPr>
                <w:rFonts w:hint="eastAsia" w:ascii="宋体" w:hAnsi="宋体" w:eastAsia="宋体" w:cs="宋体"/>
                <w:i w:val="0"/>
                <w:iCs w:val="0"/>
                <w:color w:val="000000"/>
                <w:kern w:val="0"/>
                <w:sz w:val="22"/>
                <w:szCs w:val="22"/>
                <w:u w:val="none"/>
                <w:lang w:val="en-US" w:eastAsia="zh-CN" w:bidi="ar"/>
              </w:rPr>
              <w:t>富安达基金管理有限公司</w:t>
            </w:r>
          </w:p>
        </w:tc>
      </w:tr>
      <w:tr w14:paraId="77CC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697" w:type="pct"/>
            <w:vMerge w:val="continue"/>
            <w:tcBorders>
              <w:left w:val="single" w:color="auto" w:sz="4" w:space="0"/>
              <w:right w:val="single" w:color="auto" w:sz="4" w:space="0"/>
            </w:tcBorders>
            <w:shd w:val="clear" w:color="auto" w:fill="auto"/>
            <w:vAlign w:val="center"/>
          </w:tcPr>
          <w:p w14:paraId="4E2AC9CE">
            <w:pPr>
              <w:widowControl/>
              <w:jc w:val="left"/>
              <w:textAlignment w:val="center"/>
            </w:pPr>
          </w:p>
        </w:tc>
        <w:tc>
          <w:tcPr>
            <w:tcW w:w="2140" w:type="pct"/>
            <w:tcBorders>
              <w:left w:val="single" w:color="auto" w:sz="4" w:space="0"/>
              <w:bottom w:val="single" w:color="auto" w:sz="4" w:space="0"/>
              <w:right w:val="single" w:color="auto" w:sz="4" w:space="0"/>
            </w:tcBorders>
            <w:shd w:val="clear" w:color="auto" w:fill="auto"/>
            <w:vAlign w:val="center"/>
          </w:tcPr>
          <w:p w14:paraId="0884EC5E">
            <w:pPr>
              <w:keepNext w:val="0"/>
              <w:keepLines w:val="0"/>
              <w:widowControl/>
              <w:suppressLineNumbers w:val="0"/>
              <w:jc w:val="center"/>
              <w:textAlignment w:val="center"/>
              <w:rPr>
                <w:rFonts w:hint="eastAsia"/>
                <w:color w:val="000000"/>
                <w:sz w:val="18"/>
                <w:szCs w:val="18"/>
              </w:rPr>
            </w:pPr>
            <w:r>
              <w:rPr>
                <w:rFonts w:hint="eastAsia" w:ascii="宋体" w:hAnsi="宋体" w:eastAsia="宋体" w:cs="宋体"/>
                <w:i w:val="0"/>
                <w:iCs w:val="0"/>
                <w:color w:val="000000"/>
                <w:kern w:val="0"/>
                <w:sz w:val="22"/>
                <w:szCs w:val="22"/>
                <w:u w:val="none"/>
                <w:lang w:val="en-US" w:eastAsia="zh-CN" w:bidi="ar"/>
              </w:rPr>
              <w:t>国信证券股份有限公司</w:t>
            </w:r>
          </w:p>
        </w:tc>
        <w:tc>
          <w:tcPr>
            <w:tcW w:w="2162" w:type="pct"/>
            <w:tcBorders>
              <w:left w:val="single" w:color="auto" w:sz="4" w:space="0"/>
              <w:bottom w:val="single" w:color="auto" w:sz="4" w:space="0"/>
              <w:right w:val="single" w:color="auto" w:sz="4" w:space="0"/>
            </w:tcBorders>
            <w:shd w:val="clear" w:color="auto" w:fill="auto"/>
            <w:vAlign w:val="center"/>
          </w:tcPr>
          <w:p w14:paraId="66F8F497">
            <w:pPr>
              <w:keepNext w:val="0"/>
              <w:keepLines w:val="0"/>
              <w:widowControl/>
              <w:suppressLineNumbers w:val="0"/>
              <w:jc w:val="center"/>
              <w:textAlignment w:val="center"/>
              <w:rPr>
                <w:rFonts w:ascii="宋体" w:hAnsi="宋体" w:eastAsia="宋体" w:cs="宋体"/>
                <w:color w:val="000000"/>
                <w:kern w:val="0"/>
                <w:sz w:val="18"/>
                <w:szCs w:val="18"/>
                <w:lang w:bidi="ar"/>
              </w:rPr>
            </w:pPr>
            <w:r>
              <w:rPr>
                <w:rFonts w:hint="eastAsia" w:ascii="宋体" w:hAnsi="宋体" w:eastAsia="宋体" w:cs="宋体"/>
                <w:i w:val="0"/>
                <w:iCs w:val="0"/>
                <w:color w:val="000000"/>
                <w:kern w:val="0"/>
                <w:sz w:val="22"/>
                <w:szCs w:val="22"/>
                <w:u w:val="none"/>
                <w:lang w:val="en-US" w:eastAsia="zh-CN" w:bidi="ar"/>
              </w:rPr>
              <w:t>广州市航长投资管理有限公司</w:t>
            </w:r>
          </w:p>
        </w:tc>
      </w:tr>
      <w:tr w14:paraId="3EF54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697" w:type="pct"/>
            <w:vMerge w:val="continue"/>
            <w:tcBorders>
              <w:left w:val="single" w:color="auto" w:sz="4" w:space="0"/>
              <w:right w:val="single" w:color="auto" w:sz="4" w:space="0"/>
            </w:tcBorders>
            <w:shd w:val="clear" w:color="auto" w:fill="auto"/>
            <w:vAlign w:val="center"/>
          </w:tcPr>
          <w:p w14:paraId="37A5A7AB">
            <w:pPr>
              <w:widowControl/>
              <w:jc w:val="left"/>
              <w:textAlignment w:val="center"/>
            </w:pPr>
          </w:p>
        </w:tc>
        <w:tc>
          <w:tcPr>
            <w:tcW w:w="2140" w:type="pct"/>
            <w:tcBorders>
              <w:left w:val="single" w:color="auto" w:sz="4" w:space="0"/>
              <w:bottom w:val="single" w:color="auto" w:sz="4" w:space="0"/>
              <w:right w:val="single" w:color="auto" w:sz="4" w:space="0"/>
            </w:tcBorders>
            <w:shd w:val="clear" w:color="auto" w:fill="auto"/>
            <w:vAlign w:val="center"/>
          </w:tcPr>
          <w:p w14:paraId="27C7209F">
            <w:pPr>
              <w:keepNext w:val="0"/>
              <w:keepLines w:val="0"/>
              <w:widowControl/>
              <w:suppressLineNumbers w:val="0"/>
              <w:jc w:val="center"/>
              <w:textAlignment w:val="center"/>
              <w:rPr>
                <w:rFonts w:hint="eastAsia"/>
                <w:color w:val="000000"/>
                <w:sz w:val="18"/>
                <w:szCs w:val="18"/>
              </w:rPr>
            </w:pPr>
            <w:r>
              <w:rPr>
                <w:rFonts w:hint="eastAsia" w:ascii="宋体" w:hAnsi="宋体" w:eastAsia="宋体" w:cs="宋体"/>
                <w:i w:val="0"/>
                <w:iCs w:val="0"/>
                <w:color w:val="000000"/>
                <w:kern w:val="0"/>
                <w:sz w:val="22"/>
                <w:szCs w:val="22"/>
                <w:u w:val="none"/>
                <w:lang w:val="en-US" w:eastAsia="zh-CN" w:bidi="ar"/>
              </w:rPr>
              <w:t>华福证券股份有限公司</w:t>
            </w:r>
          </w:p>
        </w:tc>
        <w:tc>
          <w:tcPr>
            <w:tcW w:w="2162" w:type="pct"/>
            <w:tcBorders>
              <w:left w:val="single" w:color="auto" w:sz="4" w:space="0"/>
              <w:bottom w:val="single" w:color="auto" w:sz="4" w:space="0"/>
              <w:right w:val="single" w:color="auto" w:sz="4" w:space="0"/>
            </w:tcBorders>
            <w:shd w:val="clear" w:color="auto" w:fill="auto"/>
            <w:vAlign w:val="center"/>
          </w:tcPr>
          <w:p w14:paraId="40F62BA6">
            <w:pPr>
              <w:keepNext w:val="0"/>
              <w:keepLines w:val="0"/>
              <w:widowControl/>
              <w:suppressLineNumbers w:val="0"/>
              <w:jc w:val="center"/>
              <w:textAlignment w:val="center"/>
              <w:rPr>
                <w:rFonts w:ascii="宋体" w:hAnsi="宋体" w:eastAsia="宋体" w:cs="宋体"/>
                <w:color w:val="000000"/>
                <w:kern w:val="0"/>
                <w:sz w:val="18"/>
                <w:szCs w:val="18"/>
                <w:lang w:bidi="ar"/>
              </w:rPr>
            </w:pPr>
            <w:r>
              <w:rPr>
                <w:rFonts w:hint="eastAsia" w:ascii="宋体" w:hAnsi="宋体" w:eastAsia="宋体" w:cs="宋体"/>
                <w:i w:val="0"/>
                <w:iCs w:val="0"/>
                <w:color w:val="000000"/>
                <w:kern w:val="0"/>
                <w:sz w:val="22"/>
                <w:szCs w:val="22"/>
                <w:u w:val="none"/>
                <w:lang w:val="en-US" w:eastAsia="zh-CN" w:bidi="ar"/>
              </w:rPr>
              <w:t>上海宽远资产管理有限公司</w:t>
            </w:r>
          </w:p>
        </w:tc>
      </w:tr>
      <w:tr w14:paraId="6899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697" w:type="pct"/>
            <w:vMerge w:val="continue"/>
            <w:tcBorders>
              <w:left w:val="single" w:color="auto" w:sz="4" w:space="0"/>
              <w:right w:val="single" w:color="auto" w:sz="4" w:space="0"/>
            </w:tcBorders>
            <w:shd w:val="clear" w:color="auto" w:fill="auto"/>
            <w:vAlign w:val="center"/>
          </w:tcPr>
          <w:p w14:paraId="5E1D43CE">
            <w:pPr>
              <w:widowControl/>
              <w:jc w:val="left"/>
              <w:textAlignment w:val="center"/>
            </w:pPr>
          </w:p>
        </w:tc>
        <w:tc>
          <w:tcPr>
            <w:tcW w:w="2140" w:type="pct"/>
            <w:tcBorders>
              <w:left w:val="single" w:color="auto" w:sz="4" w:space="0"/>
              <w:bottom w:val="single" w:color="auto" w:sz="4" w:space="0"/>
              <w:right w:val="single" w:color="auto" w:sz="4" w:space="0"/>
            </w:tcBorders>
            <w:shd w:val="clear" w:color="auto" w:fill="auto"/>
            <w:vAlign w:val="center"/>
          </w:tcPr>
          <w:p w14:paraId="00C44F4F">
            <w:pPr>
              <w:keepNext w:val="0"/>
              <w:keepLines w:val="0"/>
              <w:widowControl/>
              <w:suppressLineNumbers w:val="0"/>
              <w:jc w:val="center"/>
              <w:textAlignment w:val="center"/>
              <w:rPr>
                <w:rFonts w:hint="eastAsia"/>
                <w:color w:val="000000"/>
                <w:sz w:val="18"/>
                <w:szCs w:val="18"/>
              </w:rPr>
            </w:pPr>
            <w:r>
              <w:rPr>
                <w:rFonts w:hint="eastAsia" w:ascii="宋体" w:hAnsi="宋体" w:eastAsia="宋体" w:cs="宋体"/>
                <w:i w:val="0"/>
                <w:iCs w:val="0"/>
                <w:color w:val="000000"/>
                <w:kern w:val="0"/>
                <w:sz w:val="22"/>
                <w:szCs w:val="22"/>
                <w:u w:val="none"/>
                <w:lang w:val="en-US" w:eastAsia="zh-CN" w:bidi="ar"/>
              </w:rPr>
              <w:t>华泰证券股份有限公司</w:t>
            </w:r>
          </w:p>
        </w:tc>
        <w:tc>
          <w:tcPr>
            <w:tcW w:w="2162" w:type="pct"/>
            <w:tcBorders>
              <w:left w:val="single" w:color="auto" w:sz="4" w:space="0"/>
              <w:bottom w:val="single" w:color="auto" w:sz="4" w:space="0"/>
              <w:right w:val="single" w:color="auto" w:sz="4" w:space="0"/>
            </w:tcBorders>
            <w:shd w:val="clear" w:color="auto" w:fill="auto"/>
            <w:vAlign w:val="center"/>
          </w:tcPr>
          <w:p w14:paraId="76139722">
            <w:pPr>
              <w:keepNext w:val="0"/>
              <w:keepLines w:val="0"/>
              <w:widowControl/>
              <w:suppressLineNumbers w:val="0"/>
              <w:jc w:val="center"/>
              <w:textAlignment w:val="center"/>
              <w:rPr>
                <w:rFonts w:ascii="宋体" w:hAnsi="宋体" w:eastAsia="宋体" w:cs="宋体"/>
                <w:color w:val="000000"/>
                <w:kern w:val="0"/>
                <w:sz w:val="18"/>
                <w:szCs w:val="18"/>
                <w:lang w:bidi="ar"/>
              </w:rPr>
            </w:pPr>
            <w:r>
              <w:rPr>
                <w:rFonts w:hint="eastAsia" w:ascii="宋体" w:hAnsi="宋体" w:eastAsia="宋体" w:cs="宋体"/>
                <w:i w:val="0"/>
                <w:iCs w:val="0"/>
                <w:color w:val="000000"/>
                <w:kern w:val="0"/>
                <w:sz w:val="22"/>
                <w:szCs w:val="22"/>
                <w:u w:val="none"/>
                <w:lang w:val="en-US" w:eastAsia="zh-CN" w:bidi="ar"/>
              </w:rPr>
              <w:t>杭州玖龙资产管理有限公司</w:t>
            </w:r>
          </w:p>
        </w:tc>
      </w:tr>
      <w:tr w14:paraId="729E4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697" w:type="pct"/>
            <w:vMerge w:val="continue"/>
            <w:tcBorders>
              <w:left w:val="single" w:color="auto" w:sz="4" w:space="0"/>
              <w:right w:val="single" w:color="auto" w:sz="4" w:space="0"/>
            </w:tcBorders>
            <w:shd w:val="clear" w:color="auto" w:fill="auto"/>
            <w:vAlign w:val="center"/>
          </w:tcPr>
          <w:p w14:paraId="5B8C9B22">
            <w:pPr>
              <w:widowControl/>
              <w:jc w:val="left"/>
              <w:textAlignment w:val="center"/>
            </w:pPr>
          </w:p>
        </w:tc>
        <w:tc>
          <w:tcPr>
            <w:tcW w:w="2140" w:type="pct"/>
            <w:tcBorders>
              <w:left w:val="single" w:color="auto" w:sz="4" w:space="0"/>
              <w:bottom w:val="single" w:color="auto" w:sz="4" w:space="0"/>
              <w:right w:val="single" w:color="auto" w:sz="4" w:space="0"/>
            </w:tcBorders>
            <w:shd w:val="clear" w:color="auto" w:fill="auto"/>
            <w:vAlign w:val="center"/>
          </w:tcPr>
          <w:p w14:paraId="23616F49">
            <w:pPr>
              <w:keepNext w:val="0"/>
              <w:keepLines w:val="0"/>
              <w:widowControl/>
              <w:suppressLineNumbers w:val="0"/>
              <w:jc w:val="center"/>
              <w:textAlignment w:val="center"/>
              <w:rPr>
                <w:rFonts w:hint="eastAsia"/>
                <w:color w:val="000000"/>
                <w:sz w:val="18"/>
                <w:szCs w:val="18"/>
              </w:rPr>
            </w:pPr>
            <w:r>
              <w:rPr>
                <w:rFonts w:hint="eastAsia" w:ascii="宋体" w:hAnsi="宋体" w:eastAsia="宋体" w:cs="宋体"/>
                <w:i w:val="0"/>
                <w:iCs w:val="0"/>
                <w:color w:val="000000"/>
                <w:kern w:val="0"/>
                <w:sz w:val="22"/>
                <w:szCs w:val="22"/>
                <w:u w:val="none"/>
                <w:lang w:val="en-US" w:eastAsia="zh-CN" w:bidi="ar"/>
              </w:rPr>
              <w:t>浦银安盛基金管理有限公司</w:t>
            </w:r>
          </w:p>
        </w:tc>
        <w:tc>
          <w:tcPr>
            <w:tcW w:w="2162" w:type="pct"/>
            <w:tcBorders>
              <w:left w:val="single" w:color="auto" w:sz="4" w:space="0"/>
              <w:bottom w:val="single" w:color="auto" w:sz="4" w:space="0"/>
              <w:right w:val="single" w:color="auto" w:sz="4" w:space="0"/>
            </w:tcBorders>
            <w:shd w:val="clear" w:color="auto" w:fill="auto"/>
            <w:vAlign w:val="center"/>
          </w:tcPr>
          <w:p w14:paraId="4B63C26D">
            <w:pPr>
              <w:keepNext w:val="0"/>
              <w:keepLines w:val="0"/>
              <w:widowControl/>
              <w:suppressLineNumbers w:val="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22"/>
                <w:szCs w:val="22"/>
                <w:u w:val="none"/>
                <w:lang w:val="en-US" w:eastAsia="zh-CN" w:bidi="ar"/>
              </w:rPr>
              <w:t>上海合道资产管理有限公司</w:t>
            </w:r>
          </w:p>
        </w:tc>
      </w:tr>
      <w:tr w14:paraId="40AD7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697" w:type="pct"/>
            <w:vMerge w:val="continue"/>
            <w:tcBorders>
              <w:left w:val="single" w:color="auto" w:sz="4" w:space="0"/>
              <w:right w:val="single" w:color="auto" w:sz="4" w:space="0"/>
            </w:tcBorders>
            <w:shd w:val="clear" w:color="auto" w:fill="auto"/>
            <w:vAlign w:val="center"/>
          </w:tcPr>
          <w:p w14:paraId="1BA75141">
            <w:pPr>
              <w:widowControl/>
              <w:jc w:val="left"/>
              <w:textAlignment w:val="center"/>
            </w:pPr>
          </w:p>
        </w:tc>
        <w:tc>
          <w:tcPr>
            <w:tcW w:w="2140" w:type="pct"/>
            <w:tcBorders>
              <w:left w:val="single" w:color="auto" w:sz="4" w:space="0"/>
              <w:bottom w:val="single" w:color="auto" w:sz="4" w:space="0"/>
              <w:right w:val="single" w:color="auto" w:sz="4" w:space="0"/>
            </w:tcBorders>
            <w:shd w:val="clear" w:color="auto" w:fill="auto"/>
            <w:vAlign w:val="center"/>
          </w:tcPr>
          <w:p w14:paraId="7354D426">
            <w:pPr>
              <w:keepNext w:val="0"/>
              <w:keepLines w:val="0"/>
              <w:widowControl/>
              <w:suppressLineNumbers w:val="0"/>
              <w:jc w:val="center"/>
              <w:textAlignment w:val="center"/>
              <w:rPr>
                <w:rFonts w:hint="eastAsia"/>
                <w:color w:val="000000"/>
                <w:sz w:val="18"/>
                <w:szCs w:val="18"/>
              </w:rPr>
            </w:pPr>
            <w:r>
              <w:rPr>
                <w:rFonts w:hint="eastAsia" w:ascii="宋体" w:hAnsi="宋体" w:eastAsia="宋体" w:cs="宋体"/>
                <w:i w:val="0"/>
                <w:iCs w:val="0"/>
                <w:color w:val="000000"/>
                <w:kern w:val="0"/>
                <w:sz w:val="22"/>
                <w:szCs w:val="22"/>
                <w:u w:val="none"/>
                <w:lang w:val="en-US" w:eastAsia="zh-CN" w:bidi="ar"/>
              </w:rPr>
              <w:t>山西证券股份有限公司</w:t>
            </w:r>
          </w:p>
        </w:tc>
        <w:tc>
          <w:tcPr>
            <w:tcW w:w="2162" w:type="pct"/>
            <w:tcBorders>
              <w:left w:val="single" w:color="auto" w:sz="4" w:space="0"/>
              <w:bottom w:val="single" w:color="auto" w:sz="4" w:space="0"/>
              <w:right w:val="single" w:color="auto" w:sz="4" w:space="0"/>
            </w:tcBorders>
            <w:shd w:val="clear" w:color="auto" w:fill="auto"/>
            <w:vAlign w:val="center"/>
          </w:tcPr>
          <w:p w14:paraId="7348889A">
            <w:pPr>
              <w:keepNext w:val="0"/>
              <w:keepLines w:val="0"/>
              <w:widowControl/>
              <w:suppressLineNumbers w:val="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22"/>
                <w:szCs w:val="22"/>
                <w:u w:val="none"/>
                <w:lang w:val="en-US" w:eastAsia="zh-CN" w:bidi="ar"/>
              </w:rPr>
              <w:t>中信期货有限公司</w:t>
            </w:r>
          </w:p>
        </w:tc>
      </w:tr>
      <w:tr w14:paraId="3DF4B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697" w:type="pct"/>
            <w:vMerge w:val="continue"/>
            <w:tcBorders>
              <w:left w:val="single" w:color="auto" w:sz="4" w:space="0"/>
              <w:right w:val="single" w:color="auto" w:sz="4" w:space="0"/>
            </w:tcBorders>
            <w:shd w:val="clear" w:color="auto" w:fill="auto"/>
            <w:vAlign w:val="center"/>
          </w:tcPr>
          <w:p w14:paraId="69EF5971">
            <w:pPr>
              <w:widowControl/>
              <w:jc w:val="left"/>
              <w:textAlignment w:val="center"/>
            </w:pPr>
          </w:p>
        </w:tc>
        <w:tc>
          <w:tcPr>
            <w:tcW w:w="2140" w:type="pct"/>
            <w:tcBorders>
              <w:left w:val="single" w:color="auto" w:sz="4" w:space="0"/>
              <w:bottom w:val="single" w:color="auto" w:sz="4" w:space="0"/>
              <w:right w:val="single" w:color="auto" w:sz="4" w:space="0"/>
            </w:tcBorders>
            <w:shd w:val="clear" w:color="auto" w:fill="auto"/>
            <w:vAlign w:val="center"/>
          </w:tcPr>
          <w:p w14:paraId="46101F63">
            <w:pPr>
              <w:keepNext w:val="0"/>
              <w:keepLines w:val="0"/>
              <w:widowControl/>
              <w:suppressLineNumbers w:val="0"/>
              <w:jc w:val="center"/>
              <w:textAlignment w:val="center"/>
              <w:rPr>
                <w:rFonts w:hint="eastAsia"/>
                <w:color w:val="000000"/>
                <w:sz w:val="18"/>
                <w:szCs w:val="18"/>
              </w:rPr>
            </w:pPr>
            <w:r>
              <w:rPr>
                <w:rFonts w:hint="eastAsia" w:ascii="宋体" w:hAnsi="宋体" w:eastAsia="宋体" w:cs="宋体"/>
                <w:i w:val="0"/>
                <w:iCs w:val="0"/>
                <w:color w:val="000000"/>
                <w:kern w:val="0"/>
                <w:sz w:val="22"/>
                <w:szCs w:val="22"/>
                <w:u w:val="none"/>
                <w:lang w:val="en-US" w:eastAsia="zh-CN" w:bidi="ar"/>
              </w:rPr>
              <w:t>招商证券股份有限公司</w:t>
            </w:r>
          </w:p>
        </w:tc>
        <w:tc>
          <w:tcPr>
            <w:tcW w:w="2162" w:type="pct"/>
            <w:tcBorders>
              <w:left w:val="single" w:color="auto" w:sz="4" w:space="0"/>
              <w:bottom w:val="single" w:color="auto" w:sz="4" w:space="0"/>
              <w:right w:val="single" w:color="auto" w:sz="4" w:space="0"/>
            </w:tcBorders>
            <w:shd w:val="clear" w:color="auto" w:fill="auto"/>
            <w:vAlign w:val="center"/>
          </w:tcPr>
          <w:p w14:paraId="2B9CEB1E">
            <w:pPr>
              <w:keepNext w:val="0"/>
              <w:keepLines w:val="0"/>
              <w:widowControl/>
              <w:suppressLineNumbers w:val="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22"/>
                <w:szCs w:val="22"/>
                <w:u w:val="none"/>
                <w:lang w:val="en-US" w:eastAsia="zh-CN" w:bidi="ar"/>
              </w:rPr>
              <w:t>中国人民保险集团股份有限公司</w:t>
            </w:r>
          </w:p>
        </w:tc>
      </w:tr>
      <w:tr w14:paraId="71CFE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jc w:val="center"/>
        </w:trPr>
        <w:tc>
          <w:tcPr>
            <w:tcW w:w="697" w:type="pct"/>
            <w:vMerge w:val="continue"/>
            <w:tcBorders>
              <w:left w:val="single" w:color="auto" w:sz="4" w:space="0"/>
              <w:right w:val="single" w:color="auto" w:sz="4" w:space="0"/>
            </w:tcBorders>
            <w:shd w:val="clear" w:color="auto" w:fill="auto"/>
            <w:vAlign w:val="center"/>
          </w:tcPr>
          <w:p w14:paraId="369B9D0F">
            <w:pPr>
              <w:widowControl/>
              <w:jc w:val="left"/>
              <w:textAlignment w:val="center"/>
            </w:pPr>
          </w:p>
        </w:tc>
        <w:tc>
          <w:tcPr>
            <w:tcW w:w="2140" w:type="pct"/>
            <w:tcBorders>
              <w:left w:val="single" w:color="auto" w:sz="4" w:space="0"/>
              <w:bottom w:val="single" w:color="auto" w:sz="4" w:space="0"/>
              <w:right w:val="single" w:color="auto" w:sz="4" w:space="0"/>
            </w:tcBorders>
            <w:shd w:val="clear" w:color="auto" w:fill="auto"/>
            <w:vAlign w:val="center"/>
          </w:tcPr>
          <w:p w14:paraId="0B25F18E">
            <w:pPr>
              <w:keepNext w:val="0"/>
              <w:keepLines w:val="0"/>
              <w:widowControl/>
              <w:suppressLineNumbers w:val="0"/>
              <w:jc w:val="center"/>
              <w:textAlignment w:val="center"/>
              <w:rPr>
                <w:rFonts w:hint="eastAsia"/>
                <w:color w:val="000000"/>
                <w:sz w:val="18"/>
                <w:szCs w:val="18"/>
              </w:rPr>
            </w:pPr>
            <w:r>
              <w:rPr>
                <w:rFonts w:hint="eastAsia" w:ascii="宋体" w:hAnsi="宋体" w:eastAsia="宋体" w:cs="宋体"/>
                <w:i w:val="0"/>
                <w:iCs w:val="0"/>
                <w:color w:val="000000"/>
                <w:kern w:val="0"/>
                <w:sz w:val="22"/>
                <w:szCs w:val="22"/>
                <w:u w:val="none"/>
                <w:lang w:val="en-US" w:eastAsia="zh-CN" w:bidi="ar"/>
              </w:rPr>
              <w:t>鸿运私募基金管理(海南)有限公司</w:t>
            </w:r>
          </w:p>
        </w:tc>
        <w:tc>
          <w:tcPr>
            <w:tcW w:w="2162" w:type="pct"/>
            <w:tcBorders>
              <w:left w:val="single" w:color="auto" w:sz="4" w:space="0"/>
              <w:bottom w:val="single" w:color="auto" w:sz="4" w:space="0"/>
              <w:right w:val="single" w:color="auto" w:sz="4" w:space="0"/>
            </w:tcBorders>
            <w:shd w:val="clear" w:color="auto" w:fill="auto"/>
            <w:vAlign w:val="center"/>
          </w:tcPr>
          <w:p w14:paraId="1367024D">
            <w:pPr>
              <w:keepNext w:val="0"/>
              <w:keepLines w:val="0"/>
              <w:widowControl/>
              <w:suppressLineNumbers w:val="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22"/>
                <w:szCs w:val="22"/>
                <w:u w:val="none"/>
                <w:lang w:val="en-US" w:eastAsia="zh-CN" w:bidi="ar"/>
              </w:rPr>
              <w:t>平安银行股份有限公司</w:t>
            </w:r>
          </w:p>
        </w:tc>
      </w:tr>
      <w:tr w14:paraId="06B7F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697" w:type="pct"/>
            <w:vMerge w:val="continue"/>
            <w:tcBorders>
              <w:left w:val="single" w:color="auto" w:sz="4" w:space="0"/>
              <w:right w:val="single" w:color="auto" w:sz="4" w:space="0"/>
            </w:tcBorders>
            <w:shd w:val="clear" w:color="auto" w:fill="auto"/>
            <w:vAlign w:val="center"/>
          </w:tcPr>
          <w:p w14:paraId="7EEE8FEC">
            <w:pPr>
              <w:widowControl/>
              <w:jc w:val="left"/>
              <w:textAlignment w:val="center"/>
            </w:pPr>
          </w:p>
        </w:tc>
        <w:tc>
          <w:tcPr>
            <w:tcW w:w="2140" w:type="pct"/>
            <w:tcBorders>
              <w:left w:val="single" w:color="auto" w:sz="4" w:space="0"/>
              <w:bottom w:val="single" w:color="auto" w:sz="4" w:space="0"/>
              <w:right w:val="single" w:color="auto" w:sz="4" w:space="0"/>
            </w:tcBorders>
            <w:shd w:val="clear" w:color="auto" w:fill="auto"/>
            <w:vAlign w:val="center"/>
          </w:tcPr>
          <w:p w14:paraId="1DA47B6C">
            <w:pPr>
              <w:keepNext w:val="0"/>
              <w:keepLines w:val="0"/>
              <w:widowControl/>
              <w:suppressLineNumbers w:val="0"/>
              <w:jc w:val="center"/>
              <w:textAlignment w:val="center"/>
              <w:rPr>
                <w:rFonts w:hint="eastAsia"/>
                <w:color w:val="000000"/>
                <w:sz w:val="18"/>
                <w:szCs w:val="18"/>
              </w:rPr>
            </w:pPr>
            <w:r>
              <w:rPr>
                <w:rFonts w:hint="eastAsia" w:ascii="宋体" w:hAnsi="宋体" w:eastAsia="宋体" w:cs="宋体"/>
                <w:i w:val="0"/>
                <w:iCs w:val="0"/>
                <w:color w:val="000000"/>
                <w:kern w:val="0"/>
                <w:sz w:val="22"/>
                <w:szCs w:val="22"/>
                <w:u w:val="none"/>
                <w:lang w:val="en-US" w:eastAsia="zh-CN" w:bidi="ar"/>
              </w:rPr>
              <w:t>广东正圆私募基金管理有限公司</w:t>
            </w:r>
          </w:p>
        </w:tc>
        <w:tc>
          <w:tcPr>
            <w:tcW w:w="2162" w:type="pct"/>
            <w:tcBorders>
              <w:left w:val="single" w:color="auto" w:sz="4" w:space="0"/>
              <w:bottom w:val="single" w:color="auto" w:sz="4" w:space="0"/>
              <w:right w:val="single" w:color="auto" w:sz="4" w:space="0"/>
            </w:tcBorders>
            <w:shd w:val="clear" w:color="auto" w:fill="auto"/>
            <w:vAlign w:val="center"/>
          </w:tcPr>
          <w:p w14:paraId="254943BA">
            <w:pPr>
              <w:keepNext w:val="0"/>
              <w:keepLines w:val="0"/>
              <w:widowControl/>
              <w:suppressLineNumbers w:val="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22"/>
                <w:szCs w:val="22"/>
                <w:u w:val="none"/>
                <w:lang w:val="en-US" w:eastAsia="zh-CN" w:bidi="ar"/>
              </w:rPr>
              <w:t>摩根大通证券(中国)有限公司</w:t>
            </w:r>
          </w:p>
        </w:tc>
      </w:tr>
      <w:tr w14:paraId="4A11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697" w:type="pct"/>
            <w:vMerge w:val="continue"/>
            <w:tcBorders>
              <w:left w:val="single" w:color="auto" w:sz="4" w:space="0"/>
              <w:right w:val="single" w:color="auto" w:sz="4" w:space="0"/>
            </w:tcBorders>
            <w:shd w:val="clear" w:color="auto" w:fill="auto"/>
            <w:vAlign w:val="center"/>
          </w:tcPr>
          <w:p w14:paraId="591B6300">
            <w:pPr>
              <w:widowControl/>
              <w:jc w:val="left"/>
              <w:textAlignment w:val="center"/>
            </w:pPr>
          </w:p>
        </w:tc>
        <w:tc>
          <w:tcPr>
            <w:tcW w:w="2140" w:type="pct"/>
            <w:tcBorders>
              <w:left w:val="single" w:color="auto" w:sz="4" w:space="0"/>
              <w:bottom w:val="single" w:color="auto" w:sz="4" w:space="0"/>
              <w:right w:val="single" w:color="auto" w:sz="4" w:space="0"/>
            </w:tcBorders>
            <w:shd w:val="clear" w:color="auto" w:fill="auto"/>
            <w:vAlign w:val="center"/>
          </w:tcPr>
          <w:p w14:paraId="722B1828">
            <w:pPr>
              <w:keepNext w:val="0"/>
              <w:keepLines w:val="0"/>
              <w:widowControl/>
              <w:suppressLineNumbers w:val="0"/>
              <w:jc w:val="center"/>
              <w:textAlignment w:val="center"/>
              <w:rPr>
                <w:rFonts w:hint="eastAsia"/>
                <w:color w:val="000000"/>
                <w:sz w:val="18"/>
                <w:szCs w:val="18"/>
              </w:rPr>
            </w:pPr>
            <w:r>
              <w:rPr>
                <w:rFonts w:hint="eastAsia" w:ascii="宋体" w:hAnsi="宋体" w:eastAsia="宋体" w:cs="宋体"/>
                <w:i w:val="0"/>
                <w:iCs w:val="0"/>
                <w:color w:val="000000"/>
                <w:kern w:val="0"/>
                <w:sz w:val="22"/>
                <w:szCs w:val="22"/>
                <w:u w:val="none"/>
                <w:lang w:val="en-US" w:eastAsia="zh-CN" w:bidi="ar"/>
              </w:rPr>
              <w:t>东吴证券股份有限公司</w:t>
            </w:r>
          </w:p>
        </w:tc>
        <w:tc>
          <w:tcPr>
            <w:tcW w:w="2162" w:type="pct"/>
            <w:tcBorders>
              <w:left w:val="single" w:color="auto" w:sz="4" w:space="0"/>
              <w:bottom w:val="single" w:color="auto" w:sz="4" w:space="0"/>
              <w:right w:val="single" w:color="auto" w:sz="4" w:space="0"/>
            </w:tcBorders>
            <w:shd w:val="clear" w:color="auto" w:fill="auto"/>
            <w:vAlign w:val="center"/>
          </w:tcPr>
          <w:p w14:paraId="6509F53B">
            <w:pPr>
              <w:keepNext w:val="0"/>
              <w:keepLines w:val="0"/>
              <w:widowControl/>
              <w:suppressLineNumbers w:val="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22"/>
                <w:szCs w:val="22"/>
                <w:u w:val="none"/>
                <w:lang w:val="en-US" w:eastAsia="zh-CN" w:bidi="ar"/>
              </w:rPr>
              <w:t>长盛基金管理有限公司</w:t>
            </w:r>
          </w:p>
        </w:tc>
      </w:tr>
      <w:tr w14:paraId="01B6A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697" w:type="pct"/>
            <w:vMerge w:val="continue"/>
            <w:tcBorders>
              <w:left w:val="single" w:color="auto" w:sz="4" w:space="0"/>
              <w:right w:val="single" w:color="auto" w:sz="4" w:space="0"/>
            </w:tcBorders>
            <w:shd w:val="clear" w:color="auto" w:fill="auto"/>
            <w:vAlign w:val="center"/>
          </w:tcPr>
          <w:p w14:paraId="3F783A6B">
            <w:pPr>
              <w:widowControl/>
              <w:jc w:val="left"/>
              <w:textAlignment w:val="center"/>
            </w:pPr>
          </w:p>
        </w:tc>
        <w:tc>
          <w:tcPr>
            <w:tcW w:w="2140" w:type="pct"/>
            <w:tcBorders>
              <w:left w:val="single" w:color="auto" w:sz="4" w:space="0"/>
              <w:bottom w:val="single" w:color="auto" w:sz="4" w:space="0"/>
              <w:right w:val="single" w:color="auto" w:sz="4" w:space="0"/>
            </w:tcBorders>
            <w:shd w:val="clear" w:color="auto" w:fill="auto"/>
            <w:vAlign w:val="center"/>
          </w:tcPr>
          <w:p w14:paraId="236A7FC3">
            <w:pPr>
              <w:keepNext w:val="0"/>
              <w:keepLines w:val="0"/>
              <w:widowControl/>
              <w:suppressLineNumbers w:val="0"/>
              <w:jc w:val="center"/>
              <w:textAlignment w:val="center"/>
              <w:rPr>
                <w:rFonts w:hint="eastAsia"/>
                <w:color w:val="000000"/>
                <w:sz w:val="18"/>
                <w:szCs w:val="18"/>
              </w:rPr>
            </w:pPr>
            <w:r>
              <w:rPr>
                <w:rFonts w:hint="eastAsia" w:ascii="宋体" w:hAnsi="宋体" w:eastAsia="宋体" w:cs="宋体"/>
                <w:i w:val="0"/>
                <w:iCs w:val="0"/>
                <w:color w:val="000000"/>
                <w:kern w:val="0"/>
                <w:sz w:val="22"/>
                <w:szCs w:val="22"/>
                <w:u w:val="none"/>
                <w:lang w:val="en-US" w:eastAsia="zh-CN" w:bidi="ar"/>
              </w:rPr>
              <w:t>国海证券股份有限公司</w:t>
            </w:r>
          </w:p>
        </w:tc>
        <w:tc>
          <w:tcPr>
            <w:tcW w:w="2162" w:type="pct"/>
            <w:tcBorders>
              <w:left w:val="single" w:color="auto" w:sz="4" w:space="0"/>
              <w:bottom w:val="single" w:color="auto" w:sz="4" w:space="0"/>
              <w:right w:val="single" w:color="auto" w:sz="4" w:space="0"/>
            </w:tcBorders>
            <w:shd w:val="clear" w:color="auto" w:fill="auto"/>
            <w:vAlign w:val="center"/>
          </w:tcPr>
          <w:p w14:paraId="1CEB15F9">
            <w:pPr>
              <w:keepNext w:val="0"/>
              <w:keepLines w:val="0"/>
              <w:widowControl/>
              <w:suppressLineNumbers w:val="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22"/>
                <w:szCs w:val="22"/>
                <w:u w:val="none"/>
                <w:lang w:val="en-US" w:eastAsia="zh-CN" w:bidi="ar"/>
              </w:rPr>
              <w:t>平安基金管理有限公司</w:t>
            </w:r>
          </w:p>
        </w:tc>
      </w:tr>
      <w:tr w14:paraId="6AF8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06B11CB3">
            <w:pPr>
              <w:jc w:val="center"/>
              <w:rPr>
                <w:rFonts w:ascii="Times New Roman" w:hAnsi="Times New Roman" w:eastAsia="宋体" w:cs="Times New Roman"/>
                <w:bCs/>
                <w:iCs/>
                <w:color w:val="000000"/>
                <w:sz w:val="24"/>
                <w:szCs w:val="24"/>
              </w:rPr>
            </w:pPr>
            <w:r>
              <w:rPr>
                <w:rFonts w:ascii="Times New Roman" w:hAnsi="Times New Roman" w:eastAsia="宋体" w:cs="Times New Roman"/>
                <w:bCs/>
                <w:iCs/>
                <w:color w:val="000000"/>
                <w:sz w:val="24"/>
                <w:szCs w:val="24"/>
              </w:rPr>
              <w:t>时间</w:t>
            </w:r>
          </w:p>
        </w:tc>
        <w:tc>
          <w:tcPr>
            <w:tcW w:w="4302"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F42B3F">
            <w:pPr>
              <w:jc w:val="left"/>
              <w:rPr>
                <w:rFonts w:ascii="Times New Roman" w:hAnsi="Times New Roman" w:eastAsia="宋体" w:cs="Times New Roman"/>
                <w:bCs/>
                <w:iCs/>
                <w:color w:val="000000"/>
                <w:sz w:val="24"/>
                <w:szCs w:val="24"/>
              </w:rPr>
            </w:pPr>
            <w:r>
              <w:rPr>
                <w:rFonts w:hint="eastAsia" w:ascii="Times New Roman" w:hAnsi="Times New Roman" w:eastAsia="宋体" w:cs="Times New Roman"/>
                <w:bCs/>
                <w:iCs/>
                <w:color w:val="000000"/>
                <w:sz w:val="24"/>
                <w:szCs w:val="24"/>
              </w:rPr>
              <w:t>2026年</w:t>
            </w:r>
            <w:r>
              <w:rPr>
                <w:rFonts w:hint="eastAsia" w:ascii="Times New Roman" w:hAnsi="Times New Roman" w:eastAsia="宋体" w:cs="Times New Roman"/>
                <w:bCs/>
                <w:iCs/>
                <w:color w:val="000000"/>
                <w:sz w:val="24"/>
                <w:szCs w:val="24"/>
                <w:lang w:val="en-US" w:eastAsia="zh-CN"/>
              </w:rPr>
              <w:t>8</w:t>
            </w:r>
            <w:r>
              <w:rPr>
                <w:rFonts w:hint="eastAsia" w:ascii="Times New Roman" w:hAnsi="Times New Roman" w:eastAsia="宋体" w:cs="Times New Roman"/>
                <w:bCs/>
                <w:iCs/>
                <w:color w:val="000000"/>
                <w:sz w:val="24"/>
                <w:szCs w:val="24"/>
              </w:rPr>
              <w:t>月</w:t>
            </w:r>
            <w:r>
              <w:rPr>
                <w:rFonts w:hint="eastAsia" w:ascii="Times New Roman" w:hAnsi="Times New Roman" w:eastAsia="宋体" w:cs="Times New Roman"/>
                <w:bCs/>
                <w:iCs/>
                <w:color w:val="000000"/>
                <w:sz w:val="24"/>
                <w:szCs w:val="24"/>
                <w:lang w:val="en-US" w:eastAsia="zh-CN"/>
              </w:rPr>
              <w:t>12</w:t>
            </w:r>
            <w:r>
              <w:rPr>
                <w:rFonts w:hint="eastAsia" w:ascii="Times New Roman" w:hAnsi="Times New Roman" w:eastAsia="宋体" w:cs="Times New Roman"/>
                <w:bCs/>
                <w:iCs/>
                <w:color w:val="000000"/>
                <w:sz w:val="24"/>
                <w:szCs w:val="24"/>
              </w:rPr>
              <w:t>日</w:t>
            </w:r>
          </w:p>
        </w:tc>
      </w:tr>
      <w:tr w14:paraId="0A2E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1787CC05">
            <w:pPr>
              <w:jc w:val="center"/>
              <w:rPr>
                <w:rFonts w:ascii="Times New Roman" w:hAnsi="Times New Roman" w:eastAsia="宋体" w:cs="Times New Roman"/>
                <w:bCs/>
                <w:iCs/>
                <w:color w:val="000000"/>
                <w:sz w:val="24"/>
                <w:szCs w:val="24"/>
              </w:rPr>
            </w:pPr>
            <w:r>
              <w:rPr>
                <w:rFonts w:ascii="Times New Roman" w:hAnsi="Times New Roman" w:eastAsia="宋体" w:cs="Times New Roman"/>
                <w:bCs/>
                <w:iCs/>
                <w:color w:val="000000"/>
                <w:sz w:val="24"/>
                <w:szCs w:val="24"/>
              </w:rPr>
              <w:t>地点</w:t>
            </w:r>
          </w:p>
        </w:tc>
        <w:tc>
          <w:tcPr>
            <w:tcW w:w="4302"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1F28FA1">
            <w:pPr>
              <w:jc w:val="left"/>
              <w:rPr>
                <w:rFonts w:ascii="Times New Roman" w:hAnsi="Times New Roman" w:eastAsia="宋体" w:cs="Times New Roman"/>
                <w:bCs/>
                <w:iCs/>
                <w:color w:val="000000"/>
                <w:sz w:val="24"/>
                <w:szCs w:val="24"/>
              </w:rPr>
            </w:pPr>
            <w:r>
              <w:rPr>
                <w:rFonts w:hint="eastAsia" w:ascii="Times New Roman" w:hAnsi="Times New Roman" w:eastAsia="宋体" w:cs="Times New Roman"/>
                <w:bCs/>
                <w:iCs/>
                <w:color w:val="000000"/>
                <w:sz w:val="24"/>
                <w:szCs w:val="24"/>
              </w:rPr>
              <w:t>电话交流会</w:t>
            </w:r>
          </w:p>
        </w:tc>
      </w:tr>
      <w:tr w14:paraId="3C86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2B5A1318">
            <w:pPr>
              <w:jc w:val="center"/>
              <w:rPr>
                <w:rFonts w:ascii="Times New Roman" w:hAnsi="Times New Roman" w:eastAsia="宋体" w:cs="Times New Roman"/>
                <w:bCs/>
                <w:iCs/>
                <w:color w:val="000000"/>
                <w:sz w:val="24"/>
                <w:szCs w:val="24"/>
              </w:rPr>
            </w:pPr>
            <w:r>
              <w:rPr>
                <w:rFonts w:ascii="Times New Roman" w:hAnsi="Times New Roman" w:eastAsia="宋体" w:cs="Times New Roman"/>
                <w:bCs/>
                <w:iCs/>
                <w:color w:val="000000"/>
                <w:sz w:val="24"/>
                <w:szCs w:val="24"/>
              </w:rPr>
              <w:t>上市公司接待人员姓名</w:t>
            </w:r>
          </w:p>
        </w:tc>
        <w:tc>
          <w:tcPr>
            <w:tcW w:w="4302" w:type="pct"/>
            <w:gridSpan w:val="2"/>
            <w:tcBorders>
              <w:top w:val="single" w:color="auto" w:sz="4" w:space="0"/>
              <w:left w:val="single" w:color="auto" w:sz="4" w:space="0"/>
              <w:bottom w:val="single" w:color="auto" w:sz="4" w:space="0"/>
              <w:right w:val="single" w:color="auto" w:sz="4" w:space="0"/>
            </w:tcBorders>
            <w:shd w:val="clear" w:color="auto" w:fill="auto"/>
          </w:tcPr>
          <w:p w14:paraId="46A04EC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Cs/>
                <w:iCs/>
                <w:color w:val="000000"/>
                <w:sz w:val="24"/>
                <w:szCs w:val="24"/>
                <w:lang w:val="en-US" w:eastAsia="zh-CN"/>
              </w:rPr>
            </w:pPr>
            <w:r>
              <w:rPr>
                <w:rFonts w:hint="eastAsia" w:ascii="Times New Roman" w:hAnsi="Times New Roman" w:eastAsia="宋体" w:cs="Times New Roman"/>
                <w:bCs/>
                <w:iCs/>
                <w:color w:val="000000"/>
                <w:sz w:val="24"/>
                <w:szCs w:val="24"/>
                <w:lang w:val="en-US" w:eastAsia="zh-CN"/>
              </w:rPr>
              <w:t>董事长：郭英麟</w:t>
            </w:r>
          </w:p>
          <w:p w14:paraId="65336B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Cs/>
                <w:iCs/>
                <w:color w:val="000000"/>
                <w:sz w:val="24"/>
                <w:szCs w:val="24"/>
              </w:rPr>
            </w:pPr>
            <w:r>
              <w:rPr>
                <w:rFonts w:hint="eastAsia" w:ascii="Times New Roman" w:hAnsi="Times New Roman" w:eastAsia="宋体" w:cs="Times New Roman"/>
                <w:bCs/>
                <w:iCs/>
                <w:color w:val="000000"/>
                <w:sz w:val="24"/>
                <w:szCs w:val="24"/>
              </w:rPr>
              <w:t>董事会秘书：邓玲玲</w:t>
            </w:r>
          </w:p>
        </w:tc>
      </w:tr>
      <w:tr w14:paraId="0EC90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57AF9F6E">
            <w:pPr>
              <w:jc w:val="center"/>
              <w:rPr>
                <w:rFonts w:ascii="Times New Roman" w:hAnsi="Times New Roman" w:eastAsia="宋体" w:cs="Times New Roman"/>
                <w:bCs/>
                <w:iCs/>
                <w:color w:val="000000"/>
                <w:sz w:val="24"/>
                <w:szCs w:val="24"/>
              </w:rPr>
            </w:pPr>
            <w:r>
              <w:rPr>
                <w:rFonts w:ascii="Times New Roman" w:hAnsi="Times New Roman" w:eastAsia="宋体" w:cs="Times New Roman"/>
                <w:bCs/>
                <w:iCs/>
                <w:color w:val="000000"/>
                <w:sz w:val="24"/>
                <w:szCs w:val="24"/>
              </w:rPr>
              <w:t>投资者关系活动主要内容介绍</w:t>
            </w:r>
          </w:p>
          <w:p w14:paraId="21110BB1">
            <w:pPr>
              <w:jc w:val="center"/>
              <w:rPr>
                <w:rFonts w:ascii="Times New Roman" w:hAnsi="Times New Roman" w:eastAsia="宋体" w:cs="Times New Roman"/>
                <w:bCs/>
                <w:iCs/>
                <w:color w:val="000000"/>
                <w:sz w:val="24"/>
                <w:szCs w:val="24"/>
              </w:rPr>
            </w:pPr>
          </w:p>
        </w:tc>
        <w:tc>
          <w:tcPr>
            <w:tcW w:w="4302" w:type="pct"/>
            <w:gridSpan w:val="2"/>
            <w:tcBorders>
              <w:top w:val="single" w:color="auto" w:sz="4" w:space="0"/>
              <w:left w:val="single" w:color="auto" w:sz="4" w:space="0"/>
              <w:bottom w:val="single" w:color="auto" w:sz="4" w:space="0"/>
              <w:right w:val="single" w:color="auto" w:sz="4" w:space="0"/>
            </w:tcBorders>
            <w:shd w:val="clear" w:color="auto" w:fill="auto"/>
          </w:tcPr>
          <w:p w14:paraId="48866AC0">
            <w:pPr>
              <w:pStyle w:val="21"/>
              <w:keepNext w:val="0"/>
              <w:keepLines w:val="0"/>
              <w:pageBreakBefore w:val="0"/>
              <w:widowControl w:val="0"/>
              <w:numPr>
                <w:numId w:val="0"/>
              </w:numPr>
              <w:kinsoku/>
              <w:wordWrap/>
              <w:overflowPunct/>
              <w:topLinePunct w:val="0"/>
              <w:autoSpaceDE/>
              <w:autoSpaceDN/>
              <w:bidi w:val="0"/>
              <w:adjustRightInd/>
              <w:snapToGrid/>
              <w:spacing w:after="0" w:line="360" w:lineRule="auto"/>
              <w:jc w:val="both"/>
              <w:textAlignment w:val="auto"/>
              <w:rPr>
                <w:rFonts w:ascii="宋体" w:hAnsi="宋体" w:eastAsia="宋体" w:cs="Times New Roman"/>
                <w:b/>
                <w:bCs/>
                <w:sz w:val="21"/>
                <w:szCs w:val="21"/>
                <w14:ligatures w14:val="none"/>
              </w:rPr>
            </w:pPr>
            <w:r>
              <w:rPr>
                <w:rFonts w:hint="eastAsia" w:ascii="宋体" w:hAnsi="宋体" w:eastAsia="宋体" w:cs="Times New Roman"/>
                <w:b/>
                <w:bCs/>
                <w:sz w:val="21"/>
                <w:szCs w:val="21"/>
                <w:lang w:val="en-US" w:eastAsia="zh-CN"/>
                <w14:ligatures w14:val="none"/>
              </w:rPr>
              <w:t>1</w:t>
            </w:r>
            <w:r>
              <w:rPr>
                <w:rFonts w:hint="eastAsia" w:ascii="宋体" w:hAnsi="宋体" w:eastAsia="宋体" w:cs="Times New Roman"/>
                <w:b/>
                <w:bCs/>
                <w:sz w:val="21"/>
                <w:szCs w:val="21"/>
                <w:lang w:eastAsia="zh-CN"/>
                <w14:ligatures w14:val="none"/>
              </w:rPr>
              <w:t>、</w:t>
            </w:r>
            <w:r>
              <w:rPr>
                <w:rFonts w:ascii="宋体" w:hAnsi="宋体" w:eastAsia="宋体" w:cs="Times New Roman"/>
                <w:b/>
                <w:bCs/>
                <w:sz w:val="21"/>
                <w:szCs w:val="21"/>
                <w14:ligatures w14:val="none"/>
              </w:rPr>
              <w:t>二季度毛利率环比提升的主要原因是什么？在成本上升但价格未全面上涨的情况下，毛利率为何能提升？</w:t>
            </w:r>
          </w:p>
          <w:p w14:paraId="6B06DF9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尊敬的投资者，您好。二季度公司综合毛利率实现了1.3个百分点的环比稳健回升，主要系公司在行业产能整体趋紧的背景下，主动进行了深度的产品结构优化与产能精细化调度。</w:t>
            </w:r>
          </w:p>
          <w:p w14:paraId="34913B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一方面，公司基于市场需求与盈利模型，优先保障并提升了高毛利及高附加值产品的排产比例，形成了正向的利润拉动效应。另一方面，面对上游成本的波动，公司已于6月逐步启动向下游终端的价格传导机</w:t>
            </w:r>
            <w:bookmarkStart w:id="0" w:name="_GoBack"/>
            <w:bookmarkEnd w:id="0"/>
            <w:r>
              <w:rPr>
                <w:rFonts w:hint="eastAsia"/>
              </w:rPr>
              <w:t>制。（风险提示：上述产品结构调整及价格传导对公司盈利能力的影响受市场供需动态及客户接受度等因素影响，不构成业绩承诺，请投资者注意投资风险。）</w:t>
            </w:r>
          </w:p>
          <w:p w14:paraId="196FA977">
            <w:pPr>
              <w:pStyle w:val="21"/>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b/>
                <w:bCs/>
                <w:lang w:val="en-US" w:eastAsia="zh-CN"/>
              </w:rPr>
            </w:pPr>
          </w:p>
          <w:p w14:paraId="626FE60B">
            <w:pPr>
              <w:pStyle w:val="21"/>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b/>
                <w:bCs/>
              </w:rPr>
            </w:pPr>
            <w:r>
              <w:rPr>
                <w:rFonts w:hint="eastAsia"/>
                <w:b/>
                <w:bCs/>
                <w:lang w:val="en-US" w:eastAsia="zh-CN"/>
              </w:rPr>
              <w:t>2、</w:t>
            </w:r>
            <w:r>
              <w:rPr>
                <w:b/>
                <w:bCs/>
              </w:rPr>
              <w:t>目前公司晶圆代工来源及占比如何？上半年代工价格上涨幅度及未来趋势？公司产品是否涨价及幅度？</w:t>
            </w:r>
          </w:p>
          <w:p w14:paraId="6F3119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尊敬的投资者，您好。供应链的安全与弹性是公司核心壁垒的重要组成部分。目前，公司的晶圆代工及封测业务深度依托中国大陆本土供应链，这为公司在成本管控及产能获取上提供了较强的综合竞争优势。</w:t>
            </w:r>
          </w:p>
          <w:p w14:paraId="7C7BA90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r>
              <w:rPr>
                <w:rFonts w:hint="eastAsia"/>
              </w:rPr>
              <w:t>受行业整体供需格局及局部产能紧缺影响，上半年晶圆代工价格普遍存在周期性上浮。鉴于当前产业链的供需博弈状态，预计下半年上游成本端仍可能面临一定程度的波动。为保障公司长期稳健经营，公司自今年6月起已分阶段向下游客户进行合理的成本传导，预计相关调价策略将在三季度全面落地。</w:t>
            </w:r>
          </w:p>
          <w:p w14:paraId="7FF3B249">
            <w:pPr>
              <w:pStyle w:val="21"/>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b/>
                <w:bCs/>
                <w:lang w:val="en-US" w:eastAsia="zh-CN"/>
              </w:rPr>
            </w:pPr>
          </w:p>
          <w:p w14:paraId="7678C2DA">
            <w:pPr>
              <w:pStyle w:val="21"/>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b/>
                <w:bCs/>
              </w:rPr>
            </w:pPr>
            <w:r>
              <w:rPr>
                <w:rFonts w:hint="eastAsia"/>
                <w:b/>
                <w:bCs/>
                <w:lang w:val="en-US" w:eastAsia="zh-CN"/>
              </w:rPr>
              <w:t>3、</w:t>
            </w:r>
            <w:r>
              <w:rPr>
                <w:b/>
                <w:bCs/>
              </w:rPr>
              <w:t>公司今年股权激励目标（收入增长20%，利润增长30%）完成度如何？</w:t>
            </w:r>
          </w:p>
          <w:p w14:paraId="2FC7947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t>尊敬的投资者，您好。公司实施股权激励计划的初衷，在于深度绑定核心管理及技术团队，并彰显对公司长期内在价值的坚定信心。目前，公司管理层正全力以赴，依托新产品放量、客户拓展与内部降本增效，稳步推进全年经营目标的达成，我们对完成既定的考核目标保持高度信心。具体的财务数据及业绩达成情况，敬请关注公司后续披露的定期报告。</w:t>
            </w:r>
          </w:p>
          <w:p w14:paraId="2A62BFE9">
            <w:pPr>
              <w:pStyle w:val="21"/>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lang w:val="en-US" w:eastAsia="zh-CN"/>
              </w:rPr>
            </w:pPr>
          </w:p>
          <w:p w14:paraId="0850D66D">
            <w:pPr>
              <w:pStyle w:val="21"/>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b/>
                <w:bCs/>
              </w:rPr>
            </w:pPr>
            <w:r>
              <w:rPr>
                <w:rFonts w:hint="eastAsia"/>
                <w:b/>
                <w:bCs/>
                <w:lang w:val="en-US" w:eastAsia="zh-CN"/>
              </w:rPr>
              <w:t>4、</w:t>
            </w:r>
            <w:r>
              <w:rPr>
                <w:b/>
                <w:bCs/>
              </w:rPr>
              <w:t>公司</w:t>
            </w:r>
            <w:r>
              <w:rPr>
                <w:rFonts w:hint="eastAsia"/>
                <w:b/>
                <w:bCs/>
              </w:rPr>
              <w:t>投并购的进度如何，</w:t>
            </w:r>
            <w:r>
              <w:rPr>
                <w:b/>
                <w:bCs/>
              </w:rPr>
              <w:t>目前筛选潜在标的的进度如何？评估标的核心标准有哪些（如技术门槛、营收规模、盈利能力、团队完整性等）？</w:t>
            </w:r>
          </w:p>
          <w:p w14:paraId="22DEC04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尊敬的投资者，您好。坚持“内生增长与外延并购并重”是公司中长期战略的重要一环。目前，公司管理团队正积极在泛半导体市场中遴选与主业具备高度协同效应、聚焦前沿技术的优质标的。</w:t>
            </w:r>
          </w:p>
          <w:p w14:paraId="100A20C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r>
              <w:rPr>
                <w:rFonts w:hint="eastAsia"/>
              </w:rPr>
              <w:t>在项目评估体系上，公司坚持审慎、严谨的原则，核心考量维度包括：标的研发团队的技术底蕴与创新能力、核心技术的产业化成熟度、未来业绩的成长天花板以及企业文化的深层契合度。基于公司管理层深刻的产业背景，我们在标的筛选上秉持高标准，推进节奏较为严谨。后续若有达到法定披露标准的实质性进展，公司将严格遵循合规要求及时履行信息披露义务。</w:t>
            </w:r>
          </w:p>
          <w:p w14:paraId="74765A90">
            <w:pPr>
              <w:pStyle w:val="21"/>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b/>
                <w:bCs/>
              </w:rPr>
            </w:pPr>
            <w:r>
              <w:rPr>
                <w:rFonts w:hint="eastAsia"/>
                <w:b/>
                <w:bCs/>
                <w:lang w:val="en-US" w:eastAsia="zh-CN"/>
              </w:rPr>
              <w:t>5、</w:t>
            </w:r>
            <w:r>
              <w:rPr>
                <w:b/>
                <w:bCs/>
              </w:rPr>
              <w:t>上半年财务费用中的汇兑损失对利润影响较大，公司下半年将采取何种套期保值或外汇管理策略来平抑汇率波动风险？</w:t>
            </w:r>
          </w:p>
          <w:p w14:paraId="39C0896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尊敬的投资者，您好。由于公司业务结构中海外业务（出口）占比较高，人民币汇率的双向宽幅波动确实对上半年财务费用产生了一定程度的非经营性扰动。</w:t>
            </w:r>
          </w:p>
          <w:p w14:paraId="2238FCC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宋体"/>
                <w:color w:val="000000"/>
                <w:kern w:val="0"/>
                <w:sz w:val="24"/>
                <w:szCs w:val="24"/>
                <w:lang w:bidi="ar"/>
              </w:rPr>
            </w:pPr>
            <w:r>
              <w:rPr>
                <w:rFonts w:hint="eastAsia"/>
              </w:rPr>
              <w:t>面对宏观汇率风险，公司持续且规范地通过开展远期结汇及套期保值等金融衍生品业务，对冲并降低汇率波动的负面冲击。下半年，公司财务外汇管理团队将进一步加强对宏观货币政策及汇率走势的动态监测，持续优化外币资产负债的期限与结构匹配，并在董事会及股东大会的授权额度内灵活运用相关外汇管理工具，最大程度平抑汇率波动对公司净利润的侵蚀。但受限于金融工具的客观属性，汇兑损益仍将随人民币汇率走势发生动态变化，敬请投资者理性看待。</w:t>
            </w:r>
          </w:p>
        </w:tc>
      </w:tr>
      <w:tr w14:paraId="66A5F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534D51E6">
            <w:pPr>
              <w:jc w:val="center"/>
              <w:rPr>
                <w:rFonts w:ascii="Times New Roman" w:hAnsi="Times New Roman" w:eastAsia="宋体" w:cs="Times New Roman"/>
                <w:bCs/>
                <w:iCs/>
                <w:color w:val="000000"/>
                <w:sz w:val="24"/>
                <w:szCs w:val="24"/>
              </w:rPr>
            </w:pPr>
            <w:r>
              <w:rPr>
                <w:rFonts w:ascii="Times New Roman" w:hAnsi="Times New Roman" w:eastAsia="宋体" w:cs="Times New Roman"/>
                <w:bCs/>
                <w:iCs/>
                <w:color w:val="000000"/>
                <w:sz w:val="24"/>
                <w:szCs w:val="24"/>
              </w:rPr>
              <w:t>关于本次活动是否涉及应当披露重大信息的说明</w:t>
            </w:r>
          </w:p>
        </w:tc>
        <w:tc>
          <w:tcPr>
            <w:tcW w:w="4302"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207C28AE">
            <w:pPr>
              <w:widowControl/>
              <w:ind w:firstLine="480" w:firstLineChars="200"/>
              <w:jc w:val="left"/>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本次活动，公司严格按照相关规定交流沟通，不存在未公开重大信息泄露等情形。</w:t>
            </w:r>
          </w:p>
        </w:tc>
      </w:tr>
      <w:tr w14:paraId="27F8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4D13041A">
            <w:pPr>
              <w:jc w:val="center"/>
              <w:rPr>
                <w:rFonts w:ascii="Times New Roman" w:hAnsi="Times New Roman" w:eastAsia="宋体" w:cs="Times New Roman"/>
                <w:bCs/>
                <w:iCs/>
                <w:color w:val="000000"/>
                <w:sz w:val="24"/>
                <w:szCs w:val="24"/>
              </w:rPr>
            </w:pPr>
            <w:r>
              <w:rPr>
                <w:rFonts w:ascii="Times New Roman" w:hAnsi="Times New Roman" w:eastAsia="宋体" w:cs="Times New Roman"/>
                <w:bCs/>
                <w:iCs/>
                <w:color w:val="000000"/>
                <w:sz w:val="24"/>
                <w:szCs w:val="24"/>
              </w:rPr>
              <w:t>附件清单（如有）</w:t>
            </w:r>
          </w:p>
        </w:tc>
        <w:tc>
          <w:tcPr>
            <w:tcW w:w="4302" w:type="pct"/>
            <w:gridSpan w:val="2"/>
            <w:tcBorders>
              <w:top w:val="single" w:color="auto" w:sz="4" w:space="0"/>
              <w:left w:val="single" w:color="auto" w:sz="4" w:space="0"/>
              <w:bottom w:val="single" w:color="auto" w:sz="4" w:space="0"/>
              <w:right w:val="single" w:color="auto" w:sz="4" w:space="0"/>
            </w:tcBorders>
            <w:shd w:val="clear" w:color="auto" w:fill="auto"/>
          </w:tcPr>
          <w:p w14:paraId="35620E99">
            <w:pPr>
              <w:spacing w:line="480" w:lineRule="atLeast"/>
              <w:rPr>
                <w:rFonts w:ascii="Times New Roman" w:hAnsi="Times New Roman" w:eastAsia="宋体" w:cs="Times New Roman"/>
                <w:bCs/>
                <w:iCs/>
                <w:color w:val="000000"/>
                <w:sz w:val="24"/>
                <w:szCs w:val="24"/>
              </w:rPr>
            </w:pPr>
            <w:r>
              <w:rPr>
                <w:rFonts w:hint="eastAsia" w:ascii="Times New Roman" w:hAnsi="Times New Roman" w:eastAsia="宋体" w:cs="Times New Roman"/>
                <w:bCs/>
                <w:iCs/>
                <w:color w:val="000000"/>
                <w:sz w:val="24"/>
                <w:szCs w:val="24"/>
              </w:rPr>
              <w:t>无</w:t>
            </w:r>
          </w:p>
        </w:tc>
      </w:tr>
      <w:tr w14:paraId="3270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2CF708F4">
            <w:pPr>
              <w:jc w:val="center"/>
              <w:rPr>
                <w:rFonts w:ascii="Times New Roman" w:hAnsi="Times New Roman" w:eastAsia="宋体" w:cs="Times New Roman"/>
                <w:bCs/>
                <w:iCs/>
                <w:sz w:val="24"/>
                <w:szCs w:val="24"/>
              </w:rPr>
            </w:pPr>
            <w:r>
              <w:rPr>
                <w:rFonts w:ascii="Times New Roman" w:hAnsi="Times New Roman" w:eastAsia="宋体" w:cs="Times New Roman"/>
                <w:bCs/>
                <w:iCs/>
                <w:sz w:val="24"/>
                <w:szCs w:val="24"/>
              </w:rPr>
              <w:t>日期</w:t>
            </w:r>
          </w:p>
        </w:tc>
        <w:tc>
          <w:tcPr>
            <w:tcW w:w="4302"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F05F9B9">
            <w:pPr>
              <w:rPr>
                <w:rFonts w:ascii="Times New Roman" w:hAnsi="Times New Roman" w:eastAsia="宋体" w:cs="Times New Roman"/>
                <w:bCs/>
                <w:iCs/>
                <w:sz w:val="24"/>
                <w:szCs w:val="24"/>
              </w:rPr>
            </w:pPr>
            <w:r>
              <w:rPr>
                <w:rFonts w:hint="eastAsia" w:ascii="Times New Roman" w:hAnsi="Times New Roman" w:eastAsia="宋体" w:cs="Times New Roman"/>
                <w:bCs/>
                <w:iCs/>
                <w:sz w:val="24"/>
                <w:szCs w:val="24"/>
              </w:rPr>
              <w:t>2026年</w:t>
            </w:r>
            <w:r>
              <w:rPr>
                <w:rFonts w:hint="eastAsia" w:ascii="Times New Roman" w:hAnsi="Times New Roman" w:eastAsia="宋体" w:cs="Times New Roman"/>
                <w:bCs/>
                <w:iCs/>
                <w:sz w:val="24"/>
                <w:szCs w:val="24"/>
                <w:lang w:val="en-US" w:eastAsia="zh-CN"/>
              </w:rPr>
              <w:t>8</w:t>
            </w:r>
            <w:r>
              <w:rPr>
                <w:rFonts w:hint="eastAsia" w:ascii="Times New Roman" w:hAnsi="Times New Roman" w:eastAsia="宋体" w:cs="Times New Roman"/>
                <w:bCs/>
                <w:iCs/>
                <w:sz w:val="24"/>
                <w:szCs w:val="24"/>
              </w:rPr>
              <w:t>月</w:t>
            </w:r>
            <w:r>
              <w:rPr>
                <w:rFonts w:hint="eastAsia" w:ascii="Times New Roman" w:hAnsi="Times New Roman" w:eastAsia="宋体" w:cs="Times New Roman"/>
                <w:bCs/>
                <w:iCs/>
                <w:sz w:val="24"/>
                <w:szCs w:val="24"/>
                <w:lang w:val="en-US" w:eastAsia="zh-CN"/>
              </w:rPr>
              <w:t>13</w:t>
            </w:r>
            <w:r>
              <w:rPr>
                <w:rFonts w:hint="eastAsia" w:ascii="Times New Roman" w:hAnsi="Times New Roman" w:eastAsia="宋体" w:cs="Times New Roman"/>
                <w:bCs/>
                <w:iCs/>
                <w:sz w:val="24"/>
                <w:szCs w:val="24"/>
              </w:rPr>
              <w:t>日</w:t>
            </w:r>
          </w:p>
        </w:tc>
      </w:tr>
    </w:tbl>
    <w:p w14:paraId="72B671AB">
      <w:pPr>
        <w:rPr>
          <w:rFonts w:ascii="Times New Roman" w:hAnsi="Times New Roman"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VhZTlhNDEzODk0NWVlMDU2MTIzMWE5MGVmM2M5Y2IifQ=="/>
  </w:docVars>
  <w:rsids>
    <w:rsidRoot w:val="4E4C5872"/>
    <w:rsid w:val="00014C9A"/>
    <w:rsid w:val="00041346"/>
    <w:rsid w:val="00051138"/>
    <w:rsid w:val="00077269"/>
    <w:rsid w:val="000C202A"/>
    <w:rsid w:val="000C51C5"/>
    <w:rsid w:val="001012FC"/>
    <w:rsid w:val="00135507"/>
    <w:rsid w:val="0016783D"/>
    <w:rsid w:val="001B2BF9"/>
    <w:rsid w:val="0021215C"/>
    <w:rsid w:val="00223F94"/>
    <w:rsid w:val="00232C35"/>
    <w:rsid w:val="00270A26"/>
    <w:rsid w:val="002C629B"/>
    <w:rsid w:val="002E29D6"/>
    <w:rsid w:val="003268FF"/>
    <w:rsid w:val="00373524"/>
    <w:rsid w:val="00380C08"/>
    <w:rsid w:val="0038452F"/>
    <w:rsid w:val="00386D2D"/>
    <w:rsid w:val="003B5F7A"/>
    <w:rsid w:val="003E24FB"/>
    <w:rsid w:val="003F124B"/>
    <w:rsid w:val="00466BA7"/>
    <w:rsid w:val="00524A7E"/>
    <w:rsid w:val="005827B7"/>
    <w:rsid w:val="005A6039"/>
    <w:rsid w:val="005D2BD9"/>
    <w:rsid w:val="005D7C44"/>
    <w:rsid w:val="005E04B2"/>
    <w:rsid w:val="00631262"/>
    <w:rsid w:val="00657B07"/>
    <w:rsid w:val="0066264A"/>
    <w:rsid w:val="00663864"/>
    <w:rsid w:val="00675087"/>
    <w:rsid w:val="006C7B83"/>
    <w:rsid w:val="006D0743"/>
    <w:rsid w:val="008746DE"/>
    <w:rsid w:val="008E3248"/>
    <w:rsid w:val="00922176"/>
    <w:rsid w:val="00973C3D"/>
    <w:rsid w:val="00991C92"/>
    <w:rsid w:val="00994041"/>
    <w:rsid w:val="00A21808"/>
    <w:rsid w:val="00A222A4"/>
    <w:rsid w:val="00A25D6E"/>
    <w:rsid w:val="00A4567D"/>
    <w:rsid w:val="00A86209"/>
    <w:rsid w:val="00AB2E69"/>
    <w:rsid w:val="00AB4173"/>
    <w:rsid w:val="00B55B2B"/>
    <w:rsid w:val="00B62565"/>
    <w:rsid w:val="00BD7B2D"/>
    <w:rsid w:val="00C70537"/>
    <w:rsid w:val="00C85A2C"/>
    <w:rsid w:val="00D0612E"/>
    <w:rsid w:val="00D44537"/>
    <w:rsid w:val="00D459F5"/>
    <w:rsid w:val="00D9564B"/>
    <w:rsid w:val="00DC028D"/>
    <w:rsid w:val="00DC1F47"/>
    <w:rsid w:val="00DD66C6"/>
    <w:rsid w:val="00E10369"/>
    <w:rsid w:val="00E328A4"/>
    <w:rsid w:val="00E626E1"/>
    <w:rsid w:val="00E7022E"/>
    <w:rsid w:val="00E86208"/>
    <w:rsid w:val="00E90257"/>
    <w:rsid w:val="00E9742B"/>
    <w:rsid w:val="00EA2B85"/>
    <w:rsid w:val="00EE3E9F"/>
    <w:rsid w:val="00F15A5A"/>
    <w:rsid w:val="00F22009"/>
    <w:rsid w:val="00F8103E"/>
    <w:rsid w:val="00F864DB"/>
    <w:rsid w:val="00FA34DF"/>
    <w:rsid w:val="00FB6718"/>
    <w:rsid w:val="00FC4333"/>
    <w:rsid w:val="00FF221D"/>
    <w:rsid w:val="016F5A56"/>
    <w:rsid w:val="01EC3E90"/>
    <w:rsid w:val="02E903CF"/>
    <w:rsid w:val="03822EFC"/>
    <w:rsid w:val="04161698"/>
    <w:rsid w:val="0468306B"/>
    <w:rsid w:val="052E656D"/>
    <w:rsid w:val="05380302"/>
    <w:rsid w:val="05434EA7"/>
    <w:rsid w:val="055C0305"/>
    <w:rsid w:val="08227BFE"/>
    <w:rsid w:val="089D5EE4"/>
    <w:rsid w:val="092B1742"/>
    <w:rsid w:val="09F96578"/>
    <w:rsid w:val="0A4933F3"/>
    <w:rsid w:val="0A5B7E05"/>
    <w:rsid w:val="0A5D4B3B"/>
    <w:rsid w:val="0A9A73EE"/>
    <w:rsid w:val="0AE95411"/>
    <w:rsid w:val="0C177D5B"/>
    <w:rsid w:val="0DAC6CBC"/>
    <w:rsid w:val="0DDF7558"/>
    <w:rsid w:val="0F4073E7"/>
    <w:rsid w:val="0F9D2C6D"/>
    <w:rsid w:val="1047786D"/>
    <w:rsid w:val="1084548A"/>
    <w:rsid w:val="10A65B38"/>
    <w:rsid w:val="10EF09BF"/>
    <w:rsid w:val="112B018C"/>
    <w:rsid w:val="11641C95"/>
    <w:rsid w:val="11BC387F"/>
    <w:rsid w:val="12EC50BD"/>
    <w:rsid w:val="130E667E"/>
    <w:rsid w:val="145B5BE8"/>
    <w:rsid w:val="14F95EB0"/>
    <w:rsid w:val="157633D7"/>
    <w:rsid w:val="160A3274"/>
    <w:rsid w:val="163119B3"/>
    <w:rsid w:val="16420245"/>
    <w:rsid w:val="166761BB"/>
    <w:rsid w:val="16AC607D"/>
    <w:rsid w:val="1901601B"/>
    <w:rsid w:val="197E141A"/>
    <w:rsid w:val="19BE73EB"/>
    <w:rsid w:val="1A977CB9"/>
    <w:rsid w:val="1F2D27EA"/>
    <w:rsid w:val="1FB77D57"/>
    <w:rsid w:val="206D21E8"/>
    <w:rsid w:val="21E85FCA"/>
    <w:rsid w:val="22351ABC"/>
    <w:rsid w:val="2305495A"/>
    <w:rsid w:val="23293051"/>
    <w:rsid w:val="24A361D8"/>
    <w:rsid w:val="25A328ED"/>
    <w:rsid w:val="262C6984"/>
    <w:rsid w:val="26E70454"/>
    <w:rsid w:val="276B1BCF"/>
    <w:rsid w:val="279D33B3"/>
    <w:rsid w:val="282B7CB0"/>
    <w:rsid w:val="28CF2509"/>
    <w:rsid w:val="29E3678C"/>
    <w:rsid w:val="29F574D6"/>
    <w:rsid w:val="2B746B21"/>
    <w:rsid w:val="2BC5112A"/>
    <w:rsid w:val="2BFA1CD5"/>
    <w:rsid w:val="2C8F26FA"/>
    <w:rsid w:val="2D4300C9"/>
    <w:rsid w:val="2D5072E5"/>
    <w:rsid w:val="2D617A2B"/>
    <w:rsid w:val="2D630BFB"/>
    <w:rsid w:val="3043457C"/>
    <w:rsid w:val="304A61B2"/>
    <w:rsid w:val="30B05B70"/>
    <w:rsid w:val="32764F2C"/>
    <w:rsid w:val="335F00B6"/>
    <w:rsid w:val="33FF27C2"/>
    <w:rsid w:val="34156BEB"/>
    <w:rsid w:val="34D72A5E"/>
    <w:rsid w:val="35150A87"/>
    <w:rsid w:val="366F23BE"/>
    <w:rsid w:val="36C879B2"/>
    <w:rsid w:val="37FA3DEA"/>
    <w:rsid w:val="389649A8"/>
    <w:rsid w:val="398010C6"/>
    <w:rsid w:val="39BA4B8C"/>
    <w:rsid w:val="3A6475AB"/>
    <w:rsid w:val="3AF17846"/>
    <w:rsid w:val="3C306C1A"/>
    <w:rsid w:val="3ECD2378"/>
    <w:rsid w:val="3F06588A"/>
    <w:rsid w:val="3FBD23EC"/>
    <w:rsid w:val="406D3E12"/>
    <w:rsid w:val="416F51D6"/>
    <w:rsid w:val="41817970"/>
    <w:rsid w:val="429A07C3"/>
    <w:rsid w:val="42BA70B7"/>
    <w:rsid w:val="430550E6"/>
    <w:rsid w:val="43486FF0"/>
    <w:rsid w:val="448F3A3F"/>
    <w:rsid w:val="461A29D0"/>
    <w:rsid w:val="46D12780"/>
    <w:rsid w:val="47982B20"/>
    <w:rsid w:val="48AC3DAF"/>
    <w:rsid w:val="4A58343D"/>
    <w:rsid w:val="4CF612C3"/>
    <w:rsid w:val="4D1675E0"/>
    <w:rsid w:val="4E4C5872"/>
    <w:rsid w:val="4EB225BB"/>
    <w:rsid w:val="50646D59"/>
    <w:rsid w:val="50E60BA8"/>
    <w:rsid w:val="51750164"/>
    <w:rsid w:val="51D81616"/>
    <w:rsid w:val="52795A61"/>
    <w:rsid w:val="53034162"/>
    <w:rsid w:val="55927687"/>
    <w:rsid w:val="56061C17"/>
    <w:rsid w:val="562C55D2"/>
    <w:rsid w:val="565F7815"/>
    <w:rsid w:val="57B40121"/>
    <w:rsid w:val="58262DCD"/>
    <w:rsid w:val="59B44E24"/>
    <w:rsid w:val="5ABE6548"/>
    <w:rsid w:val="5B503CBD"/>
    <w:rsid w:val="5CAB38A1"/>
    <w:rsid w:val="5D746389"/>
    <w:rsid w:val="5EBB2C44"/>
    <w:rsid w:val="600F2399"/>
    <w:rsid w:val="605C4EB2"/>
    <w:rsid w:val="60723BD8"/>
    <w:rsid w:val="616F7F1E"/>
    <w:rsid w:val="62952C2D"/>
    <w:rsid w:val="62A6291C"/>
    <w:rsid w:val="62B83F77"/>
    <w:rsid w:val="62C603F1"/>
    <w:rsid w:val="63A1648C"/>
    <w:rsid w:val="651346D9"/>
    <w:rsid w:val="656D30D8"/>
    <w:rsid w:val="65804C4D"/>
    <w:rsid w:val="65F55820"/>
    <w:rsid w:val="67866B91"/>
    <w:rsid w:val="678F66C0"/>
    <w:rsid w:val="680E72CD"/>
    <w:rsid w:val="68AB4C28"/>
    <w:rsid w:val="68E37F41"/>
    <w:rsid w:val="68F07894"/>
    <w:rsid w:val="692F7608"/>
    <w:rsid w:val="6A846C3C"/>
    <w:rsid w:val="6E0E5A3E"/>
    <w:rsid w:val="6E8A571E"/>
    <w:rsid w:val="6F7C52D9"/>
    <w:rsid w:val="6F94661F"/>
    <w:rsid w:val="700510C2"/>
    <w:rsid w:val="70075BD7"/>
    <w:rsid w:val="705078C9"/>
    <w:rsid w:val="72200435"/>
    <w:rsid w:val="744D2BDD"/>
    <w:rsid w:val="75E3075A"/>
    <w:rsid w:val="764B0E32"/>
    <w:rsid w:val="775841CD"/>
    <w:rsid w:val="77911234"/>
    <w:rsid w:val="7813558F"/>
    <w:rsid w:val="78E94215"/>
    <w:rsid w:val="7A37631C"/>
    <w:rsid w:val="7A8619BC"/>
    <w:rsid w:val="7B1859C4"/>
    <w:rsid w:val="7BD46D0B"/>
    <w:rsid w:val="7C0D37D8"/>
    <w:rsid w:val="7CFE75C5"/>
    <w:rsid w:val="7D9664FE"/>
    <w:rsid w:val="7EC74B2E"/>
    <w:rsid w:val="7F854D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autoRedefine/>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autoRedefine/>
    <w:qFormat/>
    <w:uiPriority w:val="0"/>
    <w:pPr>
      <w:jc w:val="left"/>
    </w:pPr>
  </w:style>
  <w:style w:type="paragraph" w:styleId="4">
    <w:name w:val="Balloon Text"/>
    <w:basedOn w:val="1"/>
    <w:link w:val="15"/>
    <w:autoRedefine/>
    <w:qFormat/>
    <w:uiPriority w:val="0"/>
    <w:rPr>
      <w:sz w:val="18"/>
      <w:szCs w:val="18"/>
    </w:rPr>
  </w:style>
  <w:style w:type="paragraph" w:styleId="5">
    <w:name w:val="footer"/>
    <w:basedOn w:val="1"/>
    <w:link w:val="20"/>
    <w:autoRedefine/>
    <w:qFormat/>
    <w:uiPriority w:val="0"/>
    <w:pPr>
      <w:tabs>
        <w:tab w:val="center" w:pos="4153"/>
        <w:tab w:val="right" w:pos="8306"/>
      </w:tabs>
      <w:snapToGrid w:val="0"/>
      <w:jc w:val="left"/>
    </w:pPr>
    <w:rPr>
      <w:sz w:val="18"/>
      <w:szCs w:val="18"/>
    </w:rPr>
  </w:style>
  <w:style w:type="paragraph" w:styleId="6">
    <w:name w:val="header"/>
    <w:basedOn w:val="1"/>
    <w:link w:val="19"/>
    <w:autoRedefine/>
    <w:qFormat/>
    <w:uiPriority w:val="0"/>
    <w:pPr>
      <w:tabs>
        <w:tab w:val="center" w:pos="4153"/>
        <w:tab w:val="right" w:pos="8306"/>
      </w:tabs>
      <w:snapToGrid w:val="0"/>
      <w:jc w:val="center"/>
    </w:pPr>
    <w:rPr>
      <w:sz w:val="18"/>
      <w:szCs w:val="18"/>
    </w:rPr>
  </w:style>
  <w:style w:type="paragraph" w:styleId="7">
    <w:name w:val="Normal (Web)"/>
    <w:basedOn w:val="1"/>
    <w:autoRedefine/>
    <w:qFormat/>
    <w:uiPriority w:val="0"/>
    <w:pPr>
      <w:spacing w:beforeAutospacing="1" w:afterAutospacing="1"/>
      <w:jc w:val="left"/>
    </w:pPr>
    <w:rPr>
      <w:rFonts w:cs="Times New Roman"/>
      <w:kern w:val="0"/>
      <w:sz w:val="24"/>
    </w:rPr>
  </w:style>
  <w:style w:type="paragraph" w:styleId="8">
    <w:name w:val="annotation subject"/>
    <w:basedOn w:val="3"/>
    <w:next w:val="3"/>
    <w:link w:val="17"/>
    <w:autoRedefine/>
    <w:qFormat/>
    <w:uiPriority w:val="0"/>
    <w:rPr>
      <w:b/>
      <w:bCs/>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autoRedefine/>
    <w:qFormat/>
    <w:uiPriority w:val="0"/>
    <w:rPr>
      <w:i/>
    </w:rPr>
  </w:style>
  <w:style w:type="character" w:styleId="13">
    <w:name w:val="Hyperlink"/>
    <w:basedOn w:val="11"/>
    <w:autoRedefine/>
    <w:unhideWhenUsed/>
    <w:qFormat/>
    <w:uiPriority w:val="99"/>
    <w:rPr>
      <w:color w:val="0000FF"/>
      <w:u w:val="single"/>
    </w:rPr>
  </w:style>
  <w:style w:type="character" w:styleId="14">
    <w:name w:val="annotation reference"/>
    <w:basedOn w:val="11"/>
    <w:autoRedefine/>
    <w:qFormat/>
    <w:uiPriority w:val="0"/>
    <w:rPr>
      <w:sz w:val="21"/>
      <w:szCs w:val="21"/>
    </w:rPr>
  </w:style>
  <w:style w:type="character" w:customStyle="1" w:styleId="15">
    <w:name w:val="批注框文本 字符"/>
    <w:basedOn w:val="11"/>
    <w:link w:val="4"/>
    <w:autoRedefine/>
    <w:qFormat/>
    <w:uiPriority w:val="0"/>
    <w:rPr>
      <w:kern w:val="2"/>
      <w:sz w:val="18"/>
      <w:szCs w:val="18"/>
    </w:rPr>
  </w:style>
  <w:style w:type="character" w:customStyle="1" w:styleId="16">
    <w:name w:val="批注文字 字符"/>
    <w:basedOn w:val="11"/>
    <w:link w:val="3"/>
    <w:autoRedefine/>
    <w:qFormat/>
    <w:uiPriority w:val="0"/>
    <w:rPr>
      <w:kern w:val="2"/>
      <w:sz w:val="21"/>
      <w:szCs w:val="22"/>
    </w:rPr>
  </w:style>
  <w:style w:type="character" w:customStyle="1" w:styleId="17">
    <w:name w:val="批注主题 字符"/>
    <w:basedOn w:val="16"/>
    <w:link w:val="8"/>
    <w:autoRedefine/>
    <w:qFormat/>
    <w:uiPriority w:val="0"/>
    <w:rPr>
      <w:b/>
      <w:bCs/>
      <w:kern w:val="2"/>
      <w:sz w:val="21"/>
      <w:szCs w:val="22"/>
    </w:rPr>
  </w:style>
  <w:style w:type="paragraph" w:customStyle="1" w:styleId="18">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9">
    <w:name w:val="页眉 字符"/>
    <w:basedOn w:val="11"/>
    <w:link w:val="6"/>
    <w:autoRedefine/>
    <w:qFormat/>
    <w:uiPriority w:val="0"/>
    <w:rPr>
      <w:rFonts w:asciiTheme="minorHAnsi" w:hAnsiTheme="minorHAnsi" w:eastAsiaTheme="minorEastAsia" w:cstheme="minorBidi"/>
      <w:kern w:val="2"/>
      <w:sz w:val="18"/>
      <w:szCs w:val="18"/>
    </w:rPr>
  </w:style>
  <w:style w:type="character" w:customStyle="1" w:styleId="20">
    <w:name w:val="页脚 字符"/>
    <w:basedOn w:val="11"/>
    <w:link w:val="5"/>
    <w:autoRedefine/>
    <w:qFormat/>
    <w:uiPriority w:val="0"/>
    <w:rPr>
      <w:rFonts w:asciiTheme="minorHAnsi" w:hAnsiTheme="minorHAnsi" w:eastAsiaTheme="minorEastAsia" w:cstheme="minorBidi"/>
      <w:kern w:val="2"/>
      <w:sz w:val="18"/>
      <w:szCs w:val="18"/>
    </w:rPr>
  </w:style>
  <w:style w:type="paragraph" w:styleId="2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4729fb4f-edec-4aa0-ab91-0b4d08a99445</errorID>
      <errorWord>(</errorWord>
      <group>L1_Format</group>
      <groupName>格式问题</groupName>
      <ability>L2_HalfPunc</ability>
      <abilityName>全半角检查</abilityName>
      <candidateList>
        <item>（</item>
      </candidateList>
      <explain>文本全半角错误。</explain>
      <paraID>302B54E6</paraID>
      <start>4</start>
      <end>5</end>
      <status>unmodified</status>
      <modifiedWord/>
      <trackRevisions>false</trackRevisions>
    </reviewItem>
    <reviewItem>
      <errorID>3f670799-36c0-4792-a909-abd2951560f4</errorID>
      <errorWord>)</errorWord>
      <group>L1_Format</group>
      <groupName>格式问题</groupName>
      <ability>L2_HalfPunc</ability>
      <abilityName>全半角检查</abilityName>
      <candidateList>
        <item>）</item>
      </candidateList>
      <explain>文本全半角错误。</explain>
      <paraID>302B54E6</paraID>
      <start>7</start>
      <end>8</end>
      <status>unmodified</status>
      <modifiedWord/>
      <trackRevisions>false</trackRevisions>
    </reviewItem>
    <reviewItem>
      <errorID>9a4f55fb-c137-4285-86c5-73a968126a4d</errorID>
      <errorWord>(</errorWord>
      <group>L1_Format</group>
      <groupName>格式问题</groupName>
      <ability>L2_HalfPunc</ability>
      <abilityName>全半角检查</abilityName>
      <candidateList>
        <item>（</item>
      </candidateList>
      <explain>文本全半角错误。</explain>
      <paraID>333FAD43</paraID>
      <start>2</start>
      <end>3</end>
      <status>unmodified</status>
      <modifiedWord/>
      <trackRevisions>false</trackRevisions>
    </reviewItem>
    <reviewItem>
      <errorID>8eb9a579-3888-48d0-8d5a-f6082c81d80f</errorID>
      <errorWord>)</errorWord>
      <group>L1_Format</group>
      <groupName>格式问题</groupName>
      <ability>L2_HalfPunc</ability>
      <abilityName>全半角检查</abilityName>
      <candidateList>
        <item>）</item>
      </candidateList>
      <explain>文本全半角错误。</explain>
      <paraID>333FAD43</paraID>
      <start>5</start>
      <end>6</end>
      <status>unmodified</status>
      <modifiedWord/>
      <trackRevisions>false</trackRevisions>
    </reviewItem>
    <reviewItem>
      <errorID>8a3031ce-d3f6-4ba0-86e6-a2e1ad994dca</errorID>
      <errorWord>(</errorWord>
      <group>L1_Format</group>
      <groupName>格式问题</groupName>
      <ability>L2_HalfPunc</ability>
      <abilityName>全半角检查</abilityName>
      <candidateList>
        <item>（</item>
      </candidateList>
      <explain>文本全半角错误。</explain>
      <paraID>559C79A3</paraID>
      <start>8</start>
      <end>9</end>
      <status>unmodified</status>
      <modifiedWord/>
      <trackRevisions>false</trackRevisions>
    </reviewItem>
    <reviewItem>
      <errorID>58fb751c-5c0f-4c5f-a9cb-d294f472c1ac</errorID>
      <errorWord>)</errorWord>
      <group>L1_Format</group>
      <groupName>格式问题</groupName>
      <ability>L2_HalfPunc</ability>
      <abilityName>全半角检查</abilityName>
      <candidateList>
        <item>）</item>
      </candidateList>
      <explain>文本全半角错误。</explain>
      <paraID>559C79A3</paraID>
      <start>11</start>
      <end>12</end>
      <status>unmodified</status>
      <modifiedWord/>
      <trackRevisions>false</trackRevisions>
    </reviewItem>
    <reviewItem>
      <errorID>20c523db-8e7e-4dd5-bf01-02b845f8c6e9</errorID>
      <errorWord>(</errorWord>
      <group>L1_Format</group>
      <groupName>格式问题</groupName>
      <ability>L2_HalfPunc</ability>
      <abilityName>全半角检查</abilityName>
      <candidateList>
        <item>（</item>
      </candidateList>
      <explain>文本全半角错误。</explain>
      <paraID>46101F63</paraID>
      <start>4</start>
      <end>5</end>
      <status>unmodified</status>
      <modifiedWord/>
      <trackRevisions>false</trackRevisions>
    </reviewItem>
    <reviewItem>
      <errorID>95324474-2997-4263-b5d1-d8b39d86a870</errorID>
      <errorWord>)</errorWord>
      <group>L1_Format</group>
      <groupName>格式问题</groupName>
      <ability>L2_HalfPunc</ability>
      <abilityName>全半角检查</abilityName>
      <candidateList>
        <item>）</item>
      </candidateList>
      <explain>文本全半角错误。</explain>
      <paraID>46101F63</paraID>
      <start>7</start>
      <end>8</end>
      <status>unmodified</status>
      <modifiedWord/>
      <trackRevisions>false</trackRevisions>
    </reviewItem>
    <reviewItem>
      <errorID>b5e09f33-f901-4150-a96e-ef8337ecbfd1</errorID>
      <errorWord>(</errorWord>
      <group>L1_Format</group>
      <groupName>格式问题</groupName>
      <ability>L2_HalfPunc</ability>
      <abilityName>全半角检查</abilityName>
      <candidateList>
        <item>（</item>
      </candidateList>
      <explain>文本全半角错误。</explain>
      <paraID> AB1E0CE</paraID>
      <start>9</start>
      <end>10</end>
      <status>unmodified</status>
      <modifiedWord/>
      <trackRevisions>false</trackRevisions>
    </reviewItem>
    <reviewItem>
      <errorID>ad2150fb-654b-4e88-83af-e55ad247bd56</errorID>
      <errorWord>)</errorWord>
      <group>L1_Format</group>
      <groupName>格式问题</groupName>
      <ability>L2_HalfPunc</ability>
      <abilityName>全半角检查</abilityName>
      <candidateList>
        <item>）</item>
      </candidateList>
      <explain>文本全半角错误。</explain>
      <paraID> AB1E0CE</paraID>
      <start>12</start>
      <end>13</end>
      <status>unmodified</status>
      <modifiedWord/>
      <trackRevisions>false</trackRevisions>
    </reviewItem>
    <reviewItem>
      <errorID>40ec5dc8-8cb6-47b3-a5ed-179ee2ce8d2f</errorID>
      <errorWord>(</errorWord>
      <group>L1_Format</group>
      <groupName>格式问题</groupName>
      <ability>L2_HalfPunc</ability>
      <abilityName>全半角检查</abilityName>
      <candidateList>
        <item>（</item>
      </candidateList>
      <explain>文本全半角错误。</explain>
      <paraID> 265F816</paraID>
      <start>4</start>
      <end>5</end>
      <status>unmodified</status>
      <modifiedWord/>
      <trackRevisions>false</trackRevisions>
    </reviewItem>
    <reviewItem>
      <errorID>9affe382-609e-42cf-91f2-0c8f687513b5</errorID>
      <errorWord>)</errorWord>
      <group>L1_Format</group>
      <groupName>格式问题</groupName>
      <ability>L2_HalfPunc</ability>
      <abilityName>全半角检查</abilityName>
      <candidateList>
        <item>）</item>
      </candidateList>
      <explain>文本全半角错误。</explain>
      <paraID> 265F816</paraID>
      <start>7</start>
      <end>8</end>
      <status>unmodified</status>
      <modifiedWord/>
      <trackRevisions>false</trackRevisions>
    </reviewItem>
    <reviewItem>
      <errorID>475b0250-413a-43c5-b4c8-bf1c4d34630c</errorID>
      <errorWord>(</errorWord>
      <group>L1_Format</group>
      <groupName>格式问题</groupName>
      <ability>L2_HalfPunc</ability>
      <abilityName>全半角检查</abilityName>
      <candidateList>
        <item>（</item>
      </candidateList>
      <explain>文本全半角错误。</explain>
      <paraID>236A7FC3</paraID>
      <start>2</start>
      <end>3</end>
      <status>unmodified</status>
      <modifiedWord/>
      <trackRevisions>false</trackRevisions>
    </reviewItem>
    <reviewItem>
      <errorID>b1b11a18-84e8-47f2-9b2d-feb05c093dc9</errorID>
      <errorWord>)</errorWord>
      <group>L1_Format</group>
      <groupName>格式问题</groupName>
      <ability>L2_HalfPunc</ability>
      <abilityName>全半角检查</abilityName>
      <candidateList>
        <item>）</item>
      </candidateList>
      <explain>文本全半角错误。</explain>
      <paraID>236A7FC3</paraID>
      <start>5</start>
      <end>6</end>
      <status>unmodified</status>
      <modifiedWord/>
      <trackRevisions>false</trackRevisions>
    </reviewItem>
    <reviewItem>
      <errorID>ae38fc47-5d4f-4377-a063-293e7eb2dceb</errorID>
      <errorWord>(</errorWord>
      <group>L1_Format</group>
      <groupName>格式问题</groupName>
      <ability>L2_HalfPunc</ability>
      <abilityName>全半角检查</abilityName>
      <candidateList>
        <item>（</item>
      </candidateList>
      <explain>文本全半角错误。</explain>
      <paraID>3B2822E7</paraID>
      <start>10</start>
      <end>11</end>
      <status>unmodified</status>
      <modifiedWord/>
      <trackRevisions>false</trackRevisions>
    </reviewItem>
    <reviewItem>
      <errorID>222f32fd-5f22-4714-b483-ae667a60541c</errorID>
      <errorWord>)</errorWord>
      <group>L1_Format</group>
      <groupName>格式问题</groupName>
      <ability>L2_HalfPunc</ability>
      <abilityName>全半角检查</abilityName>
      <candidateList>
        <item>）</item>
      </candidateList>
      <explain>文本全半角错误。</explain>
      <paraID>3B2822E7</paraID>
      <start>15</start>
      <end>16</end>
      <status>unmodified</status>
      <modifiedWord/>
      <trackRevisions>false</trackRevisions>
    </reviewItem>
    <reviewItem>
      <errorID>d5a0db9e-14c5-446e-8ae3-d14c04e5f59d</errorID>
      <errorWord>(</errorWord>
      <group>L1_Format</group>
      <groupName>格式问题</groupName>
      <ability>L2_HalfPunc</ability>
      <abilityName>全半角检查</abilityName>
      <candidateList>
        <item>（</item>
      </candidateList>
      <explain>文本全半角错误。</explain>
      <paraID>42A3B824</paraID>
      <start>12</start>
      <end>13</end>
      <status>unmodified</status>
      <modifiedWord/>
      <trackRevisions>false</trackRevisions>
    </reviewItem>
    <reviewItem>
      <errorID>25118c6b-38ae-4f26-9386-4145b9c3db01</errorID>
      <errorWord>)</errorWord>
      <group>L1_Format</group>
      <groupName>格式问题</groupName>
      <ability>L2_HalfPunc</ability>
      <abilityName>全半角检查</abilityName>
      <candidateList>
        <item>）</item>
      </candidateList>
      <explain>文本全半角错误。</explain>
      <paraID>42A3B824</paraID>
      <start>17</start>
      <end>18</end>
      <status>unmodified</status>
      <modifiedWord/>
      <trackRevisions>false</trackRevisions>
    </reviewItem>
    <reviewItem>
      <errorID>c9411212-8485-4f15-aff4-bca4ad72a066</errorID>
      <errorWord>(</errorWord>
      <group>L1_Format</group>
      <groupName>格式问题</groupName>
      <ability>L2_HalfPunc</ability>
      <abilityName>全半角检查</abilityName>
      <candidateList>
        <item>（</item>
      </candidateList>
      <explain>文本全半角错误。</explain>
      <paraID>457C5D46</paraID>
      <start>10</start>
      <end>11</end>
      <status>unmodified</status>
      <modifiedWord/>
      <trackRevisions>false</trackRevisions>
    </reviewItem>
    <reviewItem>
      <errorID>9e2f848b-9f93-4134-b764-cabcabe2cc80</errorID>
      <errorWord>)</errorWord>
      <group>L1_Format</group>
      <groupName>格式问题</groupName>
      <ability>L2_HalfPunc</ability>
      <abilityName>全半角检查</abilityName>
      <candidateList>
        <item>）</item>
      </candidateList>
      <explain>文本全半角错误。</explain>
      <paraID>457C5D46</paraID>
      <start>15</start>
      <end>16</end>
      <status>unmodified</status>
      <modifiedWord/>
      <trackRevisions>false</trackRevisions>
    </reviewItem>
    <reviewItem>
      <errorID>77258775-311b-4c89-a401-bf80a376fffb</errorID>
      <errorWord>(</errorWord>
      <group>L1_Format</group>
      <groupName>格式问题</groupName>
      <ability>L2_HalfPunc</ability>
      <abilityName>全半角检查</abilityName>
      <candidateList>
        <item>（</item>
      </candidateList>
      <explain>文本全半角错误。</explain>
      <paraID>3A169CA6</paraID>
      <start>2</start>
      <end>3</end>
      <status>unmodified</status>
      <modifiedWord/>
      <trackRevisions>false</trackRevisions>
    </reviewItem>
    <reviewItem>
      <errorID>65217f15-53ff-412e-9acd-572f129c1827</errorID>
      <errorWord>)</errorWord>
      <group>L1_Format</group>
      <groupName>格式问题</groupName>
      <ability>L2_HalfPunc</ability>
      <abilityName>全半角检查</abilityName>
      <candidateList>
        <item>）</item>
      </candidateList>
      <explain>文本全半角错误。</explain>
      <paraID>3A169CA6</paraID>
      <start>5</start>
      <end>6</end>
      <status>unmodified</status>
      <modifiedWord/>
      <trackRevisions>false</trackRevisions>
    </reviewItem>
    <reviewItem>
      <errorID>3b1fe4bc-7c86-47aa-93b8-b26273d0c041</errorID>
      <errorWord>(</errorWord>
      <group>L1_Format</group>
      <groupName>格式问题</groupName>
      <ability>L2_HalfPunc</ability>
      <abilityName>全半角检查</abilityName>
      <candidateList>
        <item>（</item>
      </candidateList>
      <explain>文本全半角错误。</explain>
      <paraID> 5BE0324</paraID>
      <start>2</start>
      <end>3</end>
      <status>unmodified</status>
      <modifiedWord/>
      <trackRevisions>false</trackRevisions>
    </reviewItem>
    <reviewItem>
      <errorID>468b6e1b-9080-4208-820e-804c3cb8e423</errorID>
      <errorWord>)</errorWord>
      <group>L1_Format</group>
      <groupName>格式问题</groupName>
      <ability>L2_HalfPunc</ability>
      <abilityName>全半角检查</abilityName>
      <candidateList>
        <item>）</item>
      </candidateList>
      <explain>文本全半角错误。</explain>
      <paraID> 5BE0324</paraID>
      <start>5</start>
      <end>6</end>
      <status>unmodified</status>
      <modifiedWord/>
      <trackRevisions>false</trackRevisions>
    </reviewItem>
    <reviewItem>
      <errorID>93a13782-e78c-4b9c-b82e-cabd3bd027d1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65D36CE1</paraID>
      <start>0</start>
      <end>2</end>
      <status>unmodified</status>
      <modifiedWord/>
      <trackRevisions>false</trackRevisions>
    </reviewItem>
    <reviewItem>
      <errorID>c7624121-cf22-450a-8a6b-24b745425290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1CD61CFF</paraID>
      <start>0</start>
      <end>2</end>
      <status>unmodified</status>
      <modifiedWord/>
      <trackRevisions>false</trackRevisions>
    </reviewItem>
    <reviewItem>
      <errorID>e763098f-746d-4f42-965d-95e779fc78a2</errorID>
      <errorWord>;</errorWord>
      <group>L1_Format</group>
      <groupName>格式问题</groupName>
      <ability>L2_HalfPunc</ability>
      <abilityName>全半角检查</abilityName>
      <candidateList>
        <item>；</item>
      </candidateList>
      <explain>文本全半角错误。</explain>
      <paraID>5C389B30</paraID>
      <start>45</start>
      <end>46</end>
      <status>unmodified</status>
      <modifiedWord/>
      <trackRevisions>false</trackRevisions>
    </reviewItem>
    <reviewItem>
      <errorID>b613c263-d846-4798-8690-0bb520e0ffce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67A6EFD7</paraID>
      <start>0</start>
      <end>2</end>
      <status>unmodified</status>
      <modifiedWord/>
      <trackRevisions>false</trackRevisions>
    </reviewItem>
    <reviewItem>
      <errorID>2d14f271-2949-428b-849a-58d902553e77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2F71BD40</paraID>
      <start>0</start>
      <end>2</end>
      <status>unmodified</status>
      <modifiedWord/>
      <trackRevisions>false</trackRevisions>
    </reviewItem>
    <reviewItem>
      <errorID>bf586bbf-9486-4e5a-96b3-29f279cf111d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608B3A49</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c6d6f736-be82-49b5-bd83-f50507bd6178}">
  <ds:schemaRefs/>
</ds:datastoreItem>
</file>

<file path=docProps/app.xml><?xml version="1.0" encoding="utf-8"?>
<Properties xmlns="http://schemas.openxmlformats.org/officeDocument/2006/extended-properties" xmlns:vt="http://schemas.openxmlformats.org/officeDocument/2006/docPropsVTypes">
  <Template>Normal</Template>
  <Pages>3</Pages>
  <Words>1757</Words>
  <Characters>1805</Characters>
  <Lines>19</Lines>
  <Paragraphs>5</Paragraphs>
  <TotalTime>4</TotalTime>
  <ScaleCrop>false</ScaleCrop>
  <LinksUpToDate>false</LinksUpToDate>
  <CharactersWithSpaces>1920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2024-08-27T10:51:00Z</dcterms:created>
  <dc:creator>季灵杰</dc:creator>
  <cp:lastModifiedBy>JIA</cp:lastModifiedBy>
  <cp:lastPrinted>2026-02-06T03:25:00Z</cp:lastPrinted>
  <dcterms:modified xsi:type="dcterms:W3CDTF">2026-08-13T09:17:17Z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DB42892924884FF3859E84EE87F38E64_13</vt:lpwstr>
  </property>
  <property fmtid="{D5CDD505-2E9C-101B-9397-08002B2CF9AE}" pid="4" name="KSOTemplateDocerSaveRecord">
    <vt:lpwstr>eyJoZGlkIjoiOTE2ZWI3N2MzNjk1ZGY5YjEzOTZhYzAyNWRlODYzOGEiLCJ1c2VySWQiOiI0NDQ4NDg0MTYifQ==</vt:lpwstr>
  </property>
</Properties>
</file>