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345BD" w14:textId="77777777" w:rsidR="00001829" w:rsidRDefault="00103A38">
      <w:pPr>
        <w:keepNext/>
        <w:keepLines/>
        <w:spacing w:before="260" w:after="260" w:line="360" w:lineRule="auto"/>
        <w:jc w:val="center"/>
        <w:rPr>
          <w:rFonts w:ascii="宋体" w:eastAsia="宋体" w:hAnsi="宋体" w:cs="Times New Roman"/>
          <w:b/>
          <w:bCs/>
          <w:iCs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iCs/>
          <w:sz w:val="24"/>
          <w:szCs w:val="24"/>
        </w:rPr>
        <w:t>证券代码：</w:t>
      </w:r>
      <w:r>
        <w:rPr>
          <w:rFonts w:ascii="宋体" w:eastAsia="宋体" w:hAnsi="宋体" w:cs="Times New Roman"/>
          <w:b/>
          <w:bCs/>
          <w:iCs/>
          <w:sz w:val="24"/>
          <w:szCs w:val="24"/>
        </w:rPr>
        <w:t xml:space="preserve">688260 </w:t>
      </w:r>
      <w:r>
        <w:rPr>
          <w:rFonts w:ascii="宋体" w:eastAsia="宋体" w:hAnsi="宋体" w:cs="Times New Roman" w:hint="eastAsia"/>
          <w:b/>
          <w:bCs/>
          <w:iCs/>
          <w:sz w:val="24"/>
          <w:szCs w:val="24"/>
        </w:rPr>
        <w:t xml:space="preserve">                                证券简称：</w:t>
      </w:r>
      <w:r>
        <w:rPr>
          <w:rFonts w:ascii="宋体" w:eastAsia="宋体" w:hAnsi="宋体" w:cs="Times New Roman"/>
          <w:b/>
          <w:bCs/>
          <w:iCs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b/>
          <w:bCs/>
          <w:iCs/>
          <w:sz w:val="24"/>
          <w:szCs w:val="24"/>
        </w:rPr>
        <w:t>昀冢科技</w:t>
      </w:r>
    </w:p>
    <w:p w14:paraId="18A73B7B" w14:textId="77777777" w:rsidR="00001829" w:rsidRDefault="00103A38">
      <w:pPr>
        <w:keepNext/>
        <w:keepLines/>
        <w:spacing w:beforeLines="50" w:before="156" w:afterLines="50" w:after="156" w:line="360" w:lineRule="auto"/>
        <w:jc w:val="center"/>
        <w:rPr>
          <w:rFonts w:ascii="宋体" w:eastAsia="宋体" w:hAnsi="宋体" w:cs="Times New Roman"/>
          <w:b/>
          <w:bCs/>
          <w:sz w:val="32"/>
          <w:szCs w:val="32"/>
        </w:rPr>
      </w:pPr>
      <w:r>
        <w:rPr>
          <w:rFonts w:ascii="宋体" w:eastAsia="宋体" w:hAnsi="宋体" w:cs="Times New Roman" w:hint="eastAsia"/>
          <w:b/>
          <w:bCs/>
          <w:sz w:val="32"/>
          <w:szCs w:val="32"/>
        </w:rPr>
        <w:t>苏州昀冢电子科技股份有限公司</w:t>
      </w:r>
    </w:p>
    <w:p w14:paraId="62A18CA9" w14:textId="77777777" w:rsidR="00001829" w:rsidRDefault="00103A38">
      <w:pPr>
        <w:keepNext/>
        <w:keepLines/>
        <w:spacing w:beforeLines="50" w:before="156" w:afterLines="50" w:after="156" w:line="360" w:lineRule="auto"/>
        <w:jc w:val="center"/>
        <w:rPr>
          <w:rFonts w:ascii="宋体" w:eastAsia="宋体" w:hAnsi="宋体" w:cs="Times New Roman"/>
          <w:b/>
          <w:bCs/>
          <w:sz w:val="32"/>
          <w:szCs w:val="32"/>
        </w:rPr>
      </w:pPr>
      <w:bookmarkStart w:id="0" w:name="OLE_LINK2"/>
      <w:bookmarkStart w:id="1" w:name="OLE_LINK1"/>
      <w:r>
        <w:rPr>
          <w:rFonts w:ascii="宋体" w:eastAsia="宋体" w:hAnsi="宋体" w:cs="Times New Roman" w:hint="eastAsia"/>
          <w:b/>
          <w:bCs/>
          <w:sz w:val="32"/>
          <w:szCs w:val="32"/>
        </w:rPr>
        <w:t>投资者关系活动记录表</w:t>
      </w:r>
    </w:p>
    <w:bookmarkEnd w:id="0"/>
    <w:bookmarkEnd w:id="1"/>
    <w:p w14:paraId="6A9E2B53" w14:textId="77777777" w:rsidR="00001829" w:rsidRDefault="00103A38">
      <w:pPr>
        <w:keepNext/>
        <w:keepLines/>
        <w:spacing w:before="260" w:after="260" w:line="360" w:lineRule="auto"/>
        <w:jc w:val="left"/>
        <w:rPr>
          <w:rFonts w:ascii="宋体" w:eastAsia="宋体" w:hAnsi="宋体" w:cs="Times New Roman"/>
          <w:b/>
          <w:bCs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编号：2</w:t>
      </w:r>
      <w:r w:rsidRPr="00915461">
        <w:rPr>
          <w:rFonts w:ascii="宋体" w:eastAsia="宋体" w:hAnsi="宋体" w:cs="Times New Roman"/>
          <w:b/>
          <w:bCs/>
          <w:sz w:val="24"/>
          <w:szCs w:val="24"/>
        </w:rPr>
        <w:t>026-003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5"/>
        <w:gridCol w:w="5689"/>
      </w:tblGrid>
      <w:tr w:rsidR="00001829" w14:paraId="08780B11" w14:textId="77777777">
        <w:tc>
          <w:tcPr>
            <w:tcW w:w="2925" w:type="dxa"/>
            <w:shd w:val="clear" w:color="auto" w:fill="auto"/>
          </w:tcPr>
          <w:p w14:paraId="50F0F9A0" w14:textId="77777777" w:rsidR="00001829" w:rsidRDefault="00103A38">
            <w:pPr>
              <w:spacing w:line="360" w:lineRule="auto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投资者关系活动类别</w:t>
            </w:r>
          </w:p>
          <w:p w14:paraId="47A54D3C" w14:textId="77777777" w:rsidR="00001829" w:rsidRDefault="00001829">
            <w:pPr>
              <w:spacing w:line="360" w:lineRule="auto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89" w:type="dxa"/>
            <w:shd w:val="clear" w:color="auto" w:fill="auto"/>
          </w:tcPr>
          <w:p w14:paraId="2B90D608" w14:textId="31211A09" w:rsidR="00001829" w:rsidRDefault="00103A38">
            <w:pPr>
              <w:spacing w:line="36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特定对象调研        </w:t>
            </w:r>
            <w:r w:rsidR="00F06FC4">
              <w:rPr>
                <w:rFonts w:ascii="Segoe UI Symbol" w:eastAsia="宋体" w:hAnsi="Segoe UI Symbol" w:cs="Segoe UI Symbol"/>
                <w:bCs/>
                <w:iCs/>
                <w:sz w:val="24"/>
                <w:szCs w:val="24"/>
              </w:rPr>
              <w:t>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分析师会议</w:t>
            </w:r>
          </w:p>
          <w:p w14:paraId="6E6FC593" w14:textId="77777777" w:rsidR="00001829" w:rsidRDefault="00103A38">
            <w:pPr>
              <w:spacing w:line="36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媒体采访            </w:t>
            </w:r>
            <w:r>
              <w:rPr>
                <w:rFonts w:ascii="Segoe UI Symbol" w:eastAsia="宋体" w:hAnsi="Segoe UI Symbol" w:cs="Segoe UI Symbol"/>
                <w:bCs/>
                <w:iCs/>
                <w:sz w:val="24"/>
                <w:szCs w:val="24"/>
              </w:rPr>
              <w:t>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业绩说明会</w:t>
            </w:r>
          </w:p>
          <w:p w14:paraId="50FB7BFB" w14:textId="77777777" w:rsidR="00001829" w:rsidRDefault="00103A38">
            <w:pPr>
              <w:spacing w:line="36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新闻发布会          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路演活动</w:t>
            </w:r>
          </w:p>
          <w:p w14:paraId="5AD03575" w14:textId="5B502E1C" w:rsidR="00001829" w:rsidRDefault="00103A38">
            <w:pPr>
              <w:tabs>
                <w:tab w:val="left" w:pos="2690"/>
                <w:tab w:val="center" w:pos="3199"/>
              </w:tabs>
              <w:spacing w:line="36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现场参观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          </w:t>
            </w:r>
            <w:r w:rsidR="00F06FC4">
              <w:rPr>
                <w:rFonts w:ascii="Segoe UI Symbol" w:eastAsia="宋体" w:hAnsi="Segoe UI Symbol" w:cs="Segoe UI Symbol"/>
                <w:bCs/>
                <w:iCs/>
                <w:sz w:val="24"/>
                <w:szCs w:val="24"/>
              </w:rPr>
              <w:t>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电话会议</w:t>
            </w:r>
          </w:p>
          <w:p w14:paraId="009FAB37" w14:textId="77777777" w:rsidR="00001829" w:rsidRDefault="00103A38">
            <w:pPr>
              <w:tabs>
                <w:tab w:val="center" w:pos="3199"/>
              </w:tabs>
              <w:spacing w:line="36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其他 </w:t>
            </w:r>
          </w:p>
        </w:tc>
      </w:tr>
      <w:tr w:rsidR="00001829" w14:paraId="6E12A36F" w14:textId="77777777">
        <w:tc>
          <w:tcPr>
            <w:tcW w:w="2925" w:type="dxa"/>
            <w:shd w:val="clear" w:color="auto" w:fill="auto"/>
          </w:tcPr>
          <w:p w14:paraId="004D337E" w14:textId="77777777" w:rsidR="00001829" w:rsidRDefault="00103A38">
            <w:pPr>
              <w:spacing w:line="360" w:lineRule="auto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参与单位名称</w:t>
            </w:r>
          </w:p>
        </w:tc>
        <w:tc>
          <w:tcPr>
            <w:tcW w:w="5689" w:type="dxa"/>
            <w:shd w:val="clear" w:color="auto" w:fill="auto"/>
          </w:tcPr>
          <w:p w14:paraId="2CBD1D1D" w14:textId="784A59D2" w:rsidR="00001829" w:rsidRPr="00D57670" w:rsidRDefault="00C8715A" w:rsidP="00C8715A">
            <w:pPr>
              <w:widowControl/>
              <w:rPr>
                <w:rFonts w:asciiTheme="minorEastAsia" w:hAnsiTheme="minorEastAsia" w:cs="Calibri"/>
                <w:sz w:val="24"/>
                <w:szCs w:val="24"/>
              </w:rPr>
            </w:pPr>
            <w:r w:rsidRPr="00C8715A">
              <w:rPr>
                <w:rFonts w:asciiTheme="minorEastAsia" w:hAnsiTheme="minorEastAsia" w:cs="Calibri" w:hint="eastAsia"/>
                <w:sz w:val="24"/>
                <w:szCs w:val="24"/>
              </w:rPr>
              <w:t>华商基金、海富通基金、信达澳亚基金、太平资产、国寿安保基金、金鹰基金、嘉实基金、</w:t>
            </w:r>
            <w:r w:rsidR="00C513ED" w:rsidRPr="00D57670">
              <w:rPr>
                <w:rFonts w:asciiTheme="minorEastAsia" w:hAnsiTheme="minorEastAsia" w:cs="Calibri" w:hint="eastAsia"/>
                <w:sz w:val="24"/>
                <w:szCs w:val="24"/>
              </w:rPr>
              <w:t>中信建投、华泰资产、</w:t>
            </w:r>
            <w:r w:rsidR="00567F8A" w:rsidRPr="00D57670">
              <w:rPr>
                <w:rFonts w:asciiTheme="minorEastAsia" w:hAnsiTheme="minorEastAsia" w:cs="Calibri" w:hint="eastAsia"/>
                <w:sz w:val="24"/>
                <w:szCs w:val="24"/>
              </w:rPr>
              <w:t>邮储银行</w:t>
            </w:r>
            <w:r w:rsidR="00567F8A" w:rsidRPr="00D57670">
              <w:rPr>
                <w:rFonts w:asciiTheme="minorEastAsia" w:hAnsiTheme="minorEastAsia" w:cs="Calibri" w:hint="eastAsia"/>
                <w:kern w:val="0"/>
                <w:sz w:val="24"/>
                <w:szCs w:val="24"/>
              </w:rPr>
              <w:t>、</w:t>
            </w:r>
            <w:r w:rsidR="00567F8A" w:rsidRPr="00D57670">
              <w:rPr>
                <w:rFonts w:asciiTheme="minorEastAsia" w:hAnsiTheme="minorEastAsia" w:cs="Calibri" w:hint="eastAsia"/>
                <w:sz w:val="24"/>
                <w:szCs w:val="24"/>
              </w:rPr>
              <w:t>交银理财</w:t>
            </w:r>
            <w:r w:rsidR="00804B93" w:rsidRPr="00D57670">
              <w:rPr>
                <w:rFonts w:asciiTheme="minorEastAsia" w:hAnsiTheme="minorEastAsia" w:cs="Calibri" w:hint="eastAsia"/>
                <w:sz w:val="24"/>
                <w:szCs w:val="24"/>
              </w:rPr>
              <w:t>、兴银理财</w:t>
            </w:r>
            <w:r w:rsidR="00567F8A" w:rsidRPr="00D57670">
              <w:rPr>
                <w:rFonts w:asciiTheme="minorEastAsia" w:hAnsiTheme="minorEastAsia" w:cs="Calibri" w:hint="eastAsia"/>
                <w:sz w:val="24"/>
                <w:szCs w:val="24"/>
              </w:rPr>
              <w:t>、</w:t>
            </w:r>
            <w:r w:rsidR="00C513ED" w:rsidRPr="00D57670">
              <w:rPr>
                <w:rFonts w:asciiTheme="minorEastAsia" w:hAnsiTheme="minorEastAsia" w:cs="Calibri" w:hint="eastAsia"/>
                <w:sz w:val="24"/>
                <w:szCs w:val="24"/>
              </w:rPr>
              <w:t>华夏基金、平安基金、摩根士丹利基金、摩根基金</w:t>
            </w:r>
            <w:r w:rsidR="00567F8A" w:rsidRPr="00D57670">
              <w:rPr>
                <w:rFonts w:asciiTheme="minorEastAsia" w:hAnsiTheme="minorEastAsia" w:cs="Calibri" w:hint="eastAsia"/>
                <w:sz w:val="24"/>
                <w:szCs w:val="24"/>
              </w:rPr>
              <w:t>、交银施罗德基金、</w:t>
            </w:r>
            <w:r w:rsidR="00567F8A" w:rsidRPr="00D57670">
              <w:rPr>
                <w:rFonts w:asciiTheme="minorEastAsia" w:hAnsiTheme="minorEastAsia" w:cs="Calibri" w:hint="eastAsia"/>
                <w:kern w:val="0"/>
                <w:sz w:val="24"/>
                <w:szCs w:val="24"/>
              </w:rPr>
              <w:t>民生理财</w:t>
            </w:r>
            <w:r w:rsidR="00567F8A" w:rsidRPr="00D57670">
              <w:rPr>
                <w:rFonts w:asciiTheme="minorEastAsia" w:hAnsiTheme="minorEastAsia" w:cs="Calibri" w:hint="eastAsia"/>
                <w:sz w:val="24"/>
                <w:szCs w:val="24"/>
              </w:rPr>
              <w:t>、申万宏源证券、太平洋证券、天风证券、财通基金</w:t>
            </w:r>
            <w:r w:rsidR="00C513ED" w:rsidRPr="00D57670">
              <w:rPr>
                <w:rFonts w:asciiTheme="minorEastAsia" w:hAnsiTheme="minorEastAsia" w:cs="Calibri" w:hint="eastAsia"/>
                <w:sz w:val="24"/>
                <w:szCs w:val="24"/>
              </w:rPr>
              <w:t>、浦银安盛基金</w:t>
            </w:r>
            <w:r w:rsidR="00E24498" w:rsidRPr="00D57670">
              <w:rPr>
                <w:rFonts w:asciiTheme="minorEastAsia" w:hAnsiTheme="minorEastAsia" w:cs="Calibri" w:hint="eastAsia"/>
                <w:sz w:val="24"/>
                <w:szCs w:val="24"/>
              </w:rPr>
              <w:t>、华泰保兴、</w:t>
            </w:r>
            <w:r w:rsidR="00E734C1" w:rsidRPr="00D57670">
              <w:rPr>
                <w:rFonts w:asciiTheme="minorEastAsia" w:hAnsiTheme="minorEastAsia" w:cs="Calibri"/>
                <w:sz w:val="24"/>
                <w:szCs w:val="24"/>
              </w:rPr>
              <w:t>HV Capital、</w:t>
            </w:r>
            <w:r w:rsidR="00700DAA" w:rsidRPr="00D57670">
              <w:rPr>
                <w:rFonts w:asciiTheme="minorEastAsia" w:hAnsiTheme="minorEastAsia" w:cs="Calibri"/>
                <w:sz w:val="24"/>
                <w:szCs w:val="24"/>
              </w:rPr>
              <w:t>百川投资、禹田资本、</w:t>
            </w:r>
            <w:r w:rsidR="00700DAA" w:rsidRPr="00D57670">
              <w:rPr>
                <w:rFonts w:asciiTheme="minorEastAsia" w:hAnsiTheme="minorEastAsia" w:cs="Calibri" w:hint="eastAsia"/>
                <w:sz w:val="24"/>
                <w:szCs w:val="24"/>
              </w:rPr>
              <w:t>上海歌汝、美阳投资、易米基金、臻宜投资、开源证券、金之灏、云星澜、玄卜投资、清池资本、深圳向日葵、黑翼资产、瀚亚投资香港、九祥资产、到金投资、红筹投资、唐臣投资、国都自营、非马投资、中原证券、国新投资、诚盛投资、东方睿石、南华基金、弘鼎资本、诺德基金、</w:t>
            </w:r>
            <w:r w:rsidR="00784A75" w:rsidRPr="00D57670">
              <w:rPr>
                <w:rFonts w:asciiTheme="minorEastAsia" w:hAnsiTheme="minorEastAsia" w:cs="Calibri" w:hint="eastAsia"/>
                <w:sz w:val="24"/>
                <w:szCs w:val="24"/>
              </w:rPr>
              <w:t>长盛基金、</w:t>
            </w:r>
            <w:r w:rsidR="00804B93">
              <w:rPr>
                <w:rFonts w:asciiTheme="minorEastAsia" w:hAnsiTheme="minorEastAsia" w:cs="Calibri" w:hint="eastAsia"/>
                <w:kern w:val="0"/>
                <w:sz w:val="24"/>
                <w:szCs w:val="24"/>
              </w:rPr>
              <w:t>英轩捷信</w:t>
            </w:r>
            <w:r w:rsidR="00784A75" w:rsidRPr="00D57670">
              <w:rPr>
                <w:rFonts w:asciiTheme="minorEastAsia" w:hAnsiTheme="minorEastAsia" w:cs="Calibri" w:hint="eastAsia"/>
                <w:kern w:val="0"/>
                <w:sz w:val="24"/>
                <w:szCs w:val="24"/>
              </w:rPr>
              <w:t>、博普科技、国联资管、</w:t>
            </w:r>
            <w:r w:rsidR="00784A75" w:rsidRPr="00D57670">
              <w:rPr>
                <w:rFonts w:asciiTheme="minorEastAsia" w:hAnsiTheme="minorEastAsia" w:cs="Calibri" w:hint="eastAsia"/>
                <w:sz w:val="24"/>
                <w:szCs w:val="24"/>
              </w:rPr>
              <w:t>泓德基金、羊角私募、清禾基金、从容投资、益安资本、泉果基金、国新证券、博远基金、宽源投资、兆魏投资、银叶投资、</w:t>
            </w:r>
            <w:r w:rsidR="00784A75" w:rsidRPr="00D57670">
              <w:rPr>
                <w:rFonts w:asciiTheme="minorEastAsia" w:hAnsiTheme="minorEastAsia" w:cs="Calibri"/>
                <w:sz w:val="24"/>
                <w:szCs w:val="24"/>
              </w:rPr>
              <w:t>Point72、</w:t>
            </w:r>
            <w:r w:rsidR="00D57670" w:rsidRPr="00D57670">
              <w:rPr>
                <w:rFonts w:asciiTheme="minorEastAsia" w:hAnsiTheme="minorEastAsia" w:cs="Calibri" w:hint="eastAsia"/>
                <w:sz w:val="24"/>
                <w:szCs w:val="24"/>
              </w:rPr>
              <w:t>相聚资本、人保资产、腾跃基金、粒子基金、锦成盛资产、国联基金、杭银理财、汐泰投资、东方基金、彬元资本、仁桥资产、朱雀基金、华夏未来、誉辉资本、德邦基金、鑫富越资产管理、利幄基金、鑫盛寰宇、煜德投资</w:t>
            </w:r>
            <w:r w:rsidR="009B7F6A">
              <w:rPr>
                <w:rFonts w:asciiTheme="minorEastAsia" w:hAnsiTheme="minorEastAsia" w:cs="Calibri" w:hint="eastAsia"/>
                <w:sz w:val="24"/>
                <w:szCs w:val="24"/>
              </w:rPr>
              <w:t>等</w:t>
            </w:r>
          </w:p>
        </w:tc>
      </w:tr>
      <w:tr w:rsidR="00001829" w14:paraId="66238681" w14:textId="77777777">
        <w:tc>
          <w:tcPr>
            <w:tcW w:w="2925" w:type="dxa"/>
            <w:shd w:val="clear" w:color="auto" w:fill="auto"/>
          </w:tcPr>
          <w:p w14:paraId="5C14CB40" w14:textId="77777777" w:rsidR="00001829" w:rsidRDefault="00103A38">
            <w:pPr>
              <w:spacing w:line="360" w:lineRule="auto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会议时间</w:t>
            </w:r>
          </w:p>
        </w:tc>
        <w:tc>
          <w:tcPr>
            <w:tcW w:w="5689" w:type="dxa"/>
            <w:shd w:val="clear" w:color="auto" w:fill="auto"/>
          </w:tcPr>
          <w:p w14:paraId="24C64A77" w14:textId="77777777" w:rsidR="00001829" w:rsidRDefault="00103A38">
            <w:pPr>
              <w:spacing w:line="36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  <w:t>026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年</w:t>
            </w:r>
            <w:r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  <w:t>8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  <w:t>13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日  </w:t>
            </w:r>
            <w:r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  <w:t>20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:</w:t>
            </w:r>
            <w:r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  <w:t>3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0-</w:t>
            </w:r>
            <w:r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  <w:t>21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:</w:t>
            </w:r>
            <w:r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  <w:t>30</w:t>
            </w:r>
          </w:p>
        </w:tc>
      </w:tr>
      <w:tr w:rsidR="00001829" w14:paraId="3702F45D" w14:textId="77777777">
        <w:tc>
          <w:tcPr>
            <w:tcW w:w="2925" w:type="dxa"/>
            <w:shd w:val="clear" w:color="auto" w:fill="auto"/>
          </w:tcPr>
          <w:p w14:paraId="7BEBE371" w14:textId="77777777" w:rsidR="00001829" w:rsidRDefault="00103A38">
            <w:pPr>
              <w:spacing w:line="360" w:lineRule="auto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会议地点</w:t>
            </w:r>
          </w:p>
        </w:tc>
        <w:tc>
          <w:tcPr>
            <w:tcW w:w="5689" w:type="dxa"/>
            <w:shd w:val="clear" w:color="auto" w:fill="auto"/>
          </w:tcPr>
          <w:p w14:paraId="23816B6D" w14:textId="77777777" w:rsidR="00001829" w:rsidRDefault="00103A38">
            <w:pPr>
              <w:spacing w:line="36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  <w:highlight w:val="yellow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公司会议室、通讯会议</w:t>
            </w:r>
          </w:p>
        </w:tc>
      </w:tr>
      <w:tr w:rsidR="00001829" w14:paraId="5EE79F53" w14:textId="77777777" w:rsidTr="00995068">
        <w:tc>
          <w:tcPr>
            <w:tcW w:w="2925" w:type="dxa"/>
            <w:shd w:val="clear" w:color="auto" w:fill="auto"/>
          </w:tcPr>
          <w:p w14:paraId="07655D5E" w14:textId="77777777" w:rsidR="00001829" w:rsidRDefault="00103A38">
            <w:pPr>
              <w:spacing w:line="360" w:lineRule="auto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上市公司接待人员姓名</w:t>
            </w:r>
          </w:p>
        </w:tc>
        <w:tc>
          <w:tcPr>
            <w:tcW w:w="5689" w:type="dxa"/>
            <w:shd w:val="clear" w:color="auto" w:fill="auto"/>
          </w:tcPr>
          <w:p w14:paraId="47FD63BA" w14:textId="77777777" w:rsidR="00001829" w:rsidRDefault="00103A38">
            <w:pPr>
              <w:spacing w:line="36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董事会秘书：陈艳</w:t>
            </w:r>
            <w:r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  <w:t xml:space="preserve">  </w:t>
            </w:r>
          </w:p>
        </w:tc>
      </w:tr>
      <w:tr w:rsidR="00001829" w14:paraId="3BC3E776" w14:textId="77777777" w:rsidTr="00995068">
        <w:trPr>
          <w:trHeight w:val="1125"/>
        </w:trPr>
        <w:tc>
          <w:tcPr>
            <w:tcW w:w="2925" w:type="dxa"/>
            <w:shd w:val="clear" w:color="auto" w:fill="auto"/>
            <w:vAlign w:val="center"/>
          </w:tcPr>
          <w:p w14:paraId="76D81B4D" w14:textId="77777777" w:rsidR="00001829" w:rsidRDefault="00103A38">
            <w:pPr>
              <w:spacing w:line="360" w:lineRule="auto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lastRenderedPageBreak/>
              <w:t>投资者关系活动主要内容介绍</w:t>
            </w:r>
          </w:p>
        </w:tc>
        <w:tc>
          <w:tcPr>
            <w:tcW w:w="5689" w:type="dxa"/>
            <w:shd w:val="clear" w:color="auto" w:fill="auto"/>
          </w:tcPr>
          <w:p w14:paraId="5E245509" w14:textId="0F4604D2" w:rsidR="00001829" w:rsidRPr="00103A38" w:rsidRDefault="00103A38">
            <w:pPr>
              <w:spacing w:line="360" w:lineRule="auto"/>
              <w:ind w:firstLineChars="200" w:firstLine="482"/>
              <w:rPr>
                <w:rFonts w:asciiTheme="minorEastAsia" w:hAnsiTheme="minorEastAsia" w:cs="Times New Roman"/>
                <w:iCs/>
                <w:sz w:val="24"/>
                <w:szCs w:val="24"/>
              </w:rPr>
            </w:pPr>
            <w:r w:rsidRPr="00103A38">
              <w:rPr>
                <w:rFonts w:asciiTheme="minorEastAsia" w:hAnsiTheme="minorEastAsia" w:cs="Times New Roman" w:hint="eastAsia"/>
                <w:b/>
                <w:iCs/>
                <w:sz w:val="24"/>
                <w:szCs w:val="24"/>
              </w:rPr>
              <w:t>问题1：</w:t>
            </w:r>
            <w:r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公司</w:t>
            </w:r>
            <w:r w:rsidR="00D34F72" w:rsidRPr="00D34F72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2026年</w:t>
            </w:r>
            <w:r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上半年营业收入实现了大幅度增长</w:t>
            </w:r>
            <w:r w:rsidR="00F054CE"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，同比增长</w:t>
            </w:r>
            <w:r w:rsidR="00F054CE" w:rsidRPr="00103A38">
              <w:rPr>
                <w:rFonts w:asciiTheme="minorEastAsia" w:hAnsiTheme="minorEastAsia" w:cs="Segoe UI"/>
                <w:color w:val="0F1115"/>
                <w:sz w:val="24"/>
                <w:szCs w:val="24"/>
                <w:shd w:val="clear" w:color="auto" w:fill="FFFFFF"/>
              </w:rPr>
              <w:t>53.68%</w:t>
            </w:r>
            <w:r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，请问增长的主要驱动力是什么？</w:t>
            </w:r>
          </w:p>
          <w:p w14:paraId="6DABCF2C" w14:textId="5E468034" w:rsidR="00001829" w:rsidRPr="00103A38" w:rsidRDefault="00103A38">
            <w:pPr>
              <w:spacing w:line="360" w:lineRule="auto"/>
              <w:ind w:firstLineChars="200" w:firstLine="480"/>
              <w:rPr>
                <w:rFonts w:asciiTheme="minorEastAsia" w:hAnsiTheme="minorEastAsia" w:cs="Times New Roman"/>
                <w:iCs/>
                <w:sz w:val="24"/>
                <w:szCs w:val="24"/>
              </w:rPr>
            </w:pPr>
            <w:r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答：</w:t>
            </w:r>
            <w:r w:rsidR="00D34F72" w:rsidRPr="00D34F72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2026年上半年，公司实现营业收入37,828.28万元，同比增长53.68%，主要系MLCC行业景气度向好、公司产能持续释放、需求增长等多重因素共同驱动。</w:t>
            </w:r>
            <w:r w:rsidR="00D21630" w:rsidRPr="00D21630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报告期内，公司</w:t>
            </w:r>
            <w:bookmarkStart w:id="2" w:name="OLE_LINK5"/>
            <w:r w:rsidR="00D21630" w:rsidRPr="00D21630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电子陶瓷业务保持增长</w:t>
            </w:r>
            <w:bookmarkEnd w:id="2"/>
            <w:r w:rsidR="00D21630" w:rsidRPr="00D21630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态势，该部分业务营业收入由去年同期的6,710.14万元增长至17,089.18万元，同比增长154.68%。</w:t>
            </w:r>
          </w:p>
          <w:p w14:paraId="38F95600" w14:textId="39C9ED97" w:rsidR="00001829" w:rsidRPr="00103A38" w:rsidRDefault="00103A38">
            <w:pPr>
              <w:spacing w:line="360" w:lineRule="auto"/>
              <w:ind w:firstLineChars="200" w:firstLine="482"/>
              <w:rPr>
                <w:rFonts w:asciiTheme="minorEastAsia" w:hAnsiTheme="minorEastAsia" w:cs="Times New Roman"/>
                <w:iCs/>
                <w:sz w:val="24"/>
                <w:szCs w:val="24"/>
              </w:rPr>
            </w:pPr>
            <w:r w:rsidRPr="00103A38">
              <w:rPr>
                <w:rFonts w:asciiTheme="minorEastAsia" w:hAnsiTheme="minorEastAsia" w:cs="Times New Roman" w:hint="eastAsia"/>
                <w:b/>
                <w:iCs/>
                <w:sz w:val="24"/>
                <w:szCs w:val="24"/>
              </w:rPr>
              <w:t>问题2：</w:t>
            </w:r>
            <w:r w:rsidRPr="00103A38">
              <w:rPr>
                <w:rFonts w:asciiTheme="minorEastAsia" w:hAnsiTheme="minorEastAsia" w:cs="Times New Roman"/>
                <w:iCs/>
                <w:sz w:val="24"/>
                <w:szCs w:val="24"/>
              </w:rPr>
              <w:t>虽然营收大幅增长，但公司</w:t>
            </w:r>
            <w:r w:rsidR="00D34F72" w:rsidRPr="00D34F72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2026</w:t>
            </w:r>
            <w:r w:rsidR="00D34F72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年</w:t>
            </w:r>
            <w:r w:rsidRPr="00103A38">
              <w:rPr>
                <w:rFonts w:asciiTheme="minorEastAsia" w:hAnsiTheme="minorEastAsia" w:cs="Times New Roman"/>
                <w:iCs/>
                <w:sz w:val="24"/>
                <w:szCs w:val="24"/>
              </w:rPr>
              <w:t>上半年仍处于亏损状态，请问主要原因是什么？</w:t>
            </w:r>
          </w:p>
          <w:p w14:paraId="05E6DD04" w14:textId="0D08218F" w:rsidR="00F054CE" w:rsidRPr="00D34F72" w:rsidRDefault="00103A38" w:rsidP="00D34F72">
            <w:pPr>
              <w:spacing w:line="360" w:lineRule="auto"/>
              <w:ind w:firstLineChars="200" w:firstLine="480"/>
              <w:rPr>
                <w:rFonts w:asciiTheme="minorEastAsia" w:hAnsiTheme="minorEastAsia" w:cs="Times New Roman"/>
                <w:iCs/>
                <w:sz w:val="24"/>
                <w:szCs w:val="24"/>
              </w:rPr>
            </w:pPr>
            <w:r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答：</w:t>
            </w:r>
            <w:r w:rsidR="00D34F72" w:rsidRPr="00D34F72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2026年上半年，公司营业收入实现大幅增长，但整体亏损状况未得到显著改善，主要受消费电子板块行业景气度偏弱、竞争加剧、产品定制化属性较强、生产制造成本相对较高等影响所致</w:t>
            </w:r>
            <w:r w:rsidR="00517FA4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,</w:t>
            </w:r>
            <w:r w:rsidR="00517FA4">
              <w:rPr>
                <w:rFonts w:asciiTheme="minorEastAsia" w:hAnsiTheme="minorEastAsia" w:cs="Times New Roman"/>
                <w:iCs/>
                <w:sz w:val="24"/>
                <w:szCs w:val="24"/>
              </w:rPr>
              <w:t>毛利率略有下滑</w:t>
            </w:r>
            <w:r w:rsidR="00D34F72" w:rsidRPr="00D34F72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。</w:t>
            </w:r>
            <w:r w:rsidR="00F054CE" w:rsidRPr="00103A38">
              <w:rPr>
                <w:rFonts w:asciiTheme="minorEastAsia" w:hAnsiTheme="minorEastAsia" w:cs="Times New Roman"/>
                <w:iCs/>
                <w:sz w:val="24"/>
                <w:szCs w:val="24"/>
              </w:rPr>
              <w:t>在此背景下，公司</w:t>
            </w:r>
            <w:r w:rsidR="00D34F72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将</w:t>
            </w:r>
            <w:r w:rsidR="00F054CE" w:rsidRPr="00103A38">
              <w:rPr>
                <w:rFonts w:asciiTheme="minorEastAsia" w:hAnsiTheme="minorEastAsia" w:cs="Times New Roman"/>
                <w:iCs/>
                <w:sz w:val="24"/>
                <w:szCs w:val="24"/>
              </w:rPr>
              <w:t>加强消费电子业务的成本管控，</w:t>
            </w:r>
            <w:r w:rsidR="00D34F72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同时</w:t>
            </w:r>
            <w:r w:rsidR="00F054CE" w:rsidRPr="00103A38">
              <w:rPr>
                <w:rFonts w:asciiTheme="minorEastAsia" w:hAnsiTheme="minorEastAsia" w:cs="Times New Roman"/>
                <w:iCs/>
                <w:sz w:val="24"/>
                <w:szCs w:val="24"/>
              </w:rPr>
              <w:t>积极向更多新兴应用领域扩展。此外，公司</w:t>
            </w:r>
            <w:r w:rsidR="00D34F72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重点</w:t>
            </w:r>
            <w:r w:rsidR="00F054CE" w:rsidRPr="00103A38">
              <w:rPr>
                <w:rFonts w:asciiTheme="minorEastAsia" w:hAnsiTheme="minorEastAsia" w:cs="Times New Roman"/>
                <w:iCs/>
                <w:sz w:val="24"/>
                <w:szCs w:val="24"/>
              </w:rPr>
              <w:t>推进电子陶瓷领域的业务发展，以对冲消费电子业务的压力。</w:t>
            </w:r>
          </w:p>
          <w:p w14:paraId="4771143B" w14:textId="04B999FB" w:rsidR="00001829" w:rsidRPr="00103A38" w:rsidRDefault="00103A38">
            <w:pPr>
              <w:spacing w:line="360" w:lineRule="auto"/>
              <w:ind w:firstLineChars="200" w:firstLine="482"/>
              <w:rPr>
                <w:rFonts w:asciiTheme="minorEastAsia" w:hAnsiTheme="minorEastAsia" w:cs="Times New Roman"/>
                <w:iCs/>
                <w:sz w:val="24"/>
                <w:szCs w:val="24"/>
              </w:rPr>
            </w:pPr>
            <w:r w:rsidRPr="00103A38">
              <w:rPr>
                <w:rFonts w:asciiTheme="minorEastAsia" w:hAnsiTheme="minorEastAsia" w:cs="Times New Roman" w:hint="eastAsia"/>
                <w:b/>
                <w:iCs/>
                <w:sz w:val="24"/>
                <w:szCs w:val="24"/>
              </w:rPr>
              <w:t>问题3：</w:t>
            </w:r>
            <w:r w:rsidRPr="00103A38">
              <w:rPr>
                <w:rFonts w:asciiTheme="minorEastAsia" w:hAnsiTheme="minorEastAsia" w:cs="Times New Roman"/>
                <w:iCs/>
                <w:sz w:val="24"/>
                <w:szCs w:val="24"/>
              </w:rPr>
              <w:t>公司在成本控制和费用管理方面有哪些进展？</w:t>
            </w:r>
          </w:p>
          <w:p w14:paraId="5821F173" w14:textId="19C26ABE" w:rsidR="00001829" w:rsidRPr="00103A38" w:rsidRDefault="00103A38">
            <w:pPr>
              <w:spacing w:line="360" w:lineRule="auto"/>
              <w:ind w:firstLineChars="200" w:firstLine="480"/>
              <w:rPr>
                <w:rFonts w:asciiTheme="minorEastAsia" w:hAnsiTheme="minorEastAsia" w:cs="Times New Roman"/>
                <w:iCs/>
                <w:sz w:val="24"/>
                <w:szCs w:val="24"/>
              </w:rPr>
            </w:pPr>
            <w:r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答：</w:t>
            </w:r>
            <w:r w:rsidR="00264457" w:rsidRPr="00103A38">
              <w:rPr>
                <w:rFonts w:asciiTheme="minorEastAsia" w:hAnsiTheme="minorEastAsia" w:cs="Times New Roman"/>
                <w:iCs/>
                <w:sz w:val="24"/>
                <w:szCs w:val="24"/>
              </w:rPr>
              <w:t>2026年上半年，公司期间费用为9</w:t>
            </w:r>
            <w:r w:rsidR="006C1187">
              <w:rPr>
                <w:rFonts w:asciiTheme="minorEastAsia" w:hAnsiTheme="minorEastAsia" w:cs="Times New Roman"/>
                <w:iCs/>
                <w:sz w:val="24"/>
                <w:szCs w:val="24"/>
              </w:rPr>
              <w:t>,</w:t>
            </w:r>
            <w:r w:rsidR="00264457" w:rsidRPr="00103A38">
              <w:rPr>
                <w:rFonts w:asciiTheme="minorEastAsia" w:hAnsiTheme="minorEastAsia" w:cs="Times New Roman"/>
                <w:iCs/>
                <w:sz w:val="24"/>
                <w:szCs w:val="24"/>
              </w:rPr>
              <w:t>889.83万元，较上年同期减少503.03万元；期间费用率为26.14%，较上年同期下降16.08个百分点。其中，销售费用同比减少14.20%，管理费用同比增长14.61%，研发费用同比减少10.31%，财务费用同比减少13.46%。</w:t>
            </w:r>
          </w:p>
          <w:p w14:paraId="2938B6B3" w14:textId="77777777" w:rsidR="00001829" w:rsidRPr="00103A38" w:rsidRDefault="00103A38">
            <w:pPr>
              <w:spacing w:line="360" w:lineRule="auto"/>
              <w:ind w:firstLineChars="200" w:firstLine="482"/>
              <w:rPr>
                <w:rFonts w:asciiTheme="minorEastAsia" w:hAnsiTheme="minorEastAsia" w:cs="Times New Roman"/>
                <w:iCs/>
                <w:sz w:val="24"/>
                <w:szCs w:val="24"/>
              </w:rPr>
            </w:pPr>
            <w:r w:rsidRPr="00103A38">
              <w:rPr>
                <w:rFonts w:asciiTheme="minorEastAsia" w:hAnsiTheme="minorEastAsia" w:cs="Times New Roman" w:hint="eastAsia"/>
                <w:b/>
                <w:iCs/>
                <w:sz w:val="24"/>
                <w:szCs w:val="24"/>
              </w:rPr>
              <w:t>问题4：</w:t>
            </w:r>
            <w:r w:rsidRPr="00103A38">
              <w:rPr>
                <w:rFonts w:asciiTheme="minorEastAsia" w:hAnsiTheme="minorEastAsia" w:cs="Times New Roman"/>
                <w:iCs/>
                <w:sz w:val="24"/>
                <w:szCs w:val="24"/>
              </w:rPr>
              <w:t>公司毛利率和净利率的表现如何？</w:t>
            </w:r>
          </w:p>
          <w:p w14:paraId="7FC5B668" w14:textId="1DDEF92A" w:rsidR="00001829" w:rsidRPr="00103A38" w:rsidRDefault="00103A38">
            <w:pPr>
              <w:spacing w:line="360" w:lineRule="auto"/>
              <w:ind w:firstLineChars="200" w:firstLine="480"/>
              <w:rPr>
                <w:rFonts w:asciiTheme="minorEastAsia" w:hAnsiTheme="minorEastAsia" w:cs="Times New Roman"/>
                <w:iCs/>
                <w:sz w:val="24"/>
                <w:szCs w:val="24"/>
              </w:rPr>
            </w:pPr>
            <w:r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答：2026年上半年，公司毛利率为0.38%，同比</w:t>
            </w:r>
            <w:r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lastRenderedPageBreak/>
              <w:t>下</w:t>
            </w:r>
            <w:r w:rsidRPr="0016213A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降0.78个百分点；净</w:t>
            </w:r>
            <w:r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利率为-26.93%，较上年同期上升16.09个百分点。</w:t>
            </w:r>
          </w:p>
          <w:p w14:paraId="5EF3BBA0" w14:textId="77777777" w:rsidR="00001829" w:rsidRPr="00103A38" w:rsidRDefault="00103A38">
            <w:pPr>
              <w:spacing w:line="360" w:lineRule="auto"/>
              <w:ind w:firstLineChars="200" w:firstLine="482"/>
              <w:rPr>
                <w:rFonts w:asciiTheme="minorEastAsia" w:hAnsiTheme="minorEastAsia" w:cs="Times New Roman"/>
                <w:iCs/>
                <w:sz w:val="24"/>
                <w:szCs w:val="24"/>
              </w:rPr>
            </w:pPr>
            <w:r w:rsidRPr="00103A38">
              <w:rPr>
                <w:rFonts w:asciiTheme="minorEastAsia" w:hAnsiTheme="minorEastAsia" w:cs="Times New Roman" w:hint="eastAsia"/>
                <w:b/>
                <w:iCs/>
                <w:sz w:val="24"/>
                <w:szCs w:val="24"/>
              </w:rPr>
              <w:t>问题5：</w:t>
            </w:r>
            <w:r w:rsidRPr="00103A38">
              <w:rPr>
                <w:rFonts w:asciiTheme="minorEastAsia" w:hAnsiTheme="minorEastAsia" w:cs="Times New Roman"/>
                <w:iCs/>
                <w:sz w:val="24"/>
                <w:szCs w:val="24"/>
              </w:rPr>
              <w:t>公司目前的现金流状况如何？经营活动现金流是否有所改善？</w:t>
            </w:r>
          </w:p>
          <w:p w14:paraId="4771CF1A" w14:textId="78188A48" w:rsidR="00001829" w:rsidRPr="00103A38" w:rsidRDefault="00103A38">
            <w:pPr>
              <w:spacing w:line="360" w:lineRule="auto"/>
              <w:ind w:firstLineChars="200" w:firstLine="480"/>
              <w:rPr>
                <w:rFonts w:asciiTheme="minorEastAsia" w:hAnsiTheme="minorEastAsia" w:cs="Times New Roman"/>
                <w:iCs/>
                <w:sz w:val="24"/>
                <w:szCs w:val="24"/>
              </w:rPr>
            </w:pPr>
            <w:r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答：2026年上半年，公司经营活动产生的现金流量净额为</w:t>
            </w:r>
            <w:r w:rsidR="003D53B9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2</w:t>
            </w:r>
            <w:r w:rsidR="003D53B9">
              <w:rPr>
                <w:rFonts w:asciiTheme="minorEastAsia" w:hAnsiTheme="minorEastAsia" w:cs="Times New Roman"/>
                <w:iCs/>
                <w:sz w:val="24"/>
                <w:szCs w:val="24"/>
              </w:rPr>
              <w:t>,</w:t>
            </w:r>
            <w:r w:rsidR="003D53B9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357.87万元</w:t>
            </w:r>
            <w:r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，上年同期为</w:t>
            </w:r>
            <w:r w:rsidR="003D53B9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-</w:t>
            </w:r>
            <w:r w:rsidR="003D53B9">
              <w:rPr>
                <w:rFonts w:asciiTheme="minorEastAsia" w:hAnsiTheme="minorEastAsia" w:cs="Times New Roman"/>
                <w:iCs/>
                <w:sz w:val="24"/>
                <w:szCs w:val="24"/>
              </w:rPr>
              <w:t>2,422.64</w:t>
            </w:r>
            <w:r w:rsidR="003D53B9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万元</w:t>
            </w:r>
            <w:r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。</w:t>
            </w:r>
            <w:r w:rsidR="003D53B9" w:rsidRPr="003D53B9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公司经营活动产生的现金流量净额变动主要系营业收入规模扩大、业务结构变化所致</w:t>
            </w:r>
            <w:r w:rsidR="0016213A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。</w:t>
            </w:r>
          </w:p>
          <w:p w14:paraId="4B04FAA9" w14:textId="13B58D4A" w:rsidR="00001829" w:rsidRPr="00103A38" w:rsidRDefault="00103A38">
            <w:pPr>
              <w:spacing w:line="360" w:lineRule="auto"/>
              <w:ind w:firstLineChars="200" w:firstLine="482"/>
              <w:rPr>
                <w:rFonts w:asciiTheme="minorEastAsia" w:hAnsiTheme="minorEastAsia" w:cs="Times New Roman"/>
                <w:iCs/>
                <w:sz w:val="24"/>
                <w:szCs w:val="24"/>
              </w:rPr>
            </w:pPr>
            <w:r w:rsidRPr="00103A38">
              <w:rPr>
                <w:rFonts w:asciiTheme="minorEastAsia" w:hAnsiTheme="minorEastAsia" w:cs="Times New Roman" w:hint="eastAsia"/>
                <w:b/>
                <w:iCs/>
                <w:sz w:val="24"/>
                <w:szCs w:val="24"/>
              </w:rPr>
              <w:t>问题6：</w:t>
            </w:r>
            <w:r w:rsidRPr="00103A38">
              <w:rPr>
                <w:rFonts w:asciiTheme="minorEastAsia" w:hAnsiTheme="minorEastAsia" w:cs="Times New Roman"/>
                <w:iCs/>
                <w:sz w:val="24"/>
                <w:szCs w:val="24"/>
              </w:rPr>
              <w:t>公司再融资</w:t>
            </w:r>
            <w:r w:rsidR="0077171C">
              <w:rPr>
                <w:rFonts w:asciiTheme="minorEastAsia" w:hAnsiTheme="minorEastAsia" w:cs="Times New Roman"/>
                <w:iCs/>
                <w:sz w:val="24"/>
                <w:szCs w:val="24"/>
              </w:rPr>
              <w:t>项目进展如何</w:t>
            </w:r>
            <w:r w:rsidRPr="00103A38">
              <w:rPr>
                <w:rFonts w:asciiTheme="minorEastAsia" w:hAnsiTheme="minorEastAsia" w:cs="Times New Roman"/>
                <w:iCs/>
                <w:sz w:val="24"/>
                <w:szCs w:val="24"/>
              </w:rPr>
              <w:t>？</w:t>
            </w:r>
          </w:p>
          <w:p w14:paraId="1911132B" w14:textId="17C1E08B" w:rsidR="00001829" w:rsidRPr="00103A38" w:rsidRDefault="00103A38">
            <w:pPr>
              <w:spacing w:line="360" w:lineRule="auto"/>
              <w:ind w:firstLineChars="200" w:firstLine="480"/>
              <w:rPr>
                <w:rFonts w:asciiTheme="minorEastAsia" w:hAnsiTheme="minorEastAsia" w:cs="Times New Roman"/>
                <w:iCs/>
                <w:sz w:val="24"/>
                <w:szCs w:val="24"/>
              </w:rPr>
            </w:pPr>
            <w:r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答：公司计划向特定对象发行A股股票募集资金不超过87,483.10万元，</w:t>
            </w:r>
            <w:r w:rsidR="003D53B9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主要</w:t>
            </w:r>
            <w:r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用于MLCC</w:t>
            </w:r>
            <w:r w:rsidR="003D53B9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及D</w:t>
            </w:r>
            <w:r w:rsidR="003D53B9">
              <w:rPr>
                <w:rFonts w:asciiTheme="minorEastAsia" w:hAnsiTheme="minorEastAsia" w:cs="Times New Roman"/>
                <w:iCs/>
                <w:sz w:val="24"/>
                <w:szCs w:val="24"/>
              </w:rPr>
              <w:t>PC</w:t>
            </w:r>
            <w:r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相关项目</w:t>
            </w:r>
            <w:r w:rsidR="00500374">
              <w:rPr>
                <w:rFonts w:asciiTheme="minorEastAsia" w:hAnsiTheme="minorEastAsia" w:cs="Times New Roman"/>
                <w:iCs/>
                <w:sz w:val="24"/>
                <w:szCs w:val="24"/>
              </w:rPr>
              <w:t>。</w:t>
            </w:r>
            <w:r w:rsidR="00500374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公司</w:t>
            </w:r>
            <w:r w:rsidR="00500374" w:rsidRPr="00500374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向特定对象发行A股股票申请</w:t>
            </w:r>
            <w:r w:rsidR="0077171C">
              <w:rPr>
                <w:rFonts w:asciiTheme="minorEastAsia" w:hAnsiTheme="minorEastAsia" w:cs="Times New Roman"/>
                <w:iCs/>
                <w:sz w:val="24"/>
                <w:szCs w:val="24"/>
              </w:rPr>
              <w:t>于</w:t>
            </w:r>
            <w:r w:rsidR="0077171C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8月1</w:t>
            </w:r>
            <w:r w:rsidR="0077171C">
              <w:rPr>
                <w:rFonts w:asciiTheme="minorEastAsia" w:hAnsiTheme="minorEastAsia" w:cs="Times New Roman"/>
                <w:iCs/>
                <w:sz w:val="24"/>
                <w:szCs w:val="24"/>
              </w:rPr>
              <w:t>0日获得上海证券交易所受理，目前在积极推进中</w:t>
            </w:r>
            <w:r w:rsidR="00500374">
              <w:rPr>
                <w:rFonts w:asciiTheme="minorEastAsia" w:hAnsiTheme="minorEastAsia" w:cs="Times New Roman"/>
                <w:iCs/>
                <w:sz w:val="24"/>
                <w:szCs w:val="24"/>
              </w:rPr>
              <w:t>。</w:t>
            </w:r>
            <w:r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同时，公司控股子公司池州昀冢电子科技有限公司拟总投资15亿元人民币，分两期建设高性能MLCC生产项目</w:t>
            </w:r>
            <w:r w:rsidR="0077171C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，该项目与地方政府</w:t>
            </w:r>
            <w:r w:rsidR="00500374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基金</w:t>
            </w:r>
            <w:r w:rsidR="0077171C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共同投资，一期项目已在积极推进中</w:t>
            </w:r>
            <w:r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。</w:t>
            </w:r>
            <w:r w:rsidR="003D53B9" w:rsidRPr="003D53B9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具体内容详见公司</w:t>
            </w:r>
            <w:r w:rsidR="003D53B9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于</w:t>
            </w:r>
            <w:r w:rsidR="003D53B9" w:rsidRPr="003D53B9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上海证券交易所网站（www.sse.com.cn）披露的相关公告。</w:t>
            </w:r>
          </w:p>
          <w:p w14:paraId="6560C38E" w14:textId="14961897" w:rsidR="00EA530B" w:rsidRPr="008A6224" w:rsidRDefault="00EA530B" w:rsidP="00EA530B">
            <w:pPr>
              <w:spacing w:line="360" w:lineRule="auto"/>
              <w:ind w:firstLineChars="200" w:firstLine="482"/>
              <w:rPr>
                <w:rFonts w:asciiTheme="minorEastAsia" w:hAnsiTheme="minorEastAsia" w:cs="Times New Roman"/>
                <w:bCs/>
                <w:iCs/>
                <w:sz w:val="24"/>
                <w:szCs w:val="24"/>
              </w:rPr>
            </w:pPr>
            <w:r w:rsidRPr="008A6224">
              <w:rPr>
                <w:rFonts w:asciiTheme="minorEastAsia" w:hAnsiTheme="minorEastAsia" w:cs="Times New Roman" w:hint="eastAsia"/>
                <w:b/>
                <w:iCs/>
                <w:sz w:val="24"/>
                <w:szCs w:val="24"/>
              </w:rPr>
              <w:t>问题7</w:t>
            </w:r>
            <w:r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：</w:t>
            </w:r>
            <w:r w:rsidRPr="008A6224">
              <w:rPr>
                <w:rFonts w:asciiTheme="minorEastAsia" w:hAnsiTheme="minorEastAsia" w:cs="Times New Roman"/>
                <w:bCs/>
                <w:iCs/>
                <w:sz w:val="24"/>
                <w:szCs w:val="24"/>
              </w:rPr>
              <w:t>公司电子陶瓷的技术水平和规格覆盖情况如何？</w:t>
            </w:r>
          </w:p>
          <w:p w14:paraId="17C4015F" w14:textId="398FEA2C" w:rsidR="00EA530B" w:rsidRPr="00103A38" w:rsidRDefault="0016213A" w:rsidP="00E52AE2">
            <w:pPr>
              <w:spacing w:line="360" w:lineRule="auto"/>
              <w:ind w:firstLineChars="200" w:firstLine="480"/>
              <w:rPr>
                <w:rFonts w:asciiTheme="minorEastAsia" w:hAnsiTheme="minorEastAsia" w:cs="Times New Roman"/>
                <w:iCs/>
                <w:sz w:val="24"/>
                <w:szCs w:val="24"/>
              </w:rPr>
            </w:pPr>
            <w:r w:rsidRPr="0016213A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答：</w:t>
            </w:r>
            <w:r w:rsidR="00EA530B" w:rsidRPr="00103A38">
              <w:rPr>
                <w:rFonts w:asciiTheme="minorEastAsia" w:hAnsiTheme="minorEastAsia" w:cs="Times New Roman"/>
                <w:iCs/>
                <w:sz w:val="24"/>
                <w:szCs w:val="24"/>
              </w:rPr>
              <w:t>在电子陶瓷领域，公司业务主要包括MLCC和DPC两部分</w:t>
            </w:r>
            <w:r w:rsidR="00E52AE2">
              <w:rPr>
                <w:rFonts w:asciiTheme="minorEastAsia" w:hAnsiTheme="minorEastAsia" w:cs="Times New Roman"/>
                <w:iCs/>
                <w:sz w:val="24"/>
                <w:szCs w:val="24"/>
              </w:rPr>
              <w:t>。</w:t>
            </w:r>
            <w:r w:rsidR="00EA530B" w:rsidRPr="00103A38">
              <w:rPr>
                <w:rFonts w:asciiTheme="minorEastAsia" w:hAnsiTheme="minorEastAsia" w:cs="Times New Roman"/>
                <w:iCs/>
                <w:sz w:val="24"/>
                <w:szCs w:val="24"/>
              </w:rPr>
              <w:t>公司研发的MLCC产品拥有体积小、比容大、寿命长、高频使用时损失率低、可靠性高等优点，目前研发量产产品涵盖0201、0402、0603、0805、1206等全尺寸MLCC料号，细分产品规格可达数百种。</w:t>
            </w:r>
            <w:r w:rsidR="00E52AE2" w:rsidRPr="00E52AE2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公司研发量产的MLCC产品包括MC系列、IC系列和AC系列等，分别应用于消费电子、工业控制和汽车电子行业</w:t>
            </w:r>
            <w:r w:rsidR="00E52AE2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。</w:t>
            </w:r>
            <w:r w:rsidR="00EA530B" w:rsidRPr="00103A38">
              <w:rPr>
                <w:rFonts w:asciiTheme="minorEastAsia" w:hAnsiTheme="minorEastAsia" w:cs="Times New Roman"/>
                <w:iCs/>
                <w:sz w:val="24"/>
                <w:szCs w:val="24"/>
              </w:rPr>
              <w:t>另外，</w:t>
            </w:r>
            <w:r w:rsidR="00EA530B"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公司的</w:t>
            </w:r>
            <w:r w:rsidR="00EA530B" w:rsidRPr="00103A38">
              <w:rPr>
                <w:rFonts w:asciiTheme="minorEastAsia" w:hAnsiTheme="minorEastAsia" w:cs="Times New Roman"/>
                <w:iCs/>
                <w:sz w:val="24"/>
                <w:szCs w:val="24"/>
              </w:rPr>
              <w:t>DPC陶瓷基板产品目前主要包括陶瓷热沉、T/R管壳（射频模块管壳）和LED陶瓷衬</w:t>
            </w:r>
            <w:r w:rsidR="00EA530B" w:rsidRPr="00103A38">
              <w:rPr>
                <w:rFonts w:asciiTheme="minorEastAsia" w:hAnsiTheme="minorEastAsia" w:cs="Times New Roman"/>
                <w:iCs/>
                <w:sz w:val="24"/>
                <w:szCs w:val="24"/>
              </w:rPr>
              <w:lastRenderedPageBreak/>
              <w:t>底三类产品。</w:t>
            </w:r>
            <w:r w:rsidR="00EA530B"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其中，陶瓷热沉包括氮化铝、氧化铍、碳化硅等产品，主要用于高功率激光器、激光加工、激光焊接等领域，并且在大功率激光陶瓷热沉细分领域，公司在国内市场份额中处于领先地位。</w:t>
            </w:r>
            <w:r w:rsidR="00EA530B" w:rsidRPr="00103A38">
              <w:rPr>
                <w:rFonts w:asciiTheme="minorEastAsia" w:hAnsiTheme="minorEastAsia" w:cs="Times New Roman"/>
                <w:iCs/>
                <w:sz w:val="24"/>
                <w:szCs w:val="24"/>
              </w:rPr>
              <w:t>T/R管壳是公司于2024年开始量产的新产品，其基于DPC陶瓷基板工艺制备的有源相控阵T/R组件核心封装载体，通过高精度图形化线路与金属化腔体结构，为射频芯片提供电气互联、物理支撑及散热通路。该产品推动T/R组件由传统离散组装向一体化封装变革，凭借垂直互联与收发分区腔体设计，实现了小型化、轻量化及高集成度，显著缩短散热与信号传输路径，在提升信号完</w:t>
            </w:r>
            <w:r w:rsidR="00EA530B"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整性的同时具备优异的气密性与高可靠性，主要用于</w:t>
            </w:r>
            <w:r w:rsidR="00EA530B" w:rsidRPr="00103A38">
              <w:rPr>
                <w:rFonts w:asciiTheme="minorEastAsia" w:hAnsiTheme="minorEastAsia" w:cs="Times New Roman"/>
                <w:iCs/>
                <w:sz w:val="24"/>
                <w:szCs w:val="24"/>
              </w:rPr>
              <w:t>5G通讯、航天卫星等领域。</w:t>
            </w:r>
          </w:p>
          <w:p w14:paraId="3F191012" w14:textId="5299AE80" w:rsidR="00001829" w:rsidRPr="00103A38" w:rsidRDefault="00103A38">
            <w:pPr>
              <w:spacing w:line="360" w:lineRule="auto"/>
              <w:ind w:firstLineChars="200" w:firstLine="482"/>
              <w:rPr>
                <w:rFonts w:asciiTheme="minorEastAsia" w:hAnsiTheme="minorEastAsia" w:cs="Times New Roman"/>
                <w:iCs/>
                <w:sz w:val="24"/>
                <w:szCs w:val="24"/>
              </w:rPr>
            </w:pPr>
            <w:r w:rsidRPr="00103A38">
              <w:rPr>
                <w:rFonts w:asciiTheme="minorEastAsia" w:hAnsiTheme="minorEastAsia" w:cs="Segoe UI" w:hint="eastAsia"/>
                <w:b/>
                <w:bCs/>
                <w:color w:val="0F1115"/>
                <w:sz w:val="24"/>
                <w:szCs w:val="24"/>
                <w:shd w:val="clear" w:color="auto" w:fill="FFFFFF"/>
              </w:rPr>
              <w:t>问题</w:t>
            </w:r>
            <w:r w:rsidR="00EA530B" w:rsidRPr="00103A38">
              <w:rPr>
                <w:rFonts w:asciiTheme="minorEastAsia" w:hAnsiTheme="minorEastAsia" w:cs="Segoe UI"/>
                <w:b/>
                <w:bCs/>
                <w:color w:val="0F1115"/>
                <w:sz w:val="24"/>
                <w:szCs w:val="24"/>
                <w:shd w:val="clear" w:color="auto" w:fill="FFFFFF"/>
              </w:rPr>
              <w:t>8</w:t>
            </w:r>
            <w:r w:rsidRPr="00103A38">
              <w:rPr>
                <w:rFonts w:asciiTheme="minorEastAsia" w:hAnsiTheme="minorEastAsia" w:cs="Segoe UI" w:hint="eastAsia"/>
                <w:b/>
                <w:bCs/>
                <w:color w:val="0F1115"/>
                <w:sz w:val="24"/>
                <w:szCs w:val="24"/>
                <w:shd w:val="clear" w:color="auto" w:fill="FFFFFF"/>
              </w:rPr>
              <w:t>：</w:t>
            </w:r>
            <w:r w:rsidR="00E52AE2">
              <w:rPr>
                <w:rFonts w:asciiTheme="minorEastAsia" w:hAnsiTheme="minorEastAsia" w:cs="Times New Roman"/>
                <w:iCs/>
                <w:sz w:val="24"/>
                <w:szCs w:val="24"/>
              </w:rPr>
              <w:t>公司</w:t>
            </w:r>
            <w:r w:rsidRPr="00103A38">
              <w:rPr>
                <w:rFonts w:asciiTheme="minorEastAsia" w:hAnsiTheme="minorEastAsia" w:cs="Times New Roman"/>
                <w:iCs/>
                <w:sz w:val="24"/>
                <w:szCs w:val="24"/>
              </w:rPr>
              <w:t>对下半年及未来经营发展有何具体规划？</w:t>
            </w:r>
          </w:p>
          <w:p w14:paraId="3A0EE8DB" w14:textId="6907E95B" w:rsidR="00093F36" w:rsidRDefault="00103A38" w:rsidP="00093F36">
            <w:pPr>
              <w:spacing w:line="360" w:lineRule="auto"/>
              <w:ind w:firstLineChars="200" w:firstLine="480"/>
              <w:rPr>
                <w:rFonts w:asciiTheme="minorEastAsia" w:hAnsiTheme="minorEastAsia" w:cs="Times New Roman"/>
                <w:iCs/>
                <w:sz w:val="24"/>
                <w:szCs w:val="24"/>
              </w:rPr>
            </w:pPr>
            <w:r w:rsidRPr="00103A38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答：</w:t>
            </w:r>
            <w:r w:rsidR="007F00C7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2026年上半年</w:t>
            </w:r>
            <w:r w:rsidR="007F00C7" w:rsidRPr="007F00C7">
              <w:rPr>
                <w:rFonts w:asciiTheme="minorEastAsia" w:hAnsiTheme="minorEastAsia" w:cs="Times New Roman" w:hint="eastAsia"/>
                <w:iCs/>
                <w:sz w:val="24"/>
                <w:szCs w:val="24"/>
              </w:rPr>
              <w:t>，公司业务结构持续优化，电子陶瓷业务收入占比进一步提升，其中MLCC业务已逐步成为公司重要收入来源及整体业绩改善的关键抓手，对整体经营业绩的正面贡献逐步显现，有效减少公司对单一业务的依赖度。公司正由传统消费电子精密零部件制造商向消费电子、电子陶瓷等多主业协同布局发展的企业转型，业务结构韧性有所增强。未来，公司将重点把握电子陶瓷行业发展机遇，加速推进产能提升和产品研发，着力推动MLCC业务的市场份额和盈利能力进一步提升。此外，公司将在深耕消费电子领域存量优质客户的基础上，积极拓展新兴应用市场。</w:t>
            </w:r>
          </w:p>
          <w:p w14:paraId="61175E9E" w14:textId="30237667" w:rsidR="0016213A" w:rsidRDefault="0016213A" w:rsidP="0016213A">
            <w:pPr>
              <w:spacing w:line="360" w:lineRule="auto"/>
              <w:ind w:firstLineChars="200" w:firstLine="482"/>
              <w:rPr>
                <w:rFonts w:ascii="宋体" w:eastAsia="宋体" w:hAnsi="宋体" w:cs="Times New Roman"/>
                <w:iCs/>
                <w:sz w:val="24"/>
                <w:szCs w:val="24"/>
              </w:rPr>
            </w:pPr>
            <w:bookmarkStart w:id="3" w:name="OLE_LINK71"/>
            <w:r w:rsidRPr="00093F36">
              <w:rPr>
                <w:rFonts w:ascii="宋体" w:eastAsia="宋体" w:hAnsi="宋体" w:cs="Times New Roman" w:hint="eastAsia"/>
                <w:b/>
                <w:iCs/>
                <w:sz w:val="24"/>
                <w:szCs w:val="24"/>
              </w:rPr>
              <w:t>问题</w:t>
            </w:r>
            <w:r w:rsidR="0047040E" w:rsidRPr="00093F36">
              <w:rPr>
                <w:rFonts w:ascii="宋体" w:eastAsia="宋体" w:hAnsi="宋体" w:cs="Times New Roman" w:hint="eastAsia"/>
                <w:b/>
                <w:iCs/>
                <w:sz w:val="24"/>
                <w:szCs w:val="24"/>
              </w:rPr>
              <w:t>9</w:t>
            </w:r>
            <w:r w:rsidRPr="00093F36">
              <w:rPr>
                <w:rFonts w:ascii="宋体" w:eastAsia="宋体" w:hAnsi="宋体" w:cs="Times New Roman" w:hint="eastAsia"/>
                <w:b/>
                <w:iCs/>
                <w:sz w:val="24"/>
                <w:szCs w:val="24"/>
              </w:rPr>
              <w:t>：</w:t>
            </w: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如何看待M</w:t>
            </w:r>
            <w:r>
              <w:rPr>
                <w:rFonts w:ascii="宋体" w:eastAsia="宋体" w:hAnsi="宋体" w:cs="Times New Roman"/>
                <w:iCs/>
                <w:sz w:val="24"/>
                <w:szCs w:val="24"/>
              </w:rPr>
              <w:t>LCC</w:t>
            </w: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市场发展</w:t>
            </w:r>
            <w:r w:rsidR="004A7705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情况</w:t>
            </w: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？</w:t>
            </w:r>
          </w:p>
          <w:p w14:paraId="1780F86B" w14:textId="3FB9232B" w:rsidR="0016213A" w:rsidRDefault="0016213A" w:rsidP="004A7705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iCs/>
                <w:sz w:val="24"/>
                <w:szCs w:val="24"/>
              </w:rPr>
            </w:pPr>
            <w:r w:rsidRPr="0016213A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答：</w:t>
            </w:r>
            <w:bookmarkEnd w:id="3"/>
            <w:r w:rsidR="00336AB8" w:rsidRPr="00336AB8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MLCC属于兼具成长属性的周期性行业。上半</w:t>
            </w:r>
            <w:r w:rsidR="00336AB8" w:rsidRPr="00336AB8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lastRenderedPageBreak/>
              <w:t>年，受AI服务器市场需求爆发拉动，MLCC行业供需格局持续偏紧，海外头部厂商将主要产能向AI服务器等高附加值领域倾斜，中低端消费电子类产品面临产能挤兑，高端产品市场缺口持续扩大。MLCC国产替代有望沿着“消费电子-汽车电子-AI服务器-全球供应链”路径实现技术、产品及市场的突破。公司长期看好MLCC赛道蕴藏的市场发展潜力。伴随新质生产力引领产业升级，行业竞争格局迎来变化，国内厂商高端产品导入节奏有望加快。公司将紧抓行业发展窗口期，稳步推进高容系列产品研发及产能布局，持续优化产品结构，努力打</w:t>
            </w:r>
            <w:bookmarkStart w:id="4" w:name="_GoBack"/>
            <w:bookmarkEnd w:id="4"/>
            <w:r w:rsidR="00336AB8" w:rsidRPr="00336AB8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造具备行业领先水平的MLCC制造能力。</w:t>
            </w:r>
          </w:p>
          <w:p w14:paraId="63A6B9F0" w14:textId="169B1B12" w:rsidR="00787C06" w:rsidRDefault="00787C06" w:rsidP="00787C06">
            <w:pPr>
              <w:spacing w:line="360" w:lineRule="auto"/>
              <w:ind w:firstLineChars="200" w:firstLine="482"/>
              <w:rPr>
                <w:rFonts w:ascii="宋体" w:eastAsia="宋体" w:hAnsi="宋体" w:cs="Times New Roman"/>
                <w:iCs/>
                <w:sz w:val="24"/>
                <w:szCs w:val="24"/>
              </w:rPr>
            </w:pPr>
            <w:r w:rsidRPr="00093F36">
              <w:rPr>
                <w:rFonts w:ascii="宋体" w:eastAsia="宋体" w:hAnsi="宋体" w:cs="Times New Roman" w:hint="eastAsia"/>
                <w:b/>
                <w:iCs/>
                <w:sz w:val="24"/>
                <w:szCs w:val="24"/>
              </w:rPr>
              <w:t>问题</w:t>
            </w:r>
            <w:r w:rsidR="0047040E" w:rsidRPr="00093F36">
              <w:rPr>
                <w:rFonts w:ascii="宋体" w:eastAsia="宋体" w:hAnsi="宋体" w:cs="Times New Roman" w:hint="eastAsia"/>
                <w:b/>
                <w:iCs/>
                <w:sz w:val="24"/>
                <w:szCs w:val="24"/>
              </w:rPr>
              <w:t>1</w:t>
            </w:r>
            <w:r w:rsidR="00093F36" w:rsidRPr="00093F36">
              <w:rPr>
                <w:rFonts w:ascii="宋体" w:eastAsia="宋体" w:hAnsi="宋体" w:cs="Times New Roman" w:hint="eastAsia"/>
                <w:b/>
                <w:iCs/>
                <w:sz w:val="24"/>
                <w:szCs w:val="24"/>
              </w:rPr>
              <w:t>0</w:t>
            </w:r>
            <w:r w:rsidRPr="00093F36">
              <w:rPr>
                <w:rFonts w:ascii="宋体" w:eastAsia="宋体" w:hAnsi="宋体" w:cs="Times New Roman" w:hint="eastAsia"/>
                <w:b/>
                <w:iCs/>
                <w:sz w:val="24"/>
                <w:szCs w:val="24"/>
              </w:rPr>
              <w:t>：</w:t>
            </w: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公司M</w:t>
            </w:r>
            <w:r>
              <w:rPr>
                <w:rFonts w:ascii="宋体" w:eastAsia="宋体" w:hAnsi="宋体" w:cs="Times New Roman"/>
                <w:iCs/>
                <w:sz w:val="24"/>
                <w:szCs w:val="24"/>
              </w:rPr>
              <w:t>LCC</w:t>
            </w: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产品</w:t>
            </w:r>
            <w:r w:rsidRPr="00787C06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主要料号的研发和客户认证情况如何？</w:t>
            </w: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该业务</w:t>
            </w:r>
            <w:r w:rsidRPr="00787C06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直销、代理销售占比如何？</w:t>
            </w:r>
          </w:p>
          <w:p w14:paraId="7910ED88" w14:textId="77777777" w:rsidR="00787C06" w:rsidRDefault="00016D5D" w:rsidP="00787C06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iCs/>
                <w:sz w:val="24"/>
                <w:szCs w:val="24"/>
              </w:rPr>
            </w:pPr>
            <w:bookmarkStart w:id="5" w:name="OLE_LINK72"/>
            <w:r w:rsidRPr="00016D5D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答：</w:t>
            </w:r>
            <w:bookmarkEnd w:id="5"/>
            <w:r w:rsidRPr="00016D5D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公司持续加速高容量、小尺寸等重点产品的研发</w:t>
            </w: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和客户认证</w:t>
            </w:r>
            <w:r w:rsidRPr="00016D5D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，公司所开发的MLCC产品具备材质分层精准适配、规格组合闭环覆盖电路需求、自研工艺电气性能稳定等优势</w:t>
            </w: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。公司在M</w:t>
            </w:r>
            <w:r>
              <w:rPr>
                <w:rFonts w:ascii="宋体" w:eastAsia="宋体" w:hAnsi="宋体" w:cs="Times New Roman"/>
                <w:iCs/>
                <w:sz w:val="24"/>
                <w:szCs w:val="24"/>
              </w:rPr>
              <w:t>LCC</w:t>
            </w:r>
            <w:r w:rsidRPr="00016D5D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业务领域主要采用“代理分销”模式进行市场拓展，伴随产品及销售规模的不断扩大，</w:t>
            </w: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公司</w:t>
            </w:r>
            <w:r w:rsidRPr="00016D5D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积极开发终端客户资源。</w:t>
            </w:r>
          </w:p>
          <w:p w14:paraId="0F1D5ACD" w14:textId="035A4B7F" w:rsidR="0047040E" w:rsidRDefault="0047040E" w:rsidP="00093F36">
            <w:pPr>
              <w:spacing w:line="360" w:lineRule="auto"/>
              <w:ind w:firstLineChars="200" w:firstLine="482"/>
              <w:rPr>
                <w:rFonts w:ascii="宋体" w:eastAsia="宋体" w:hAnsi="宋体" w:cs="Times New Roman"/>
                <w:iCs/>
                <w:sz w:val="24"/>
                <w:szCs w:val="24"/>
              </w:rPr>
            </w:pPr>
            <w:r w:rsidRPr="00093F36">
              <w:rPr>
                <w:rFonts w:ascii="宋体" w:eastAsia="宋体" w:hAnsi="宋体" w:cs="Times New Roman" w:hint="eastAsia"/>
                <w:b/>
                <w:iCs/>
                <w:sz w:val="24"/>
                <w:szCs w:val="24"/>
              </w:rPr>
              <w:t>问题1</w:t>
            </w:r>
            <w:r w:rsidR="00093F36" w:rsidRPr="00093F36">
              <w:rPr>
                <w:rFonts w:ascii="宋体" w:eastAsia="宋体" w:hAnsi="宋体" w:cs="Times New Roman" w:hint="eastAsia"/>
                <w:b/>
                <w:iCs/>
                <w:sz w:val="24"/>
                <w:szCs w:val="24"/>
              </w:rPr>
              <w:t>1</w:t>
            </w:r>
            <w:r w:rsidRPr="00093F36">
              <w:rPr>
                <w:rFonts w:ascii="宋体" w:eastAsia="宋体" w:hAnsi="宋体" w:cs="Times New Roman" w:hint="eastAsia"/>
                <w:b/>
                <w:iCs/>
                <w:sz w:val="24"/>
                <w:szCs w:val="24"/>
              </w:rPr>
              <w:t>：</w:t>
            </w: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下半年，公司产品是否计划涨价？</w:t>
            </w:r>
          </w:p>
          <w:p w14:paraId="02ABAD20" w14:textId="6FAF18E7" w:rsidR="0047040E" w:rsidRPr="0047040E" w:rsidRDefault="0047040E" w:rsidP="0047040E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iCs/>
                <w:sz w:val="24"/>
                <w:szCs w:val="24"/>
              </w:rPr>
            </w:pPr>
            <w:r w:rsidRPr="0016213A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答：</w:t>
            </w: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公司</w:t>
            </w:r>
            <w:r w:rsidRPr="00787C06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产品价格将结合市场供需、</w:t>
            </w: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行业发展态势、</w:t>
            </w:r>
            <w:r w:rsidRPr="00787C06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成本及客户商务谈判</w:t>
            </w: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等各种</w:t>
            </w:r>
            <w:r w:rsidRPr="00787C06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实际情况综合研判</w:t>
            </w: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。</w:t>
            </w:r>
          </w:p>
          <w:p w14:paraId="491619A1" w14:textId="43703FD6" w:rsidR="00016D5D" w:rsidRDefault="00016D5D" w:rsidP="00787C06">
            <w:pPr>
              <w:spacing w:line="360" w:lineRule="auto"/>
              <w:ind w:firstLineChars="200" w:firstLine="482"/>
              <w:rPr>
                <w:rFonts w:ascii="宋体" w:eastAsia="宋体" w:hAnsi="宋体" w:cs="Times New Roman"/>
                <w:iCs/>
                <w:sz w:val="24"/>
                <w:szCs w:val="24"/>
              </w:rPr>
            </w:pPr>
            <w:r w:rsidRPr="00093F36">
              <w:rPr>
                <w:rFonts w:ascii="宋体" w:eastAsia="宋体" w:hAnsi="宋体" w:cs="Times New Roman" w:hint="eastAsia"/>
                <w:b/>
                <w:iCs/>
                <w:sz w:val="24"/>
                <w:szCs w:val="24"/>
              </w:rPr>
              <w:t>问题</w:t>
            </w:r>
            <w:r w:rsidR="0047040E" w:rsidRPr="00093F36">
              <w:rPr>
                <w:rFonts w:ascii="宋体" w:eastAsia="宋体" w:hAnsi="宋体" w:cs="Times New Roman" w:hint="eastAsia"/>
                <w:b/>
                <w:iCs/>
                <w:sz w:val="24"/>
                <w:szCs w:val="24"/>
              </w:rPr>
              <w:t>12</w:t>
            </w:r>
            <w:r w:rsidRPr="00093F36">
              <w:rPr>
                <w:rFonts w:ascii="宋体" w:eastAsia="宋体" w:hAnsi="宋体" w:cs="Times New Roman" w:hint="eastAsia"/>
                <w:b/>
                <w:iCs/>
                <w:sz w:val="24"/>
                <w:szCs w:val="24"/>
              </w:rPr>
              <w:t>：</w:t>
            </w: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公司消费电子业务</w:t>
            </w:r>
            <w:r w:rsidRPr="00016D5D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终端客户的库存情况如何？</w:t>
            </w:r>
          </w:p>
          <w:p w14:paraId="47EC7D67" w14:textId="1871D4BE" w:rsidR="00016D5D" w:rsidRPr="004A7705" w:rsidRDefault="00016D5D" w:rsidP="00016D5D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iCs/>
                <w:sz w:val="24"/>
                <w:szCs w:val="24"/>
              </w:rPr>
            </w:pPr>
            <w:r w:rsidRPr="00016D5D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答：公司消费电子零部件产品直接客户主要为3C领域的VCM马达厂商和CCM模组厂商，非直接向终端品牌客户供货。终端品牌</w:t>
            </w: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客户</w:t>
            </w:r>
            <w:r w:rsidRPr="00016D5D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的库存数据属于客户</w:t>
            </w: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内部商业</w:t>
            </w:r>
            <w:r w:rsidRPr="00016D5D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信息</w:t>
            </w: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，公司难以通过公开渠道取得。</w:t>
            </w:r>
          </w:p>
        </w:tc>
      </w:tr>
      <w:tr w:rsidR="00001829" w14:paraId="501206FD" w14:textId="77777777" w:rsidTr="00995068">
        <w:tc>
          <w:tcPr>
            <w:tcW w:w="2925" w:type="dxa"/>
            <w:shd w:val="clear" w:color="auto" w:fill="auto"/>
            <w:vAlign w:val="center"/>
          </w:tcPr>
          <w:p w14:paraId="659373B4" w14:textId="77777777" w:rsidR="00001829" w:rsidRDefault="00103A38">
            <w:pPr>
              <w:spacing w:line="360" w:lineRule="auto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lastRenderedPageBreak/>
              <w:t>关于本次活动是否涉及应当披露重大信息的说明</w:t>
            </w:r>
          </w:p>
        </w:tc>
        <w:tc>
          <w:tcPr>
            <w:tcW w:w="5689" w:type="dxa"/>
            <w:shd w:val="clear" w:color="auto" w:fill="auto"/>
          </w:tcPr>
          <w:p w14:paraId="64CAB86C" w14:textId="77777777" w:rsidR="00001829" w:rsidRDefault="00103A38">
            <w:pPr>
              <w:spacing w:line="36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本次活动不涉及应当披露重大信息。</w:t>
            </w:r>
          </w:p>
        </w:tc>
      </w:tr>
      <w:tr w:rsidR="00001829" w14:paraId="49DCFF92" w14:textId="77777777">
        <w:tc>
          <w:tcPr>
            <w:tcW w:w="2925" w:type="dxa"/>
            <w:shd w:val="clear" w:color="auto" w:fill="auto"/>
            <w:vAlign w:val="center"/>
          </w:tcPr>
          <w:p w14:paraId="5EA2E622" w14:textId="77777777" w:rsidR="00001829" w:rsidRDefault="00103A38">
            <w:pPr>
              <w:spacing w:line="360" w:lineRule="auto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附件清单</w:t>
            </w:r>
          </w:p>
        </w:tc>
        <w:tc>
          <w:tcPr>
            <w:tcW w:w="5689" w:type="dxa"/>
            <w:shd w:val="clear" w:color="auto" w:fill="auto"/>
          </w:tcPr>
          <w:p w14:paraId="2A639878" w14:textId="77777777" w:rsidR="00001829" w:rsidRDefault="00103A38">
            <w:pPr>
              <w:spacing w:line="36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无</w:t>
            </w:r>
          </w:p>
        </w:tc>
      </w:tr>
      <w:tr w:rsidR="00001829" w14:paraId="5E544141" w14:textId="77777777">
        <w:tc>
          <w:tcPr>
            <w:tcW w:w="2925" w:type="dxa"/>
            <w:shd w:val="clear" w:color="auto" w:fill="auto"/>
            <w:vAlign w:val="center"/>
          </w:tcPr>
          <w:p w14:paraId="3E4564EC" w14:textId="77777777" w:rsidR="00001829" w:rsidRDefault="00103A38">
            <w:pPr>
              <w:spacing w:line="360" w:lineRule="auto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上传日期</w:t>
            </w:r>
          </w:p>
        </w:tc>
        <w:tc>
          <w:tcPr>
            <w:tcW w:w="5689" w:type="dxa"/>
            <w:shd w:val="clear" w:color="auto" w:fill="auto"/>
            <w:vAlign w:val="center"/>
          </w:tcPr>
          <w:p w14:paraId="073D8642" w14:textId="77777777" w:rsidR="00001829" w:rsidRDefault="00103A38">
            <w:pPr>
              <w:spacing w:line="360" w:lineRule="auto"/>
              <w:rPr>
                <w:rFonts w:ascii="宋体" w:eastAsia="宋体" w:hAnsi="宋体" w:cs="Times New Roman"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/>
                <w:iCs/>
                <w:sz w:val="24"/>
                <w:szCs w:val="24"/>
              </w:rPr>
              <w:t>026</w:t>
            </w: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年</w:t>
            </w:r>
            <w:r>
              <w:rPr>
                <w:rFonts w:ascii="宋体" w:eastAsia="宋体" w:hAnsi="宋体" w:cs="Times New Roman"/>
                <w:iCs/>
                <w:sz w:val="24"/>
                <w:szCs w:val="24"/>
              </w:rPr>
              <w:t>8</w:t>
            </w: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/>
                <w:iCs/>
                <w:sz w:val="24"/>
                <w:szCs w:val="24"/>
              </w:rPr>
              <w:t>14</w:t>
            </w:r>
            <w:r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日</w:t>
            </w:r>
          </w:p>
        </w:tc>
      </w:tr>
    </w:tbl>
    <w:p w14:paraId="464E8D38" w14:textId="77777777" w:rsidR="00001829" w:rsidRDefault="00001829">
      <w:pPr>
        <w:keepNext/>
        <w:keepLines/>
        <w:spacing w:before="260" w:after="260" w:line="360" w:lineRule="auto"/>
        <w:outlineLvl w:val="1"/>
        <w:rPr>
          <w:rFonts w:ascii="宋体" w:eastAsia="宋体" w:hAnsi="宋体" w:cs="Times New Roman"/>
          <w:b/>
          <w:bCs/>
          <w:iCs/>
          <w:sz w:val="24"/>
          <w:szCs w:val="24"/>
        </w:rPr>
      </w:pPr>
    </w:p>
    <w:sectPr w:rsidR="000018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2A17D5" w14:textId="77777777" w:rsidR="007D637C" w:rsidRDefault="007D637C" w:rsidP="00F06FC4">
      <w:r>
        <w:separator/>
      </w:r>
    </w:p>
  </w:endnote>
  <w:endnote w:type="continuationSeparator" w:id="0">
    <w:p w14:paraId="29EC2091" w14:textId="77777777" w:rsidR="007D637C" w:rsidRDefault="007D637C" w:rsidP="00F06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AC52AC" w14:textId="77777777" w:rsidR="007D637C" w:rsidRDefault="007D637C" w:rsidP="00F06FC4">
      <w:r>
        <w:separator/>
      </w:r>
    </w:p>
  </w:footnote>
  <w:footnote w:type="continuationSeparator" w:id="0">
    <w:p w14:paraId="3BC06370" w14:textId="77777777" w:rsidR="007D637C" w:rsidRDefault="007D637C" w:rsidP="00F06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6CD"/>
    <w:rsid w:val="00001829"/>
    <w:rsid w:val="00002DF4"/>
    <w:rsid w:val="00003329"/>
    <w:rsid w:val="0000466C"/>
    <w:rsid w:val="00007952"/>
    <w:rsid w:val="00014EDC"/>
    <w:rsid w:val="00014F2A"/>
    <w:rsid w:val="000168BB"/>
    <w:rsid w:val="00016D5D"/>
    <w:rsid w:val="0002088F"/>
    <w:rsid w:val="00021F69"/>
    <w:rsid w:val="00023F7B"/>
    <w:rsid w:val="000269F1"/>
    <w:rsid w:val="00026CD7"/>
    <w:rsid w:val="00026E2B"/>
    <w:rsid w:val="000270E5"/>
    <w:rsid w:val="00027C95"/>
    <w:rsid w:val="000333DF"/>
    <w:rsid w:val="000406A9"/>
    <w:rsid w:val="00042C46"/>
    <w:rsid w:val="000434D1"/>
    <w:rsid w:val="00044412"/>
    <w:rsid w:val="000444E5"/>
    <w:rsid w:val="0004563F"/>
    <w:rsid w:val="000528A8"/>
    <w:rsid w:val="0005452E"/>
    <w:rsid w:val="00063DB5"/>
    <w:rsid w:val="0006434F"/>
    <w:rsid w:val="00070593"/>
    <w:rsid w:val="00070C3B"/>
    <w:rsid w:val="00071B11"/>
    <w:rsid w:val="00080FD4"/>
    <w:rsid w:val="00081B36"/>
    <w:rsid w:val="000823EE"/>
    <w:rsid w:val="000828F8"/>
    <w:rsid w:val="00086C90"/>
    <w:rsid w:val="00090A5F"/>
    <w:rsid w:val="00092A93"/>
    <w:rsid w:val="00093F36"/>
    <w:rsid w:val="000A65EF"/>
    <w:rsid w:val="000B1923"/>
    <w:rsid w:val="000B6FFD"/>
    <w:rsid w:val="000C2F52"/>
    <w:rsid w:val="000C584D"/>
    <w:rsid w:val="000D6639"/>
    <w:rsid w:val="000E6459"/>
    <w:rsid w:val="000F6BEB"/>
    <w:rsid w:val="00103A38"/>
    <w:rsid w:val="00103C4E"/>
    <w:rsid w:val="001048D3"/>
    <w:rsid w:val="0011116A"/>
    <w:rsid w:val="00111EF4"/>
    <w:rsid w:val="00113C72"/>
    <w:rsid w:val="00114CEA"/>
    <w:rsid w:val="00116E2A"/>
    <w:rsid w:val="001221B8"/>
    <w:rsid w:val="001304EB"/>
    <w:rsid w:val="001334C1"/>
    <w:rsid w:val="00136BC5"/>
    <w:rsid w:val="00143A57"/>
    <w:rsid w:val="00151B55"/>
    <w:rsid w:val="001559EB"/>
    <w:rsid w:val="001566FF"/>
    <w:rsid w:val="0016213A"/>
    <w:rsid w:val="001672FF"/>
    <w:rsid w:val="001819EF"/>
    <w:rsid w:val="00186DBB"/>
    <w:rsid w:val="00194537"/>
    <w:rsid w:val="001965A6"/>
    <w:rsid w:val="001976C6"/>
    <w:rsid w:val="001A125C"/>
    <w:rsid w:val="001B00D8"/>
    <w:rsid w:val="001B011E"/>
    <w:rsid w:val="001B508F"/>
    <w:rsid w:val="001B7B58"/>
    <w:rsid w:val="001C475D"/>
    <w:rsid w:val="001C7C07"/>
    <w:rsid w:val="001D3E52"/>
    <w:rsid w:val="001D5222"/>
    <w:rsid w:val="001D7A5D"/>
    <w:rsid w:val="001E2BC5"/>
    <w:rsid w:val="001E5E64"/>
    <w:rsid w:val="001E7F7C"/>
    <w:rsid w:val="001F2572"/>
    <w:rsid w:val="001F5B62"/>
    <w:rsid w:val="001F7C8E"/>
    <w:rsid w:val="00201748"/>
    <w:rsid w:val="002041DC"/>
    <w:rsid w:val="00207A36"/>
    <w:rsid w:val="00207F1A"/>
    <w:rsid w:val="002118DC"/>
    <w:rsid w:val="00213929"/>
    <w:rsid w:val="00214C8F"/>
    <w:rsid w:val="00220F56"/>
    <w:rsid w:val="002278FB"/>
    <w:rsid w:val="002309BF"/>
    <w:rsid w:val="00232813"/>
    <w:rsid w:val="00234237"/>
    <w:rsid w:val="00234D03"/>
    <w:rsid w:val="002370C6"/>
    <w:rsid w:val="00251EF8"/>
    <w:rsid w:val="002525E9"/>
    <w:rsid w:val="0025271B"/>
    <w:rsid w:val="00255B4A"/>
    <w:rsid w:val="00256250"/>
    <w:rsid w:val="00264457"/>
    <w:rsid w:val="002650F9"/>
    <w:rsid w:val="00267056"/>
    <w:rsid w:val="002739C7"/>
    <w:rsid w:val="00273BE7"/>
    <w:rsid w:val="00273D9E"/>
    <w:rsid w:val="0028148B"/>
    <w:rsid w:val="00286F7B"/>
    <w:rsid w:val="00290421"/>
    <w:rsid w:val="00291305"/>
    <w:rsid w:val="0029285E"/>
    <w:rsid w:val="00293FBB"/>
    <w:rsid w:val="00295236"/>
    <w:rsid w:val="002A03BA"/>
    <w:rsid w:val="002A15B6"/>
    <w:rsid w:val="002B0AD4"/>
    <w:rsid w:val="002B75F5"/>
    <w:rsid w:val="002C1C3B"/>
    <w:rsid w:val="002C23DD"/>
    <w:rsid w:val="002C3AD1"/>
    <w:rsid w:val="002D15D1"/>
    <w:rsid w:val="002D3753"/>
    <w:rsid w:val="002D6BC4"/>
    <w:rsid w:val="002F00B5"/>
    <w:rsid w:val="002F1B04"/>
    <w:rsid w:val="002F4C46"/>
    <w:rsid w:val="002F6EAD"/>
    <w:rsid w:val="00307607"/>
    <w:rsid w:val="00307EC1"/>
    <w:rsid w:val="0031032E"/>
    <w:rsid w:val="003131C3"/>
    <w:rsid w:val="0031371B"/>
    <w:rsid w:val="00320D9D"/>
    <w:rsid w:val="00320EA7"/>
    <w:rsid w:val="00327CE4"/>
    <w:rsid w:val="00336191"/>
    <w:rsid w:val="00336AB8"/>
    <w:rsid w:val="00340A0E"/>
    <w:rsid w:val="003413FD"/>
    <w:rsid w:val="003449DA"/>
    <w:rsid w:val="003508D5"/>
    <w:rsid w:val="00350ECD"/>
    <w:rsid w:val="003524BC"/>
    <w:rsid w:val="00352C76"/>
    <w:rsid w:val="0035381E"/>
    <w:rsid w:val="0035572A"/>
    <w:rsid w:val="00361466"/>
    <w:rsid w:val="00362CD0"/>
    <w:rsid w:val="00363384"/>
    <w:rsid w:val="0037038A"/>
    <w:rsid w:val="003722F1"/>
    <w:rsid w:val="0037245D"/>
    <w:rsid w:val="00375CE8"/>
    <w:rsid w:val="00376EB2"/>
    <w:rsid w:val="0038034C"/>
    <w:rsid w:val="00386F86"/>
    <w:rsid w:val="00397642"/>
    <w:rsid w:val="003A2EB2"/>
    <w:rsid w:val="003B13A4"/>
    <w:rsid w:val="003C0892"/>
    <w:rsid w:val="003D246E"/>
    <w:rsid w:val="003D2A88"/>
    <w:rsid w:val="003D2F73"/>
    <w:rsid w:val="003D40E0"/>
    <w:rsid w:val="003D484E"/>
    <w:rsid w:val="003D53B9"/>
    <w:rsid w:val="003F1176"/>
    <w:rsid w:val="003F2A5A"/>
    <w:rsid w:val="003F4F6C"/>
    <w:rsid w:val="003F6D0B"/>
    <w:rsid w:val="00400B90"/>
    <w:rsid w:val="0040142B"/>
    <w:rsid w:val="00404723"/>
    <w:rsid w:val="004056C1"/>
    <w:rsid w:val="004106EC"/>
    <w:rsid w:val="00411262"/>
    <w:rsid w:val="00415FC4"/>
    <w:rsid w:val="00420071"/>
    <w:rsid w:val="0042182D"/>
    <w:rsid w:val="00425BB1"/>
    <w:rsid w:val="00430F41"/>
    <w:rsid w:val="00432964"/>
    <w:rsid w:val="00433835"/>
    <w:rsid w:val="00442117"/>
    <w:rsid w:val="0044241C"/>
    <w:rsid w:val="00463F43"/>
    <w:rsid w:val="00467B9C"/>
    <w:rsid w:val="00470346"/>
    <w:rsid w:val="0047040E"/>
    <w:rsid w:val="00472F77"/>
    <w:rsid w:val="00473F91"/>
    <w:rsid w:val="00476623"/>
    <w:rsid w:val="00482D5D"/>
    <w:rsid w:val="004859A7"/>
    <w:rsid w:val="0049314B"/>
    <w:rsid w:val="004952BD"/>
    <w:rsid w:val="00495655"/>
    <w:rsid w:val="00497885"/>
    <w:rsid w:val="004A58CB"/>
    <w:rsid w:val="004A7705"/>
    <w:rsid w:val="004B500C"/>
    <w:rsid w:val="004B637C"/>
    <w:rsid w:val="004C19FE"/>
    <w:rsid w:val="004C39E0"/>
    <w:rsid w:val="004C3E41"/>
    <w:rsid w:val="004C6956"/>
    <w:rsid w:val="004D4156"/>
    <w:rsid w:val="004D614E"/>
    <w:rsid w:val="004E25DD"/>
    <w:rsid w:val="004E4CBB"/>
    <w:rsid w:val="004F5C3F"/>
    <w:rsid w:val="00500374"/>
    <w:rsid w:val="00504DF9"/>
    <w:rsid w:val="00505735"/>
    <w:rsid w:val="00507071"/>
    <w:rsid w:val="00510286"/>
    <w:rsid w:val="00517FA4"/>
    <w:rsid w:val="00522CFA"/>
    <w:rsid w:val="0052374E"/>
    <w:rsid w:val="00524D04"/>
    <w:rsid w:val="00527FE7"/>
    <w:rsid w:val="00534D66"/>
    <w:rsid w:val="0054404C"/>
    <w:rsid w:val="00567F8A"/>
    <w:rsid w:val="00572A6D"/>
    <w:rsid w:val="005734BF"/>
    <w:rsid w:val="00582D78"/>
    <w:rsid w:val="00584526"/>
    <w:rsid w:val="00584D8F"/>
    <w:rsid w:val="00587DAB"/>
    <w:rsid w:val="00590DC4"/>
    <w:rsid w:val="005917EA"/>
    <w:rsid w:val="00591F55"/>
    <w:rsid w:val="00592374"/>
    <w:rsid w:val="00592556"/>
    <w:rsid w:val="005953E9"/>
    <w:rsid w:val="005A0CBE"/>
    <w:rsid w:val="005A15FF"/>
    <w:rsid w:val="005A17E4"/>
    <w:rsid w:val="005A3CFE"/>
    <w:rsid w:val="005A4D77"/>
    <w:rsid w:val="005A6E51"/>
    <w:rsid w:val="005B17EF"/>
    <w:rsid w:val="005B3D04"/>
    <w:rsid w:val="005B628F"/>
    <w:rsid w:val="005C19C5"/>
    <w:rsid w:val="005C3BAA"/>
    <w:rsid w:val="005C6678"/>
    <w:rsid w:val="005D087C"/>
    <w:rsid w:val="005D20DD"/>
    <w:rsid w:val="005D63F0"/>
    <w:rsid w:val="005D71DF"/>
    <w:rsid w:val="005E4F20"/>
    <w:rsid w:val="005E5F7A"/>
    <w:rsid w:val="005E72C7"/>
    <w:rsid w:val="005F2408"/>
    <w:rsid w:val="005F2C62"/>
    <w:rsid w:val="005F2DC2"/>
    <w:rsid w:val="005F3897"/>
    <w:rsid w:val="005F7318"/>
    <w:rsid w:val="006016A0"/>
    <w:rsid w:val="00605119"/>
    <w:rsid w:val="00606A42"/>
    <w:rsid w:val="00623855"/>
    <w:rsid w:val="00626FB3"/>
    <w:rsid w:val="0063129A"/>
    <w:rsid w:val="006323B5"/>
    <w:rsid w:val="00633851"/>
    <w:rsid w:val="00642382"/>
    <w:rsid w:val="00643F90"/>
    <w:rsid w:val="0064637F"/>
    <w:rsid w:val="00650B3E"/>
    <w:rsid w:val="00651DFB"/>
    <w:rsid w:val="00653A71"/>
    <w:rsid w:val="00655835"/>
    <w:rsid w:val="00667FB5"/>
    <w:rsid w:val="00672C00"/>
    <w:rsid w:val="00686E4C"/>
    <w:rsid w:val="0069619A"/>
    <w:rsid w:val="006A2E11"/>
    <w:rsid w:val="006A3184"/>
    <w:rsid w:val="006B21B8"/>
    <w:rsid w:val="006B575E"/>
    <w:rsid w:val="006B5912"/>
    <w:rsid w:val="006C1187"/>
    <w:rsid w:val="006C7761"/>
    <w:rsid w:val="006E3B82"/>
    <w:rsid w:val="006E7372"/>
    <w:rsid w:val="006F32A2"/>
    <w:rsid w:val="006F353C"/>
    <w:rsid w:val="006F438E"/>
    <w:rsid w:val="006F6E02"/>
    <w:rsid w:val="00700DAA"/>
    <w:rsid w:val="00701E34"/>
    <w:rsid w:val="007118F2"/>
    <w:rsid w:val="00713A75"/>
    <w:rsid w:val="00730B43"/>
    <w:rsid w:val="00731AAD"/>
    <w:rsid w:val="00733488"/>
    <w:rsid w:val="00734B42"/>
    <w:rsid w:val="00735F4D"/>
    <w:rsid w:val="00745CD1"/>
    <w:rsid w:val="00746249"/>
    <w:rsid w:val="00751592"/>
    <w:rsid w:val="00756A97"/>
    <w:rsid w:val="00757362"/>
    <w:rsid w:val="0076183F"/>
    <w:rsid w:val="0076431D"/>
    <w:rsid w:val="007667E9"/>
    <w:rsid w:val="00770B3F"/>
    <w:rsid w:val="0077171C"/>
    <w:rsid w:val="00771A91"/>
    <w:rsid w:val="00773213"/>
    <w:rsid w:val="00784A75"/>
    <w:rsid w:val="00785284"/>
    <w:rsid w:val="00787C06"/>
    <w:rsid w:val="00793870"/>
    <w:rsid w:val="0079430A"/>
    <w:rsid w:val="00794C8B"/>
    <w:rsid w:val="00795940"/>
    <w:rsid w:val="007A0EC8"/>
    <w:rsid w:val="007A4905"/>
    <w:rsid w:val="007B196F"/>
    <w:rsid w:val="007C39F3"/>
    <w:rsid w:val="007C5954"/>
    <w:rsid w:val="007C7447"/>
    <w:rsid w:val="007C7D09"/>
    <w:rsid w:val="007D637C"/>
    <w:rsid w:val="007E1F58"/>
    <w:rsid w:val="007F00C7"/>
    <w:rsid w:val="007F2176"/>
    <w:rsid w:val="00804B93"/>
    <w:rsid w:val="00806573"/>
    <w:rsid w:val="00814484"/>
    <w:rsid w:val="008160A1"/>
    <w:rsid w:val="00816CED"/>
    <w:rsid w:val="00821685"/>
    <w:rsid w:val="00827C6C"/>
    <w:rsid w:val="00836E8C"/>
    <w:rsid w:val="00837890"/>
    <w:rsid w:val="00843990"/>
    <w:rsid w:val="008453D5"/>
    <w:rsid w:val="0085712F"/>
    <w:rsid w:val="00857E84"/>
    <w:rsid w:val="00873293"/>
    <w:rsid w:val="00875E95"/>
    <w:rsid w:val="00877D02"/>
    <w:rsid w:val="00880C4A"/>
    <w:rsid w:val="008914C8"/>
    <w:rsid w:val="008938BF"/>
    <w:rsid w:val="00894406"/>
    <w:rsid w:val="00894A49"/>
    <w:rsid w:val="008A120E"/>
    <w:rsid w:val="008A6224"/>
    <w:rsid w:val="008B4886"/>
    <w:rsid w:val="008B4E96"/>
    <w:rsid w:val="008C04C9"/>
    <w:rsid w:val="008C35CD"/>
    <w:rsid w:val="008C4D32"/>
    <w:rsid w:val="008C6B72"/>
    <w:rsid w:val="008C7588"/>
    <w:rsid w:val="008D2B96"/>
    <w:rsid w:val="008D3726"/>
    <w:rsid w:val="008E245B"/>
    <w:rsid w:val="008E31DC"/>
    <w:rsid w:val="008F5F3A"/>
    <w:rsid w:val="008F7C6B"/>
    <w:rsid w:val="00900BAF"/>
    <w:rsid w:val="009108F5"/>
    <w:rsid w:val="0091400E"/>
    <w:rsid w:val="00915461"/>
    <w:rsid w:val="009157EF"/>
    <w:rsid w:val="009224F5"/>
    <w:rsid w:val="00924412"/>
    <w:rsid w:val="0092574C"/>
    <w:rsid w:val="009409D8"/>
    <w:rsid w:val="00941808"/>
    <w:rsid w:val="00942951"/>
    <w:rsid w:val="009457DF"/>
    <w:rsid w:val="00947994"/>
    <w:rsid w:val="00950104"/>
    <w:rsid w:val="0095035C"/>
    <w:rsid w:val="009504B8"/>
    <w:rsid w:val="009553B1"/>
    <w:rsid w:val="0096018C"/>
    <w:rsid w:val="00966C22"/>
    <w:rsid w:val="009678BF"/>
    <w:rsid w:val="009776A7"/>
    <w:rsid w:val="00980694"/>
    <w:rsid w:val="009868C0"/>
    <w:rsid w:val="00991961"/>
    <w:rsid w:val="0099209C"/>
    <w:rsid w:val="00995068"/>
    <w:rsid w:val="009B7F6A"/>
    <w:rsid w:val="009C06A4"/>
    <w:rsid w:val="009C15A8"/>
    <w:rsid w:val="009C63B1"/>
    <w:rsid w:val="009C71E7"/>
    <w:rsid w:val="009C7921"/>
    <w:rsid w:val="009D0862"/>
    <w:rsid w:val="009E0B46"/>
    <w:rsid w:val="009E3D68"/>
    <w:rsid w:val="009E447E"/>
    <w:rsid w:val="00A03AA1"/>
    <w:rsid w:val="00A04996"/>
    <w:rsid w:val="00A05042"/>
    <w:rsid w:val="00A10F5B"/>
    <w:rsid w:val="00A16F6F"/>
    <w:rsid w:val="00A31B20"/>
    <w:rsid w:val="00A32B73"/>
    <w:rsid w:val="00A32ED1"/>
    <w:rsid w:val="00A37775"/>
    <w:rsid w:val="00A40825"/>
    <w:rsid w:val="00A41A06"/>
    <w:rsid w:val="00A56101"/>
    <w:rsid w:val="00A57863"/>
    <w:rsid w:val="00A6487E"/>
    <w:rsid w:val="00A70EC0"/>
    <w:rsid w:val="00A71BFD"/>
    <w:rsid w:val="00A76F0C"/>
    <w:rsid w:val="00A8618B"/>
    <w:rsid w:val="00A878CB"/>
    <w:rsid w:val="00A95A13"/>
    <w:rsid w:val="00A97143"/>
    <w:rsid w:val="00A97B25"/>
    <w:rsid w:val="00A97D76"/>
    <w:rsid w:val="00AA0F43"/>
    <w:rsid w:val="00AA1C30"/>
    <w:rsid w:val="00AA5E76"/>
    <w:rsid w:val="00AB03BB"/>
    <w:rsid w:val="00AB1882"/>
    <w:rsid w:val="00AB45D6"/>
    <w:rsid w:val="00AC20B5"/>
    <w:rsid w:val="00AC3DC2"/>
    <w:rsid w:val="00AD237A"/>
    <w:rsid w:val="00AD3440"/>
    <w:rsid w:val="00AD445E"/>
    <w:rsid w:val="00AD4B08"/>
    <w:rsid w:val="00AE00B6"/>
    <w:rsid w:val="00AE1C26"/>
    <w:rsid w:val="00AE3EE3"/>
    <w:rsid w:val="00AE7014"/>
    <w:rsid w:val="00AF6EE4"/>
    <w:rsid w:val="00B07508"/>
    <w:rsid w:val="00B12278"/>
    <w:rsid w:val="00B21F59"/>
    <w:rsid w:val="00B27C19"/>
    <w:rsid w:val="00B36A53"/>
    <w:rsid w:val="00B42596"/>
    <w:rsid w:val="00B4298C"/>
    <w:rsid w:val="00B446BA"/>
    <w:rsid w:val="00B47853"/>
    <w:rsid w:val="00B57667"/>
    <w:rsid w:val="00B577E9"/>
    <w:rsid w:val="00B61798"/>
    <w:rsid w:val="00B61BCB"/>
    <w:rsid w:val="00B67838"/>
    <w:rsid w:val="00B70645"/>
    <w:rsid w:val="00B73AED"/>
    <w:rsid w:val="00B7734C"/>
    <w:rsid w:val="00B855F5"/>
    <w:rsid w:val="00B8596B"/>
    <w:rsid w:val="00B86F19"/>
    <w:rsid w:val="00B87C18"/>
    <w:rsid w:val="00B922C8"/>
    <w:rsid w:val="00B9230C"/>
    <w:rsid w:val="00B92681"/>
    <w:rsid w:val="00B948F2"/>
    <w:rsid w:val="00B95F5D"/>
    <w:rsid w:val="00BB20B3"/>
    <w:rsid w:val="00BC02D0"/>
    <w:rsid w:val="00BE0789"/>
    <w:rsid w:val="00BE20BB"/>
    <w:rsid w:val="00BE277C"/>
    <w:rsid w:val="00BE292C"/>
    <w:rsid w:val="00BE54C4"/>
    <w:rsid w:val="00BE5D9C"/>
    <w:rsid w:val="00BF1133"/>
    <w:rsid w:val="00BF7EF0"/>
    <w:rsid w:val="00C001F3"/>
    <w:rsid w:val="00C02BA7"/>
    <w:rsid w:val="00C104B8"/>
    <w:rsid w:val="00C1636B"/>
    <w:rsid w:val="00C207C2"/>
    <w:rsid w:val="00C32714"/>
    <w:rsid w:val="00C33D9E"/>
    <w:rsid w:val="00C351A9"/>
    <w:rsid w:val="00C375A2"/>
    <w:rsid w:val="00C37AAB"/>
    <w:rsid w:val="00C40B1A"/>
    <w:rsid w:val="00C42788"/>
    <w:rsid w:val="00C47614"/>
    <w:rsid w:val="00C513ED"/>
    <w:rsid w:val="00C5254A"/>
    <w:rsid w:val="00C52F40"/>
    <w:rsid w:val="00C531CC"/>
    <w:rsid w:val="00C55E93"/>
    <w:rsid w:val="00C56171"/>
    <w:rsid w:val="00C56E06"/>
    <w:rsid w:val="00C608A7"/>
    <w:rsid w:val="00C70DF2"/>
    <w:rsid w:val="00C7174C"/>
    <w:rsid w:val="00C7383C"/>
    <w:rsid w:val="00C757D0"/>
    <w:rsid w:val="00C76D7B"/>
    <w:rsid w:val="00C77AB7"/>
    <w:rsid w:val="00C860DF"/>
    <w:rsid w:val="00C8715A"/>
    <w:rsid w:val="00C91519"/>
    <w:rsid w:val="00C9168C"/>
    <w:rsid w:val="00C91FD9"/>
    <w:rsid w:val="00C94D00"/>
    <w:rsid w:val="00C951AA"/>
    <w:rsid w:val="00CC02F3"/>
    <w:rsid w:val="00CC092E"/>
    <w:rsid w:val="00CC34E6"/>
    <w:rsid w:val="00CC4FD6"/>
    <w:rsid w:val="00CC6538"/>
    <w:rsid w:val="00CC78CC"/>
    <w:rsid w:val="00CC7CF0"/>
    <w:rsid w:val="00CD419D"/>
    <w:rsid w:val="00CD5CAD"/>
    <w:rsid w:val="00CD65D6"/>
    <w:rsid w:val="00CD66E0"/>
    <w:rsid w:val="00CE2250"/>
    <w:rsid w:val="00CE6D72"/>
    <w:rsid w:val="00CF6F6C"/>
    <w:rsid w:val="00D02907"/>
    <w:rsid w:val="00D0453D"/>
    <w:rsid w:val="00D06A72"/>
    <w:rsid w:val="00D100A7"/>
    <w:rsid w:val="00D12BD7"/>
    <w:rsid w:val="00D13CFA"/>
    <w:rsid w:val="00D15141"/>
    <w:rsid w:val="00D170E1"/>
    <w:rsid w:val="00D208A4"/>
    <w:rsid w:val="00D21630"/>
    <w:rsid w:val="00D22E5E"/>
    <w:rsid w:val="00D27AE1"/>
    <w:rsid w:val="00D327C1"/>
    <w:rsid w:val="00D34F72"/>
    <w:rsid w:val="00D37CB6"/>
    <w:rsid w:val="00D40C13"/>
    <w:rsid w:val="00D41E36"/>
    <w:rsid w:val="00D50834"/>
    <w:rsid w:val="00D51AAB"/>
    <w:rsid w:val="00D5622E"/>
    <w:rsid w:val="00D57670"/>
    <w:rsid w:val="00D61A93"/>
    <w:rsid w:val="00D72790"/>
    <w:rsid w:val="00D7427C"/>
    <w:rsid w:val="00D76F2A"/>
    <w:rsid w:val="00D84DF8"/>
    <w:rsid w:val="00D93D53"/>
    <w:rsid w:val="00D96FB9"/>
    <w:rsid w:val="00D976E7"/>
    <w:rsid w:val="00DA4962"/>
    <w:rsid w:val="00DA5894"/>
    <w:rsid w:val="00DB1D3C"/>
    <w:rsid w:val="00DB72EC"/>
    <w:rsid w:val="00DC3E3B"/>
    <w:rsid w:val="00DD2242"/>
    <w:rsid w:val="00DD27C7"/>
    <w:rsid w:val="00DD5357"/>
    <w:rsid w:val="00DE31A5"/>
    <w:rsid w:val="00DE7F6D"/>
    <w:rsid w:val="00E0172D"/>
    <w:rsid w:val="00E022D3"/>
    <w:rsid w:val="00E04D41"/>
    <w:rsid w:val="00E05DC7"/>
    <w:rsid w:val="00E07C47"/>
    <w:rsid w:val="00E24498"/>
    <w:rsid w:val="00E24E41"/>
    <w:rsid w:val="00E3120F"/>
    <w:rsid w:val="00E32A31"/>
    <w:rsid w:val="00E34A00"/>
    <w:rsid w:val="00E3560A"/>
    <w:rsid w:val="00E40841"/>
    <w:rsid w:val="00E4116D"/>
    <w:rsid w:val="00E52AE2"/>
    <w:rsid w:val="00E53347"/>
    <w:rsid w:val="00E53783"/>
    <w:rsid w:val="00E61A61"/>
    <w:rsid w:val="00E64488"/>
    <w:rsid w:val="00E668C5"/>
    <w:rsid w:val="00E72C28"/>
    <w:rsid w:val="00E734C1"/>
    <w:rsid w:val="00E803AB"/>
    <w:rsid w:val="00E81197"/>
    <w:rsid w:val="00E84616"/>
    <w:rsid w:val="00E90C90"/>
    <w:rsid w:val="00E9281E"/>
    <w:rsid w:val="00E93DA5"/>
    <w:rsid w:val="00E96493"/>
    <w:rsid w:val="00EA278B"/>
    <w:rsid w:val="00EA3651"/>
    <w:rsid w:val="00EA530B"/>
    <w:rsid w:val="00EA6288"/>
    <w:rsid w:val="00EC10E4"/>
    <w:rsid w:val="00EC1ED4"/>
    <w:rsid w:val="00EC28FD"/>
    <w:rsid w:val="00EC7413"/>
    <w:rsid w:val="00ED027F"/>
    <w:rsid w:val="00ED3AB2"/>
    <w:rsid w:val="00ED53EA"/>
    <w:rsid w:val="00ED66E5"/>
    <w:rsid w:val="00EE02A6"/>
    <w:rsid w:val="00EE16DD"/>
    <w:rsid w:val="00EE26CD"/>
    <w:rsid w:val="00EE7C85"/>
    <w:rsid w:val="00F054CE"/>
    <w:rsid w:val="00F06B8F"/>
    <w:rsid w:val="00F06FC4"/>
    <w:rsid w:val="00F1256C"/>
    <w:rsid w:val="00F142F3"/>
    <w:rsid w:val="00F1476D"/>
    <w:rsid w:val="00F32FC6"/>
    <w:rsid w:val="00F33124"/>
    <w:rsid w:val="00F42E00"/>
    <w:rsid w:val="00F50F83"/>
    <w:rsid w:val="00F51380"/>
    <w:rsid w:val="00F5385A"/>
    <w:rsid w:val="00F54F25"/>
    <w:rsid w:val="00F60682"/>
    <w:rsid w:val="00F6394E"/>
    <w:rsid w:val="00F66E15"/>
    <w:rsid w:val="00F743F0"/>
    <w:rsid w:val="00F744EC"/>
    <w:rsid w:val="00F74675"/>
    <w:rsid w:val="00F76634"/>
    <w:rsid w:val="00F85117"/>
    <w:rsid w:val="00F859CA"/>
    <w:rsid w:val="00F870FA"/>
    <w:rsid w:val="00F87C66"/>
    <w:rsid w:val="00F93AD8"/>
    <w:rsid w:val="00F9738B"/>
    <w:rsid w:val="00FA1056"/>
    <w:rsid w:val="00FA56AE"/>
    <w:rsid w:val="00FB28D9"/>
    <w:rsid w:val="00FB28F5"/>
    <w:rsid w:val="00FB4A0F"/>
    <w:rsid w:val="00FC0E6B"/>
    <w:rsid w:val="00FC12C0"/>
    <w:rsid w:val="00FC19DF"/>
    <w:rsid w:val="00FC2937"/>
    <w:rsid w:val="00FC55FE"/>
    <w:rsid w:val="00FD225E"/>
    <w:rsid w:val="00FE08C7"/>
    <w:rsid w:val="00FE33A1"/>
    <w:rsid w:val="00FE390D"/>
    <w:rsid w:val="00FE6D51"/>
    <w:rsid w:val="00FE6ED9"/>
    <w:rsid w:val="00FF291F"/>
    <w:rsid w:val="00FF3AFB"/>
    <w:rsid w:val="00FF4F78"/>
    <w:rsid w:val="09D45935"/>
    <w:rsid w:val="0A4D293E"/>
    <w:rsid w:val="15152076"/>
    <w:rsid w:val="16EC4CF1"/>
    <w:rsid w:val="1DAA6C81"/>
    <w:rsid w:val="2F064DB0"/>
    <w:rsid w:val="32242D99"/>
    <w:rsid w:val="40AB5115"/>
    <w:rsid w:val="467F0394"/>
    <w:rsid w:val="47D40D02"/>
    <w:rsid w:val="4CF7225E"/>
    <w:rsid w:val="4E740A62"/>
    <w:rsid w:val="5E151E13"/>
    <w:rsid w:val="685428D3"/>
    <w:rsid w:val="6C154E0E"/>
    <w:rsid w:val="7D983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E59226-54F4-4AB1-83E9-09DEFB9F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C0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Pr>
      <w:sz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table" w:styleId="a9">
    <w:name w:val="Table Grid"/>
    <w:basedOn w:val="a1"/>
    <w:uiPriority w:val="3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Char3">
    <w:name w:val="批注主题 Char"/>
    <w:basedOn w:val="Char"/>
    <w:link w:val="a8"/>
    <w:uiPriority w:val="99"/>
    <w:semiHidden/>
    <w:qFormat/>
    <w:rPr>
      <w:b/>
      <w:bCs/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d">
    <w:name w:val="Strong"/>
    <w:basedOn w:val="a0"/>
    <w:uiPriority w:val="22"/>
    <w:qFormat/>
    <w:rsid w:val="00EA530B"/>
    <w:rPr>
      <w:b/>
      <w:bCs/>
    </w:rPr>
  </w:style>
  <w:style w:type="paragraph" w:styleId="ae">
    <w:name w:val="Revision"/>
    <w:hidden/>
    <w:uiPriority w:val="99"/>
    <w:semiHidden/>
    <w:rsid w:val="000168BB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5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7EB33-2FFE-4CCA-938A-91D9C6A95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Xiang</dc:creator>
  <cp:lastModifiedBy>孔志渊</cp:lastModifiedBy>
  <cp:revision>16</cp:revision>
  <dcterms:created xsi:type="dcterms:W3CDTF">2026-08-14T07:45:00Z</dcterms:created>
  <dcterms:modified xsi:type="dcterms:W3CDTF">2026-08-14T09:15:00Z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eyJoZGlkIjoiZmM0NmE4ZTFmZDMyMDRkMzAyOGNkZmI3MjM2YzcwZmIiLCJ1c2VySWQiOiI2Njg4NjcyNzcifQ==</vt:lpwstr>
  </property>
  <property fmtid="{D5CDD505-2E9C-101B-9397-08002B2CF9AE}" pid="4" name="ICV">
    <vt:lpwstr>074057D680504301998C82EA158D0BBA_12</vt:lpwstr>
  </property>
</Properties>
</file>