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4A7ACB">
      <w:pPr>
        <w:jc w:val="left"/>
        <w:rPr>
          <w:rFonts w:hint="eastAsia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</w:rPr>
        <w:t>证券代码：</w:t>
      </w:r>
      <w:r>
        <w:rPr>
          <w:rFonts w:hint="default" w:ascii="宋体" w:hAnsi="宋体"/>
          <w:sz w:val="24"/>
          <w:szCs w:val="24"/>
          <w:lang w:val="en-US"/>
        </w:rPr>
        <w:t>60</w:t>
      </w:r>
      <w:r>
        <w:rPr>
          <w:rFonts w:hint="eastAsia" w:ascii="宋体" w:hAnsi="宋体"/>
          <w:sz w:val="24"/>
          <w:szCs w:val="24"/>
          <w:lang w:val="en-US" w:eastAsia="zh-CN"/>
        </w:rPr>
        <w:t>3601</w:t>
      </w:r>
      <w:r>
        <w:rPr>
          <w:rFonts w:hint="eastAsia" w:ascii="宋体" w:hAnsi="宋体"/>
          <w:sz w:val="24"/>
          <w:szCs w:val="24"/>
        </w:rPr>
        <w:t xml:space="preserve">                     </w:t>
      </w:r>
      <w:r>
        <w:rPr>
          <w:rFonts w:hint="eastAsia" w:ascii="宋体" w:hAnsi="宋体"/>
          <w:sz w:val="24"/>
          <w:szCs w:val="24"/>
          <w:lang w:val="en-US" w:eastAsia="zh-CN"/>
        </w:rPr>
        <w:t xml:space="preserve">        </w:t>
      </w:r>
      <w:r>
        <w:rPr>
          <w:rFonts w:hint="eastAsia" w:ascii="宋体" w:hAnsi="宋体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   </w:t>
      </w:r>
      <w:r>
        <w:rPr>
          <w:rFonts w:hint="eastAsia" w:ascii="宋体" w:hAnsi="宋体"/>
          <w:sz w:val="24"/>
          <w:szCs w:val="24"/>
        </w:rPr>
        <w:t>公司简称：</w:t>
      </w:r>
      <w:r>
        <w:rPr>
          <w:rFonts w:hint="eastAsia" w:ascii="宋体" w:hAnsi="宋体"/>
          <w:sz w:val="24"/>
          <w:szCs w:val="24"/>
          <w:lang w:val="en-US" w:eastAsia="zh-CN"/>
        </w:rPr>
        <w:t>再升科技</w:t>
      </w:r>
    </w:p>
    <w:p w14:paraId="2A106380">
      <w:pPr>
        <w:jc w:val="center"/>
        <w:rPr>
          <w:rFonts w:hint="eastAsia"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重庆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再升科技</w:t>
      </w:r>
      <w:r>
        <w:rPr>
          <w:rFonts w:hint="eastAsia" w:ascii="黑体" w:hAnsi="黑体" w:eastAsia="黑体"/>
          <w:sz w:val="36"/>
          <w:szCs w:val="36"/>
        </w:rPr>
        <w:t>股份有限公司</w:t>
      </w:r>
    </w:p>
    <w:p w14:paraId="7BBBC1B7">
      <w:pPr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投资者关系活动记录表</w:t>
      </w:r>
    </w:p>
    <w:p w14:paraId="668FE409">
      <w:pPr>
        <w:jc w:val="center"/>
        <w:rPr>
          <w:rFonts w:ascii="黑体" w:hAnsi="黑体" w:eastAsia="黑体"/>
          <w:sz w:val="24"/>
          <w:szCs w:val="24"/>
          <w:highlight w:val="none"/>
        </w:rPr>
      </w:pPr>
    </w:p>
    <w:p w14:paraId="00EB1503">
      <w:pPr>
        <w:ind w:right="720"/>
        <w:jc w:val="right"/>
        <w:rPr>
          <w:rFonts w:hint="default" w:ascii="黑体" w:hAnsi="黑体" w:eastAsia="黑体"/>
          <w:sz w:val="24"/>
          <w:szCs w:val="24"/>
          <w:highlight w:val="none"/>
          <w:lang w:val="en-US" w:eastAsia="zh-CN"/>
        </w:rPr>
      </w:pPr>
      <w:r>
        <w:rPr>
          <w:rFonts w:hint="eastAsia" w:ascii="黑体" w:hAnsi="黑体" w:eastAsia="黑体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黑体" w:hAnsi="黑体" w:eastAsia="黑体"/>
          <w:sz w:val="24"/>
          <w:szCs w:val="24"/>
          <w:highlight w:val="none"/>
        </w:rPr>
        <w:t>编号：</w:t>
      </w:r>
      <w:r>
        <w:rPr>
          <w:rFonts w:hint="eastAsia" w:ascii="黑体" w:hAnsi="黑体" w:eastAsia="黑体"/>
          <w:sz w:val="24"/>
          <w:szCs w:val="24"/>
          <w:highlight w:val="none"/>
          <w:lang w:val="en-US" w:eastAsia="zh-CN"/>
        </w:rPr>
        <w:t>2026-005</w:t>
      </w:r>
    </w:p>
    <w:tbl>
      <w:tblPr>
        <w:tblStyle w:val="6"/>
        <w:tblW w:w="999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5"/>
        <w:gridCol w:w="8429"/>
      </w:tblGrid>
      <w:tr w14:paraId="546DF7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1565" w:type="dxa"/>
            <w:noWrap w:val="0"/>
            <w:vAlign w:val="center"/>
          </w:tcPr>
          <w:p w14:paraId="139DAE9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投资者关系活动类别</w:t>
            </w:r>
          </w:p>
        </w:tc>
        <w:tc>
          <w:tcPr>
            <w:tcW w:w="8429" w:type="dxa"/>
            <w:noWrap w:val="0"/>
            <w:vAlign w:val="center"/>
          </w:tcPr>
          <w:p w14:paraId="60549243">
            <w:pPr>
              <w:autoSpaceDE w:val="0"/>
              <w:autoSpaceDN w:val="0"/>
              <w:adjustRightInd w:val="0"/>
              <w:spacing w:line="440" w:lineRule="exact"/>
              <w:rPr>
                <w:rFonts w:hint="eastAsia" w:ascii="Times New Roman" w:hAnsi="Times New Roman" w:cs="MS Mincho"/>
                <w:sz w:val="24"/>
              </w:rPr>
            </w:pPr>
            <w:r>
              <w:rPr>
                <w:rFonts w:hint="eastAsia" w:ascii="Times New Roman" w:hAnsi="Times New Roman" w:cs="MS Mincho"/>
                <w:sz w:val="24"/>
              </w:rPr>
              <w:sym w:font="Wingdings" w:char="00A8"/>
            </w:r>
            <w:r>
              <w:rPr>
                <w:rFonts w:hint="eastAsia" w:ascii="Times New Roman" w:hAnsi="Times New Roman" w:cs="MS Mincho"/>
                <w:sz w:val="24"/>
              </w:rPr>
              <w:t>电话会议</w:t>
            </w:r>
            <w:r>
              <w:rPr>
                <w:rFonts w:ascii="Times New Roman" w:hAnsi="Times New Roman" w:cs="MS Mincho"/>
                <w:sz w:val="24"/>
              </w:rPr>
              <w:t xml:space="preserve">      </w:t>
            </w:r>
            <w:r>
              <w:rPr>
                <w:rFonts w:hint="eastAsia" w:ascii="Times New Roman" w:hAnsi="Times New Roman" w:cs="MS Mincho"/>
                <w:sz w:val="24"/>
                <w:lang w:eastAsia="zh-CN"/>
              </w:rPr>
              <w:t>☑</w:t>
            </w:r>
            <w:r>
              <w:rPr>
                <w:rFonts w:hint="eastAsia" w:ascii="Times New Roman" w:hAnsi="Times New Roman" w:cs="MS Mincho"/>
                <w:sz w:val="24"/>
              </w:rPr>
              <w:t>现场参观        □媒体采访     □分析师会议</w:t>
            </w:r>
          </w:p>
          <w:p w14:paraId="50F1DC16">
            <w:pPr>
              <w:spacing w:line="360" w:lineRule="auto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MS Mincho"/>
                <w:sz w:val="24"/>
              </w:rPr>
              <w:t xml:space="preserve">□业绩说明会   </w:t>
            </w:r>
            <w:r>
              <w:rPr>
                <w:rFonts w:ascii="Times New Roman" w:hAnsi="Times New Roman" w:cs="MS Mincho"/>
                <w:sz w:val="24"/>
              </w:rPr>
              <w:t xml:space="preserve"> </w:t>
            </w:r>
            <w:r>
              <w:rPr>
                <w:rFonts w:hint="eastAsia" w:ascii="Times New Roman" w:hAnsi="Times New Roman" w:cs="MS Mincho"/>
                <w:sz w:val="24"/>
              </w:rPr>
              <w:t>□新闻发布会</w:t>
            </w:r>
            <w:r>
              <w:rPr>
                <w:rFonts w:ascii="Times New Roman" w:hAnsi="Times New Roman" w:cs="MS Mincho"/>
                <w:sz w:val="24"/>
              </w:rPr>
              <w:t xml:space="preserve">      </w:t>
            </w:r>
            <w:r>
              <w:rPr>
                <w:rFonts w:hint="eastAsia" w:ascii="Times New Roman" w:hAnsi="Times New Roman" w:cs="MS Mincho"/>
                <w:sz w:val="24"/>
              </w:rPr>
              <w:t>□路演活动</w:t>
            </w:r>
            <w:r>
              <w:rPr>
                <w:rFonts w:ascii="Times New Roman" w:hAnsi="Times New Roman" w:cs="MS Mincho"/>
                <w:sz w:val="24"/>
              </w:rPr>
              <w:t xml:space="preserve">     </w:t>
            </w:r>
            <w:r>
              <w:rPr>
                <w:rFonts w:hint="eastAsia" w:ascii="Times New Roman" w:hAnsi="Times New Roman" w:cs="MS Mincho"/>
                <w:sz w:val="24"/>
              </w:rPr>
              <w:t>□其他（请文字说明其他活动内容）</w:t>
            </w:r>
          </w:p>
        </w:tc>
      </w:tr>
      <w:tr w14:paraId="2C5E8C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565" w:type="dxa"/>
            <w:noWrap w:val="0"/>
            <w:vAlign w:val="center"/>
          </w:tcPr>
          <w:p w14:paraId="2228515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时间</w:t>
            </w:r>
          </w:p>
        </w:tc>
        <w:tc>
          <w:tcPr>
            <w:tcW w:w="8429" w:type="dxa"/>
            <w:noWrap w:val="0"/>
            <w:vAlign w:val="center"/>
          </w:tcPr>
          <w:p w14:paraId="2F906F9A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iCs/>
                <w:color w:val="000000"/>
                <w:sz w:val="24"/>
                <w:highlight w:val="none"/>
              </w:rPr>
              <w:t>202</w:t>
            </w:r>
            <w:r>
              <w:rPr>
                <w:rFonts w:hint="eastAsia" w:ascii="宋体" w:hAnsi="宋体" w:cs="宋体"/>
                <w:bCs/>
                <w:iCs/>
                <w:color w:val="000000"/>
                <w:sz w:val="24"/>
                <w:highlight w:val="none"/>
                <w:lang w:val="en-US" w:eastAsia="zh-CN"/>
              </w:rPr>
              <w:t>6年7月</w:t>
            </w:r>
          </w:p>
        </w:tc>
      </w:tr>
      <w:tr w14:paraId="3B688B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565" w:type="dxa"/>
            <w:noWrap w:val="0"/>
            <w:vAlign w:val="center"/>
          </w:tcPr>
          <w:p w14:paraId="4F5F6D54">
            <w:pPr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参与单位</w:t>
            </w:r>
          </w:p>
        </w:tc>
        <w:tc>
          <w:tcPr>
            <w:tcW w:w="8429" w:type="dxa"/>
            <w:noWrap w:val="0"/>
            <w:vAlign w:val="center"/>
          </w:tcPr>
          <w:p w14:paraId="65DEA4D0">
            <w:pPr>
              <w:rPr>
                <w:rFonts w:hint="default" w:ascii="宋体" w:hAnsi="宋体" w:eastAsia="宋体" w:cs="宋体"/>
                <w:bCs/>
                <w:iCs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iCs/>
                <w:color w:val="000000"/>
                <w:sz w:val="24"/>
                <w:highlight w:val="none"/>
                <w:lang w:val="en-US" w:eastAsia="zh-CN"/>
              </w:rPr>
              <w:t>国泰海通、富达基金</w:t>
            </w:r>
          </w:p>
        </w:tc>
      </w:tr>
      <w:tr w14:paraId="14E66A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1565" w:type="dxa"/>
            <w:noWrap w:val="0"/>
            <w:vAlign w:val="center"/>
          </w:tcPr>
          <w:p w14:paraId="3D0E86BD">
            <w:pPr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地点</w:t>
            </w:r>
          </w:p>
        </w:tc>
        <w:tc>
          <w:tcPr>
            <w:tcW w:w="8429" w:type="dxa"/>
            <w:noWrap w:val="0"/>
            <w:vAlign w:val="center"/>
          </w:tcPr>
          <w:p w14:paraId="14891159">
            <w:pPr>
              <w:jc w:val="both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再升科技办公楼</w:t>
            </w:r>
          </w:p>
        </w:tc>
      </w:tr>
      <w:tr w14:paraId="60339C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1565" w:type="dxa"/>
            <w:noWrap w:val="0"/>
            <w:vAlign w:val="center"/>
          </w:tcPr>
          <w:p w14:paraId="4B035B79">
            <w:pPr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公司接待人名称及职务</w:t>
            </w:r>
          </w:p>
        </w:tc>
        <w:tc>
          <w:tcPr>
            <w:tcW w:w="8429" w:type="dxa"/>
            <w:noWrap w:val="0"/>
            <w:vAlign w:val="center"/>
          </w:tcPr>
          <w:p w14:paraId="10473AAD">
            <w:pPr>
              <w:spacing w:line="360" w:lineRule="auto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董事会秘书：韩</w:t>
            </w:r>
            <w:bookmarkStart w:id="0" w:name="_GoBack"/>
            <w:bookmarkEnd w:id="0"/>
            <w:r>
              <w:rPr>
                <w:rFonts w:hint="eastAsia"/>
                <w:sz w:val="24"/>
                <w:szCs w:val="24"/>
                <w:lang w:val="en-US" w:eastAsia="zh-CN"/>
              </w:rPr>
              <w:t>旭鹏</w:t>
            </w:r>
          </w:p>
        </w:tc>
      </w:tr>
      <w:tr w14:paraId="6E1CED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565" w:type="dxa"/>
            <w:noWrap w:val="0"/>
            <w:vAlign w:val="center"/>
          </w:tcPr>
          <w:p w14:paraId="61468A1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投资者关系活动主要内容介绍</w:t>
            </w:r>
          </w:p>
        </w:tc>
        <w:tc>
          <w:tcPr>
            <w:tcW w:w="8429" w:type="dxa"/>
            <w:noWrap w:val="0"/>
            <w:vAlign w:val="top"/>
          </w:tcPr>
          <w:p w14:paraId="2771789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textAlignment w:val="auto"/>
              <w:rPr>
                <w:rFonts w:hint="default" w:ascii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公司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5月召开股东会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完成了董事会换届，请介绍相关情况以及对公司战略方向的影响。</w:t>
            </w:r>
          </w:p>
          <w:p w14:paraId="1386DB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default" w:ascii="宋体"/>
                <w:sz w:val="24"/>
                <w:szCs w:val="24"/>
                <w:lang w:val="en-US"/>
              </w:rPr>
              <w:t>答</w:t>
            </w:r>
            <w:r>
              <w:rPr>
                <w:rFonts w:hint="eastAsia" w:ascii="宋体"/>
                <w:sz w:val="24"/>
                <w:szCs w:val="24"/>
                <w:lang w:val="en-US" w:eastAsia="zh-CN"/>
              </w:rPr>
              <w:t>：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公司2025年年度股东大会已依规完成董事会换届选举工作，第五届董事会任期届满后平稳过渡至第六届董事会，公司治理团队实现有序衔接、平稳交替。</w:t>
            </w:r>
          </w:p>
          <w:p w14:paraId="6919C3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新一届董事会兼顾经验传承与活力升级：一方面，公司资深管理成员继续发挥经验优势，聚焦战略把控、风险管控与人才传帮带，保障发展战略的连续性与经营稳定性；另一方面，一批专业扎实、年富力强的骨干力量进入董事会及核心管理岗位，推动经营决策与一线执行高效协同，进一步强化组织的市场响应能力与创新活力，契合公司年轻化、专业化的治理转型方向。在战略方向层面，本次董事会换届不改变公司长期发展战略，公司将继续深耕干净空气材料、高效节能材料、无尘空调产品三大核心业务，服务工业、移动、生活三大应用场景。公司将以本次换届为契机，进一步激活组织效能，推动高质量发展，持续夯实内在价值，努力以稳健的经营成果回报广大投资者。</w:t>
            </w:r>
          </w:p>
          <w:p w14:paraId="3CC48E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71B7450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textAlignment w:val="auto"/>
              <w:rPr>
                <w:rFonts w:hint="default" w:ascii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公司在年报中提出了石英纤维的战略布局，请问目前进展如何？预计何时能够形成收入？</w:t>
            </w:r>
          </w:p>
          <w:p w14:paraId="4B39E9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default" w:ascii="宋体"/>
                <w:sz w:val="24"/>
                <w:szCs w:val="24"/>
                <w:lang w:val="en-US"/>
              </w:rPr>
              <w:t>答</w:t>
            </w:r>
            <w:r>
              <w:rPr>
                <w:rFonts w:hint="eastAsia" w:ascii="宋体"/>
                <w:sz w:val="24"/>
                <w:szCs w:val="24"/>
                <w:lang w:val="en-US" w:eastAsia="zh-CN"/>
              </w:rPr>
              <w:t>：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公司依托在超细纤维领域的技术积淀，稳步推进石英纤维战略布局，目前正持续开展关键工艺及核心技术研发攻关，有序推进试验验证、工艺优化与技术提升工作，不断强化核心技术储备。石英纤维属于高端战略新材料，生产工艺复杂、技术壁垒高，其产业化落地、客户认证及市场拓展均需要一定周期，受技术攻关进度、下游需求释放、客户验证节奏等多重因素影响，形成收入的时间存在不确定性，公司暂无法准确预计规模化收入落地时点。相关业务后续进展若达到信息披露标准，公司将严格按照监管要求及时履行信息披露义务。</w:t>
            </w:r>
          </w:p>
          <w:p w14:paraId="571FEC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491C10E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textAlignment w:val="auto"/>
              <w:rPr>
                <w:rFonts w:hint="default" w:ascii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公司在年报中提到了“在森好房子”项目获得德国被动房研究所认证，请介绍该项目的情况及其对公司业务的意义。</w:t>
            </w:r>
          </w:p>
          <w:p w14:paraId="0C86C1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default" w:ascii="宋体"/>
                <w:sz w:val="24"/>
                <w:szCs w:val="24"/>
                <w:lang w:val="en-US"/>
              </w:rPr>
              <w:t>答</w:t>
            </w:r>
            <w:r>
              <w:rPr>
                <w:rFonts w:hint="eastAsia" w:ascii="宋体"/>
                <w:sz w:val="24"/>
                <w:szCs w:val="24"/>
                <w:lang w:val="en-US" w:eastAsia="zh-CN"/>
              </w:rPr>
              <w:t>：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2025年12月，公司凭借在新型绿色建材领域的技术领先优势，成功入选住建部首批“好材料适配好房子”科技攻关“揭榜挂帅”项目揭榜单位。2026年1月，公司打造的“在森好房子”项目顺利竣工交付。2026年3月，该项目凭借卓越的超低能耗表现，正式获得德国被动房研究所认证，成为重庆市首个严格按国际被动房标准建造并通过认证的单体建筑。“在森好房子”使用了公司研发的三大核心产品：无尘空调系统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外墙保温建筑VIP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内墙隔音隔热飞机棉。该项目是公司科研成果转化与绿色低碳理念落地的先锋之作，构建了一个“可体验、可检测、可验证”的实景展示平台，彰显公司在绿色建筑、健康建材领域的技术优势与综合服务能力。</w:t>
            </w:r>
          </w:p>
          <w:p w14:paraId="1887A6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/>
                <w:sz w:val="24"/>
                <w:szCs w:val="24"/>
                <w:lang w:val="en-US" w:eastAsia="zh-CN"/>
              </w:rPr>
            </w:pPr>
          </w:p>
          <w:p w14:paraId="1D3DFB9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textAlignment w:val="auto"/>
              <w:rPr>
                <w:rFonts w:hint="default" w:ascii="宋体"/>
                <w:sz w:val="24"/>
                <w:szCs w:val="24"/>
                <w:lang w:val="en-US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公司如何看待当前复杂的市场环境和行业竞争格局？</w:t>
            </w:r>
          </w:p>
          <w:p w14:paraId="6A7AD1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/>
                <w:sz w:val="24"/>
                <w:szCs w:val="24"/>
                <w:lang w:val="en-US"/>
              </w:rPr>
              <w:t>答</w:t>
            </w:r>
            <w:r>
              <w:rPr>
                <w:rFonts w:hint="eastAsia" w:ascii="宋体"/>
                <w:sz w:val="24"/>
                <w:szCs w:val="24"/>
                <w:lang w:val="en-US" w:eastAsia="zh-CN"/>
              </w:rPr>
              <w:t>：根据2025年年度报告，从行业趋势来看，全球半导体行业正迎来新一轮高速增长周期。根据美国半导体行业协会预测，2025年全球半导体销售额将达到7,917亿美元，同比增长25.6%。AI技术广泛应用推动半导体行业进入新一轮增长周期，进一步带动洁净室需求。在家电保温节能领域，新版GB12021.2—2025《家用电冰箱耗电量限定值及能效等级》国家标准已于2026年6月1日起正式实施，一级能效综合能效指数要求从小于等于50%大幅提升至小于等于22%。真空绝热板凭借高效保温性和生产环保性，将成为冰箱绿色转型的核心材料。面对行业格局变化，公司紧密围绕国家“十五五”规划，科学制定自身五年发展规划，前瞻布局石英纤维等关键战略材料领域，服务关键核心技术材料自主可控的产业安全战略，着力突破高端材料“卡脖子”环节。公司将坚持材料、产业链、品牌三大核心战略，积极打造绿色低碳科技成果转化平台，持续提升产业价值与发展动能。</w:t>
            </w:r>
          </w:p>
          <w:p w14:paraId="075C67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</w:p>
        </w:tc>
      </w:tr>
      <w:tr w14:paraId="183A9B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565" w:type="dxa"/>
            <w:noWrap w:val="0"/>
            <w:vAlign w:val="center"/>
          </w:tcPr>
          <w:p w14:paraId="7D79C5D9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附件清单（如有）</w:t>
            </w:r>
          </w:p>
        </w:tc>
        <w:tc>
          <w:tcPr>
            <w:tcW w:w="8429" w:type="dxa"/>
            <w:noWrap w:val="0"/>
            <w:vAlign w:val="top"/>
          </w:tcPr>
          <w:p w14:paraId="52AF99FB">
            <w:pPr>
              <w:spacing w:before="98" w:line="228" w:lineRule="auto"/>
              <w:ind w:right="108" w:rightChars="0"/>
              <w:rPr>
                <w:rFonts w:hint="default" w:ascii="宋体"/>
                <w:sz w:val="22"/>
                <w:szCs w:val="21"/>
                <w:lang w:val="en-US"/>
              </w:rPr>
            </w:pPr>
            <w:r>
              <w:rPr>
                <w:rFonts w:hint="eastAsia" w:ascii="宋体" w:hAnsi="宋体" w:eastAsia="宋体" w:cs="仿宋"/>
                <w:sz w:val="22"/>
                <w:szCs w:val="22"/>
              </w:rPr>
              <w:t>无</w:t>
            </w:r>
          </w:p>
        </w:tc>
      </w:tr>
    </w:tbl>
    <w:p w14:paraId="51E01BD5">
      <w:pPr>
        <w:rPr>
          <w:rFonts w:hint="eastAsia"/>
        </w:rPr>
      </w:pPr>
    </w:p>
    <w:p w14:paraId="27D284D0"/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S Mincho">
    <w:altName w:val="Yu Gothic UI"/>
    <w:panose1 w:val="02020609040205080304"/>
    <w:charset w:val="80"/>
    <w:family w:val="roman"/>
    <w:pitch w:val="default"/>
    <w:sig w:usb0="00000000" w:usb1="00000000" w:usb2="00000010" w:usb3="00000000" w:csb0="00020000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F9C39E">
    <w:pPr>
      <w:pStyle w:val="3"/>
      <w:tabs>
        <w:tab w:val="clear" w:pos="4153"/>
      </w:tabs>
      <w:jc w:val="right"/>
    </w:pPr>
    <w:r>
      <w:rPr>
        <w:rFonts w:hint="eastAsia"/>
      </w:rPr>
      <w:t>重庆</w:t>
    </w:r>
    <w:r>
      <w:rPr>
        <w:rFonts w:hint="eastAsia"/>
        <w:lang w:val="en-US" w:eastAsia="zh-CN"/>
      </w:rPr>
      <w:t>再升科技</w:t>
    </w:r>
    <w:r>
      <w:rPr>
        <w:rFonts w:hint="eastAsia"/>
      </w:rPr>
      <w:t>股份有限公司投资者关系活动记录表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B525245"/>
    <w:multiLevelType w:val="singleLevel"/>
    <w:tmpl w:val="7B525245"/>
    <w:lvl w:ilvl="0" w:tentative="0">
      <w:start w:val="1"/>
      <w:numFmt w:val="chineseCounting"/>
      <w:suff w:val="nothing"/>
      <w:lvlText w:val="（%1） 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3NTlhNGJhZTk1YmZkMTc2MTM0MTg2MGI3NTFmMTEifQ=="/>
  </w:docVars>
  <w:rsids>
    <w:rsidRoot w:val="00000000"/>
    <w:rsid w:val="03FB03BA"/>
    <w:rsid w:val="0BD0719F"/>
    <w:rsid w:val="0D794027"/>
    <w:rsid w:val="16C90D2B"/>
    <w:rsid w:val="1CB2496B"/>
    <w:rsid w:val="28437165"/>
    <w:rsid w:val="2A5664A2"/>
    <w:rsid w:val="3D9D5B59"/>
    <w:rsid w:val="477C3188"/>
    <w:rsid w:val="486F26F2"/>
    <w:rsid w:val="4A51076B"/>
    <w:rsid w:val="4B577FE6"/>
    <w:rsid w:val="4FA90297"/>
    <w:rsid w:val="61B42C51"/>
    <w:rsid w:val="670E1BE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iPriority w:val="0"/>
    <w:rPr>
      <w:sz w:val="24"/>
    </w:rPr>
  </w:style>
  <w:style w:type="table" w:styleId="6">
    <w:name w:val="Table Grid"/>
    <w:basedOn w:val="5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">
    <w:name w:val="Hyperlink"/>
    <w:basedOn w:val="7"/>
    <w:unhideWhenUsed/>
    <w:qFormat/>
    <w:uiPriority w:val="99"/>
    <w:rPr>
      <w:color w:val="0563C1"/>
      <w:u w:val="single"/>
    </w:rPr>
  </w:style>
  <w:style w:type="paragraph" w:customStyle="1" w:styleId="9">
    <w:name w:val="_Style 6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paragraph" w:styleId="10">
    <w:name w:val="List Paragraph"/>
    <w:basedOn w:val="1"/>
    <w:autoRedefine/>
    <w:qFormat/>
    <w:uiPriority w:val="34"/>
    <w:pPr>
      <w:ind w:firstLine="420" w:firstLineChars="200"/>
    </w:pPr>
  </w:style>
  <w:style w:type="table" w:customStyle="1" w:styleId="11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2096</Words>
  <Characters>2190</Characters>
  <Lines>0</Lines>
  <Paragraphs>0</Paragraphs>
  <TotalTime>72</TotalTime>
  <ScaleCrop>false</ScaleCrop>
  <LinksUpToDate>false</LinksUpToDate>
  <CharactersWithSpaces>2260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2023-06-30T02:03:00Z</dcterms:created>
  <dc:creator>Administrator</dc:creator>
  <cp:lastModifiedBy>在下小猪是也</cp:lastModifiedBy>
  <dcterms:modified xsi:type="dcterms:W3CDTF">2026-08-14T09:45:48Z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95D3ECD94B854063B64A943DBAB6B97D_13</vt:lpwstr>
  </property>
  <property fmtid="{D5CDD505-2E9C-101B-9397-08002B2CF9AE}" pid="4" name="KSOTemplateDocerSaveRecord">
    <vt:lpwstr>eyJoZGlkIjoiMGZjZDI0NjA1Yzc2MTU3ZGZiYmU1NGNjMWZmZWRhZTkiLCJ1c2VySWQiOiIyNjg1NDc4NzkifQ==</vt:lpwstr>
  </property>
</Properties>
</file>