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BB9BE">
      <w:pPr>
        <w:spacing w:before="156" w:beforeLines="50" w:after="156" w:afterLines="50" w:line="400" w:lineRule="exact"/>
        <w:rPr>
          <w:bCs/>
          <w:iCs/>
          <w:color w:val="000000"/>
          <w:sz w:val="24"/>
        </w:rPr>
      </w:pPr>
      <w:r>
        <w:rPr>
          <w:rFonts w:hAnsi="宋体"/>
          <w:bCs/>
          <w:iCs/>
          <w:color w:val="000000"/>
          <w:sz w:val="24"/>
        </w:rPr>
        <w:t>证券代码：</w:t>
      </w:r>
      <w:r>
        <w:rPr>
          <w:bCs/>
          <w:iCs/>
          <w:color w:val="000000"/>
          <w:sz w:val="24"/>
        </w:rPr>
        <w:t xml:space="preserve"> </w:t>
      </w:r>
      <w:r>
        <w:rPr>
          <w:color w:val="000000"/>
          <w:sz w:val="24"/>
        </w:rPr>
        <w:t xml:space="preserve">603690                             </w:t>
      </w:r>
      <w:r>
        <w:rPr>
          <w:rFonts w:hAnsi="宋体"/>
          <w:bCs/>
          <w:iCs/>
          <w:color w:val="000000"/>
          <w:sz w:val="24"/>
        </w:rPr>
        <w:t>证券简称：</w:t>
      </w:r>
      <w:r>
        <w:rPr>
          <w:color w:val="000000"/>
          <w:sz w:val="24"/>
        </w:rPr>
        <w:t>至纯科技</w:t>
      </w:r>
    </w:p>
    <w:p w14:paraId="61B17F9E">
      <w:pPr>
        <w:spacing w:before="156" w:beforeLines="50" w:after="156" w:afterLines="50" w:line="400" w:lineRule="exact"/>
        <w:jc w:val="center"/>
        <w:rPr>
          <w:rFonts w:hint="eastAsia" w:ascii="宋体" w:hAnsi="宋体"/>
          <w:b/>
          <w:bCs/>
          <w:iCs/>
          <w:color w:val="000000"/>
          <w:sz w:val="32"/>
          <w:szCs w:val="32"/>
        </w:rPr>
      </w:pPr>
      <w:r>
        <w:rPr>
          <w:rFonts w:ascii="宋体" w:hAnsi="宋体"/>
          <w:b/>
          <w:bCs/>
          <w:iCs/>
          <w:color w:val="000000"/>
          <w:sz w:val="32"/>
          <w:szCs w:val="32"/>
        </w:rPr>
        <w:t>上海至纯洁净系统科技股份有限公司</w:t>
      </w:r>
    </w:p>
    <w:p w14:paraId="7179C92E">
      <w:pPr>
        <w:spacing w:before="156" w:beforeLines="50" w:after="156" w:afterLines="50" w:line="400" w:lineRule="exact"/>
        <w:jc w:val="center"/>
        <w:rPr>
          <w:rFonts w:hint="eastAsia" w:ascii="宋体" w:hAnsi="宋体"/>
          <w:b/>
          <w:bCs/>
          <w:iCs/>
          <w:color w:val="000000"/>
          <w:sz w:val="32"/>
          <w:szCs w:val="32"/>
        </w:rPr>
      </w:pPr>
      <w:r>
        <w:rPr>
          <w:rFonts w:hint="eastAsia" w:ascii="宋体" w:hAnsi="宋体"/>
          <w:b/>
          <w:bCs/>
          <w:iCs/>
          <w:color w:val="000000"/>
          <w:sz w:val="32"/>
          <w:szCs w:val="32"/>
        </w:rPr>
        <w:t>投资者关系活动记录表</w:t>
      </w:r>
    </w:p>
    <w:p w14:paraId="6827E26B">
      <w:pPr>
        <w:spacing w:line="400" w:lineRule="exact"/>
        <w:rPr>
          <w:bCs/>
          <w:iCs/>
          <w:color w:val="000000"/>
          <w:sz w:val="24"/>
        </w:rPr>
      </w:pPr>
      <w:r>
        <w:rPr>
          <w:rFonts w:hint="eastAsia" w:ascii="宋体" w:hAnsi="宋体"/>
          <w:bCs/>
          <w:iCs/>
          <w:color w:val="000000"/>
          <w:sz w:val="24"/>
        </w:rPr>
        <w:t xml:space="preserve">                                                     </w:t>
      </w:r>
    </w:p>
    <w:tbl>
      <w:tblPr>
        <w:tblStyle w:val="6"/>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847"/>
      </w:tblGrid>
      <w:tr w14:paraId="0BA2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5D2614B0">
            <w:pPr>
              <w:spacing w:line="420" w:lineRule="exact"/>
              <w:rPr>
                <w:bCs/>
                <w:iCs/>
                <w:color w:val="000000"/>
                <w:kern w:val="0"/>
                <w:sz w:val="24"/>
              </w:rPr>
            </w:pPr>
            <w:r>
              <w:rPr>
                <w:rFonts w:hAnsi="宋体"/>
                <w:bCs/>
                <w:iCs/>
                <w:color w:val="000000"/>
                <w:kern w:val="0"/>
                <w:sz w:val="24"/>
              </w:rPr>
              <w:t>投资者关系活动类别</w:t>
            </w:r>
          </w:p>
          <w:p w14:paraId="18F47A68">
            <w:pPr>
              <w:spacing w:line="420" w:lineRule="exact"/>
              <w:rPr>
                <w:bCs/>
                <w:iCs/>
                <w:color w:val="000000"/>
                <w:sz w:val="24"/>
              </w:rPr>
            </w:pPr>
          </w:p>
        </w:tc>
        <w:tc>
          <w:tcPr>
            <w:tcW w:w="6847" w:type="dxa"/>
            <w:tcBorders>
              <w:top w:val="single" w:color="auto" w:sz="4" w:space="0"/>
              <w:left w:val="single" w:color="auto" w:sz="4" w:space="0"/>
              <w:bottom w:val="single" w:color="auto" w:sz="4" w:space="0"/>
              <w:right w:val="single" w:color="auto" w:sz="4" w:space="0"/>
            </w:tcBorders>
          </w:tcPr>
          <w:p w14:paraId="7608B2C8">
            <w:pPr>
              <w:spacing w:line="420" w:lineRule="exact"/>
              <w:rPr>
                <w:bCs/>
                <w:iCs/>
                <w:color w:val="000000"/>
                <w:sz w:val="24"/>
              </w:rPr>
            </w:pPr>
            <w:r>
              <w:rPr>
                <w:bCs/>
                <w:iCs/>
                <w:color w:val="000000"/>
                <w:kern w:val="0"/>
                <w:sz w:val="24"/>
              </w:rPr>
              <w:t xml:space="preserve">√ </w:t>
            </w:r>
            <w:r>
              <w:rPr>
                <w:rFonts w:hAnsi="宋体"/>
                <w:kern w:val="0"/>
                <w:sz w:val="24"/>
              </w:rPr>
              <w:t>特定对象调研</w:t>
            </w:r>
            <w:r>
              <w:rPr>
                <w:kern w:val="0"/>
                <w:sz w:val="24"/>
              </w:rPr>
              <w:t xml:space="preserve">       </w:t>
            </w:r>
            <w:r>
              <w:rPr>
                <w:rFonts w:hint="eastAsia"/>
                <w:kern w:val="0"/>
                <w:sz w:val="24"/>
              </w:rPr>
              <w:t xml:space="preserve"> </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分析师会议</w:t>
            </w:r>
          </w:p>
          <w:p w14:paraId="46BF9C0A">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媒体采访</w:t>
            </w:r>
            <w:r>
              <w:rPr>
                <w:kern w:val="0"/>
                <w:sz w:val="24"/>
              </w:rPr>
              <w:t xml:space="preserve">            </w:t>
            </w:r>
            <w:r>
              <w:rPr>
                <w:rFonts w:hint="eastAsia"/>
                <w:bCs/>
                <w:iCs/>
                <w:color w:val="000000"/>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业绩说明会</w:t>
            </w:r>
          </w:p>
          <w:p w14:paraId="3FD20F5D">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rFonts w:hint="eastAsia"/>
                <w:kern w:val="0"/>
                <w:sz w:val="24"/>
              </w:rPr>
              <w:t xml:space="preserve">   </w:t>
            </w:r>
            <w:r>
              <w:rPr>
                <w:kern w:val="0"/>
                <w:sz w:val="24"/>
              </w:rPr>
              <w:t xml:space="preserve"> </w:t>
            </w:r>
            <w:r>
              <w:rPr>
                <w:bCs/>
                <w:iCs/>
                <w:color w:val="000000"/>
                <w:kern w:val="0"/>
                <w:sz w:val="24"/>
              </w:rPr>
              <w:t xml:space="preserve">□ </w:t>
            </w:r>
            <w:r>
              <w:rPr>
                <w:rFonts w:hAnsi="宋体"/>
                <w:kern w:val="0"/>
                <w:sz w:val="24"/>
              </w:rPr>
              <w:t>路演活动</w:t>
            </w:r>
          </w:p>
          <w:p w14:paraId="78A4338E">
            <w:pPr>
              <w:tabs>
                <w:tab w:val="left" w:pos="3168"/>
                <w:tab w:val="center" w:pos="3199"/>
              </w:tabs>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现场参观</w:t>
            </w:r>
            <w:r>
              <w:rPr>
                <w:rFonts w:hint="eastAsia" w:hAnsi="宋体"/>
                <w:kern w:val="0"/>
                <w:sz w:val="24"/>
              </w:rPr>
              <w:t xml:space="preserve">             </w:t>
            </w:r>
            <w:r>
              <w:rPr>
                <w:bCs/>
                <w:iCs/>
                <w:color w:val="000000"/>
                <w:kern w:val="0"/>
                <w:sz w:val="24"/>
              </w:rPr>
              <w:t xml:space="preserve">√ </w:t>
            </w:r>
            <w:r>
              <w:rPr>
                <w:rFonts w:hint="eastAsia"/>
                <w:bCs/>
                <w:iCs/>
                <w:color w:val="000000"/>
                <w:kern w:val="0"/>
                <w:sz w:val="24"/>
              </w:rPr>
              <w:t>券商策略会</w:t>
            </w:r>
          </w:p>
          <w:p w14:paraId="4E5AC772">
            <w:pPr>
              <w:tabs>
                <w:tab w:val="center" w:pos="3199"/>
              </w:tabs>
              <w:spacing w:line="420" w:lineRule="exact"/>
              <w:rPr>
                <w:bCs/>
                <w:iCs/>
                <w:color w:val="000000"/>
                <w:sz w:val="24"/>
              </w:rPr>
            </w:pPr>
            <w:r>
              <w:rPr>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r>
              <w:rPr>
                <w:rFonts w:hint="eastAsia" w:hAnsi="宋体"/>
                <w:kern w:val="0"/>
                <w:sz w:val="24"/>
              </w:rPr>
              <w:t>SEMICON展会）</w:t>
            </w:r>
          </w:p>
        </w:tc>
      </w:tr>
      <w:tr w14:paraId="3E10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6990620F">
            <w:pPr>
              <w:spacing w:line="420" w:lineRule="exact"/>
              <w:rPr>
                <w:bCs/>
                <w:iCs/>
                <w:color w:val="000000"/>
                <w:kern w:val="0"/>
                <w:sz w:val="24"/>
              </w:rPr>
            </w:pPr>
            <w:r>
              <w:rPr>
                <w:rFonts w:hAnsi="宋体"/>
                <w:bCs/>
                <w:iCs/>
                <w:color w:val="000000"/>
                <w:kern w:val="0"/>
                <w:sz w:val="24"/>
              </w:rPr>
              <w:t>参与</w:t>
            </w:r>
            <w:r>
              <w:rPr>
                <w:rFonts w:hint="eastAsia" w:hAnsi="宋体"/>
                <w:bCs/>
                <w:iCs/>
                <w:color w:val="000000"/>
                <w:kern w:val="0"/>
                <w:sz w:val="24"/>
              </w:rPr>
              <w:t>机构</w:t>
            </w:r>
          </w:p>
        </w:tc>
        <w:tc>
          <w:tcPr>
            <w:tcW w:w="6847" w:type="dxa"/>
            <w:tcBorders>
              <w:top w:val="single" w:color="auto" w:sz="4" w:space="0"/>
              <w:left w:val="single" w:color="auto" w:sz="4" w:space="0"/>
              <w:bottom w:val="single" w:color="auto" w:sz="4" w:space="0"/>
              <w:right w:val="single" w:color="auto" w:sz="4" w:space="0"/>
            </w:tcBorders>
          </w:tcPr>
          <w:p w14:paraId="76243405">
            <w:pPr>
              <w:spacing w:line="420" w:lineRule="exact"/>
              <w:rPr>
                <w:bCs/>
                <w:iCs/>
                <w:color w:val="000000"/>
                <w:sz w:val="24"/>
              </w:rPr>
            </w:pPr>
            <w:r>
              <w:rPr>
                <w:rFonts w:hint="eastAsia"/>
                <w:bCs/>
                <w:iCs/>
                <w:color w:val="000000"/>
                <w:sz w:val="24"/>
              </w:rPr>
              <w:t>PNB、Tundra Fonder、LyGH Capital、Maybank IB、HTI、HSBC、</w:t>
            </w:r>
          </w:p>
          <w:p w14:paraId="7F2BF373">
            <w:pPr>
              <w:spacing w:line="420" w:lineRule="exact"/>
              <w:rPr>
                <w:bCs/>
                <w:iCs/>
                <w:color w:val="000000"/>
                <w:sz w:val="24"/>
              </w:rPr>
            </w:pPr>
            <w:r>
              <w:rPr>
                <w:rFonts w:hint="eastAsia"/>
                <w:bCs/>
                <w:iCs/>
                <w:color w:val="000000"/>
                <w:sz w:val="24"/>
              </w:rPr>
              <w:t>IKARIA、Pinpoint、UG</w:t>
            </w:r>
          </w:p>
          <w:p w14:paraId="59378433">
            <w:pPr>
              <w:spacing w:line="420" w:lineRule="exact"/>
              <w:rPr>
                <w:rFonts w:hint="default" w:eastAsia="宋体"/>
                <w:bCs/>
                <w:iCs/>
                <w:color w:val="000000"/>
                <w:sz w:val="24"/>
                <w:lang w:val="en-US" w:eastAsia="zh-CN"/>
              </w:rPr>
            </w:pPr>
            <w:r>
              <w:rPr>
                <w:rFonts w:hint="eastAsia"/>
                <w:bCs/>
                <w:iCs/>
                <w:color w:val="000000"/>
                <w:sz w:val="24"/>
              </w:rPr>
              <w:t>申万菱信基金、宝盈基金、博时基金、平安基金、兴合基金、</w:t>
            </w:r>
            <w:r>
              <w:rPr>
                <w:rFonts w:hint="eastAsia"/>
                <w:bCs/>
                <w:iCs/>
                <w:color w:val="000000"/>
                <w:sz w:val="24"/>
                <w:lang w:val="en-US" w:eastAsia="zh-CN"/>
              </w:rPr>
              <w:t>华夏基金、华兴新经济基金、</w:t>
            </w:r>
            <w:r>
              <w:rPr>
                <w:rFonts w:hint="eastAsia"/>
                <w:bCs/>
                <w:iCs/>
                <w:color w:val="000000"/>
                <w:sz w:val="24"/>
              </w:rPr>
              <w:t>广发证券、长江证券、中信建投证券、</w:t>
            </w:r>
            <w:r>
              <w:rPr>
                <w:rFonts w:hint="eastAsia"/>
                <w:bCs/>
                <w:iCs/>
                <w:color w:val="000000"/>
                <w:sz w:val="24"/>
                <w:lang w:val="en-US" w:eastAsia="zh-CN"/>
              </w:rPr>
              <w:t>国泰君安证券、</w:t>
            </w:r>
            <w:r>
              <w:rPr>
                <w:rFonts w:hint="eastAsia"/>
                <w:bCs/>
                <w:iCs/>
                <w:color w:val="000000"/>
                <w:sz w:val="24"/>
              </w:rPr>
              <w:t>浙商证券、东北证券、西南证券、西部证券、华西证券、</w:t>
            </w:r>
            <w:r>
              <w:rPr>
                <w:rFonts w:hint="eastAsia"/>
                <w:bCs/>
                <w:iCs/>
                <w:color w:val="000000"/>
                <w:sz w:val="24"/>
                <w:lang w:val="en-US" w:eastAsia="zh-CN"/>
              </w:rPr>
              <w:t>华福证券、</w:t>
            </w:r>
            <w:r>
              <w:rPr>
                <w:rFonts w:hint="eastAsia"/>
                <w:bCs/>
                <w:iCs/>
                <w:color w:val="000000"/>
                <w:sz w:val="24"/>
              </w:rPr>
              <w:t>华创证券、国信证券、首创证券、东证资管、汇丰晋信基金、安联基金、华富基金、中银基金、兴银基金、长盛基金、信达澳银基金、农银人寿、钦沐资管、盘京投资、中金资管、新华资产</w:t>
            </w:r>
            <w:r>
              <w:rPr>
                <w:rFonts w:hint="eastAsia"/>
                <w:bCs/>
                <w:iCs/>
                <w:color w:val="000000"/>
                <w:sz w:val="24"/>
                <w:lang w:eastAsia="zh-CN"/>
              </w:rPr>
              <w:t>、</w:t>
            </w:r>
            <w:r>
              <w:rPr>
                <w:rFonts w:hint="eastAsia"/>
                <w:bCs/>
                <w:iCs/>
                <w:color w:val="000000"/>
                <w:sz w:val="24"/>
                <w:lang w:val="en-US" w:eastAsia="zh-CN"/>
              </w:rPr>
              <w:t>东证资管</w:t>
            </w:r>
          </w:p>
        </w:tc>
      </w:tr>
      <w:tr w14:paraId="255A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2C1C0DBE">
            <w:pPr>
              <w:spacing w:line="420" w:lineRule="exact"/>
              <w:rPr>
                <w:bCs/>
                <w:iCs/>
                <w:color w:val="000000"/>
                <w:kern w:val="0"/>
                <w:sz w:val="24"/>
              </w:rPr>
            </w:pPr>
            <w:r>
              <w:rPr>
                <w:rFonts w:hAnsi="宋体"/>
                <w:bCs/>
                <w:iCs/>
                <w:color w:val="000000"/>
                <w:kern w:val="0"/>
                <w:sz w:val="24"/>
              </w:rPr>
              <w:t>时间</w:t>
            </w:r>
          </w:p>
        </w:tc>
        <w:tc>
          <w:tcPr>
            <w:tcW w:w="6847" w:type="dxa"/>
            <w:tcBorders>
              <w:top w:val="single" w:color="auto" w:sz="4" w:space="0"/>
              <w:left w:val="single" w:color="auto" w:sz="4" w:space="0"/>
              <w:bottom w:val="single" w:color="auto" w:sz="4" w:space="0"/>
              <w:right w:val="single" w:color="auto" w:sz="4" w:space="0"/>
            </w:tcBorders>
          </w:tcPr>
          <w:p w14:paraId="4B4807AB">
            <w:pPr>
              <w:spacing w:line="420" w:lineRule="exact"/>
              <w:rPr>
                <w:rFonts w:hint="default" w:eastAsia="宋体"/>
                <w:bCs/>
                <w:iCs/>
                <w:color w:val="000000"/>
                <w:sz w:val="24"/>
                <w:lang w:val="en-US" w:eastAsia="zh-CN"/>
              </w:rPr>
            </w:pPr>
            <w:r>
              <w:rPr>
                <w:rFonts w:hint="eastAsia"/>
                <w:bCs/>
                <w:iCs/>
                <w:color w:val="000000"/>
                <w:sz w:val="24"/>
              </w:rPr>
              <w:t>2026年4</w:t>
            </w:r>
            <w:r>
              <w:rPr>
                <w:rFonts w:hint="eastAsia"/>
                <w:bCs/>
                <w:iCs/>
                <w:color w:val="000000"/>
                <w:sz w:val="24"/>
                <w:lang w:val="en-US" w:eastAsia="zh-CN"/>
              </w:rPr>
              <w:t>月至8月</w:t>
            </w:r>
            <w:bookmarkStart w:id="0" w:name="_GoBack"/>
            <w:bookmarkEnd w:id="0"/>
          </w:p>
        </w:tc>
      </w:tr>
      <w:tr w14:paraId="41DC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2DA3DC85">
            <w:pPr>
              <w:spacing w:line="420" w:lineRule="exact"/>
              <w:rPr>
                <w:bCs/>
                <w:iCs/>
                <w:color w:val="000000"/>
                <w:kern w:val="0"/>
                <w:sz w:val="24"/>
              </w:rPr>
            </w:pPr>
            <w:r>
              <w:rPr>
                <w:rFonts w:hAnsi="宋体"/>
                <w:bCs/>
                <w:iCs/>
                <w:color w:val="000000"/>
                <w:kern w:val="0"/>
                <w:sz w:val="24"/>
              </w:rPr>
              <w:t>地点</w:t>
            </w:r>
          </w:p>
        </w:tc>
        <w:tc>
          <w:tcPr>
            <w:tcW w:w="6847" w:type="dxa"/>
            <w:tcBorders>
              <w:top w:val="single" w:color="auto" w:sz="4" w:space="0"/>
              <w:left w:val="single" w:color="auto" w:sz="4" w:space="0"/>
              <w:bottom w:val="single" w:color="auto" w:sz="4" w:space="0"/>
              <w:right w:val="single" w:color="auto" w:sz="4" w:space="0"/>
            </w:tcBorders>
          </w:tcPr>
          <w:p w14:paraId="024F9391">
            <w:pPr>
              <w:spacing w:line="420" w:lineRule="exact"/>
              <w:rPr>
                <w:bCs/>
                <w:iCs/>
                <w:color w:val="000000"/>
                <w:sz w:val="24"/>
              </w:rPr>
            </w:pPr>
            <w:r>
              <w:rPr>
                <w:rFonts w:hint="eastAsia"/>
                <w:bCs/>
                <w:iCs/>
                <w:color w:val="000000"/>
                <w:sz w:val="24"/>
              </w:rPr>
              <w:t>现场会议、线上会议</w:t>
            </w:r>
          </w:p>
        </w:tc>
      </w:tr>
      <w:tr w14:paraId="2E06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4E9C99D8">
            <w:pPr>
              <w:spacing w:line="420" w:lineRule="exact"/>
              <w:rPr>
                <w:bCs/>
                <w:iCs/>
                <w:color w:val="000000"/>
                <w:kern w:val="0"/>
                <w:sz w:val="24"/>
              </w:rPr>
            </w:pPr>
            <w:r>
              <w:rPr>
                <w:rFonts w:hAnsi="宋体"/>
                <w:bCs/>
                <w:iCs/>
                <w:color w:val="000000"/>
                <w:kern w:val="0"/>
                <w:sz w:val="24"/>
              </w:rPr>
              <w:t>上市公司接待人员姓名</w:t>
            </w:r>
          </w:p>
        </w:tc>
        <w:tc>
          <w:tcPr>
            <w:tcW w:w="6847" w:type="dxa"/>
            <w:tcBorders>
              <w:top w:val="single" w:color="auto" w:sz="4" w:space="0"/>
              <w:left w:val="single" w:color="auto" w:sz="4" w:space="0"/>
              <w:bottom w:val="single" w:color="auto" w:sz="4" w:space="0"/>
              <w:right w:val="single" w:color="auto" w:sz="4" w:space="0"/>
            </w:tcBorders>
            <w:vAlign w:val="center"/>
          </w:tcPr>
          <w:p w14:paraId="68C6CF2E">
            <w:pPr>
              <w:spacing w:line="420" w:lineRule="exact"/>
              <w:rPr>
                <w:rFonts w:hint="eastAsia" w:ascii="宋体" w:hAnsi="宋体"/>
                <w:bCs/>
                <w:sz w:val="24"/>
              </w:rPr>
            </w:pPr>
            <w:r>
              <w:rPr>
                <w:rFonts w:hint="eastAsia" w:ascii="宋体" w:hAnsi="宋体"/>
                <w:bCs/>
                <w:sz w:val="24"/>
              </w:rPr>
              <w:t>董事长蒋渊、独立董事颜恩点、财务总监丁炯、董秘任慕华、</w:t>
            </w:r>
            <w:r>
              <w:rPr>
                <w:rFonts w:ascii="宋体" w:hAnsi="宋体"/>
                <w:bCs/>
                <w:sz w:val="24"/>
              </w:rPr>
              <w:t>证代张娟</w:t>
            </w:r>
          </w:p>
        </w:tc>
      </w:tr>
      <w:tr w14:paraId="29F7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5D506A2B">
            <w:pPr>
              <w:spacing w:line="420" w:lineRule="exact"/>
              <w:rPr>
                <w:bCs/>
                <w:iCs/>
                <w:color w:val="000000"/>
                <w:kern w:val="0"/>
                <w:sz w:val="24"/>
              </w:rPr>
            </w:pPr>
            <w:r>
              <w:rPr>
                <w:rFonts w:hAnsi="宋体"/>
                <w:bCs/>
                <w:iCs/>
                <w:color w:val="000000"/>
                <w:kern w:val="0"/>
                <w:sz w:val="24"/>
              </w:rPr>
              <w:t>投资者关系活动主要内容介绍</w:t>
            </w:r>
          </w:p>
          <w:p w14:paraId="7105CB36">
            <w:pPr>
              <w:spacing w:line="420" w:lineRule="exact"/>
              <w:rPr>
                <w:bCs/>
                <w:iCs/>
                <w:color w:val="000000"/>
                <w:sz w:val="24"/>
              </w:rPr>
            </w:pPr>
          </w:p>
        </w:tc>
        <w:tc>
          <w:tcPr>
            <w:tcW w:w="6847" w:type="dxa"/>
            <w:tcBorders>
              <w:top w:val="single" w:color="auto" w:sz="4" w:space="0"/>
              <w:left w:val="single" w:color="auto" w:sz="4" w:space="0"/>
              <w:bottom w:val="single" w:color="auto" w:sz="4" w:space="0"/>
              <w:right w:val="single" w:color="auto" w:sz="4" w:space="0"/>
            </w:tcBorders>
          </w:tcPr>
          <w:p w14:paraId="6EA248F6">
            <w:pPr>
              <w:pStyle w:val="14"/>
              <w:numPr>
                <w:ilvl w:val="0"/>
                <w:numId w:val="1"/>
              </w:numPr>
              <w:spacing w:before="156" w:beforeLines="50" w:line="360" w:lineRule="auto"/>
              <w:ind w:left="818" w:hanging="567" w:firstLineChars="0"/>
              <w:rPr>
                <w:rFonts w:hint="eastAsia" w:ascii="宋体" w:hAnsi="宋体"/>
                <w:b/>
                <w:bCs/>
                <w:sz w:val="24"/>
              </w:rPr>
            </w:pPr>
            <w:r>
              <w:rPr>
                <w:rFonts w:hint="eastAsia" w:ascii="宋体" w:hAnsi="宋体"/>
                <w:b/>
                <w:bCs/>
                <w:sz w:val="24"/>
              </w:rPr>
              <w:t>交流的主要问题及回复概要</w:t>
            </w:r>
          </w:p>
          <w:p w14:paraId="6E3BFCF3">
            <w:pPr>
              <w:numPr>
                <w:ilvl w:val="0"/>
                <w:numId w:val="2"/>
              </w:numPr>
              <w:spacing w:line="360" w:lineRule="auto"/>
              <w:jc w:val="left"/>
              <w:rPr>
                <w:rFonts w:hint="eastAsia" w:ascii="宋体" w:hAnsi="宋体"/>
                <w:b/>
                <w:bCs/>
                <w:sz w:val="24"/>
              </w:rPr>
            </w:pPr>
            <w:r>
              <w:rPr>
                <w:rFonts w:hint="eastAsia" w:ascii="宋体" w:hAnsi="宋体"/>
                <w:b/>
                <w:bCs/>
                <w:sz w:val="24"/>
              </w:rPr>
              <w:t>公司目前业绩承压的原因具体是什么？</w:t>
            </w:r>
          </w:p>
          <w:p w14:paraId="41CDB66A">
            <w:pPr>
              <w:spacing w:line="360" w:lineRule="auto"/>
              <w:ind w:firstLine="420"/>
              <w:jc w:val="left"/>
              <w:rPr>
                <w:rFonts w:hint="eastAsia" w:ascii="宋体" w:hAnsi="宋体" w:cs="宋体"/>
                <w:sz w:val="24"/>
              </w:rPr>
            </w:pPr>
            <w:r>
              <w:rPr>
                <w:rFonts w:hint="eastAsia" w:ascii="宋体" w:hAnsi="宋体"/>
                <w:sz w:val="24"/>
              </w:rPr>
              <w:t>答：</w:t>
            </w:r>
            <w:r>
              <w:rPr>
                <w:rFonts w:hint="eastAsia" w:ascii="宋体" w:hAnsi="宋体" w:cs="宋体"/>
                <w:sz w:val="24"/>
              </w:rPr>
              <w:t>公司目前业绩承压的</w:t>
            </w:r>
            <w:r>
              <w:rPr>
                <w:rFonts w:ascii="宋体" w:hAnsi="宋体" w:cs="宋体"/>
                <w:sz w:val="24"/>
              </w:rPr>
              <w:t>主要原因为部分项目进度及交付情况未达到收入确认的标准，收入规模</w:t>
            </w:r>
            <w:r>
              <w:rPr>
                <w:rFonts w:hint="eastAsia" w:ascii="宋体" w:hAnsi="宋体" w:cs="宋体"/>
                <w:sz w:val="24"/>
              </w:rPr>
              <w:t>有所</w:t>
            </w:r>
            <w:r>
              <w:rPr>
                <w:rFonts w:ascii="宋体" w:hAnsi="宋体" w:cs="宋体"/>
                <w:sz w:val="24"/>
              </w:rPr>
              <w:t>下滑</w:t>
            </w:r>
            <w:r>
              <w:rPr>
                <w:rFonts w:hint="eastAsia" w:ascii="宋体" w:hAnsi="宋体" w:cs="宋体"/>
                <w:sz w:val="24"/>
              </w:rPr>
              <w:t>，</w:t>
            </w:r>
            <w:r>
              <w:rPr>
                <w:rFonts w:ascii="宋体" w:hAnsi="宋体" w:cs="宋体"/>
                <w:sz w:val="24"/>
              </w:rPr>
              <w:t>期间费用</w:t>
            </w:r>
            <w:r>
              <w:rPr>
                <w:rFonts w:hint="eastAsia" w:ascii="宋体" w:hAnsi="宋体" w:cs="宋体"/>
                <w:sz w:val="24"/>
              </w:rPr>
              <w:t>、成本及投入</w:t>
            </w:r>
            <w:r>
              <w:rPr>
                <w:rFonts w:ascii="宋体" w:hAnsi="宋体" w:cs="宋体"/>
                <w:sz w:val="24"/>
              </w:rPr>
              <w:t>有所增长</w:t>
            </w:r>
            <w:r>
              <w:rPr>
                <w:rFonts w:hint="eastAsia" w:ascii="宋体" w:hAnsi="宋体" w:cs="宋体"/>
                <w:sz w:val="24"/>
              </w:rPr>
              <w:t>。</w:t>
            </w:r>
          </w:p>
          <w:p w14:paraId="2371FA66">
            <w:pPr>
              <w:spacing w:line="360" w:lineRule="auto"/>
              <w:ind w:firstLine="420"/>
              <w:jc w:val="left"/>
              <w:rPr>
                <w:rFonts w:hint="eastAsia" w:ascii="宋体" w:hAnsi="宋体" w:cs="宋体"/>
                <w:sz w:val="24"/>
              </w:rPr>
            </w:pPr>
          </w:p>
          <w:p w14:paraId="1B4DB01E">
            <w:pPr>
              <w:numPr>
                <w:ilvl w:val="0"/>
                <w:numId w:val="2"/>
              </w:numPr>
              <w:spacing w:line="360" w:lineRule="auto"/>
              <w:jc w:val="left"/>
              <w:rPr>
                <w:rFonts w:hint="eastAsia" w:ascii="宋体" w:hAnsi="宋体"/>
                <w:b/>
                <w:bCs/>
                <w:sz w:val="24"/>
              </w:rPr>
            </w:pPr>
            <w:r>
              <w:rPr>
                <w:rFonts w:hint="eastAsia" w:ascii="宋体" w:hAnsi="宋体"/>
                <w:b/>
                <w:bCs/>
                <w:sz w:val="24"/>
              </w:rPr>
              <w:t>公司将从哪些方面强化盈利与现金流管理、改善经营性现金流水平？</w:t>
            </w:r>
          </w:p>
          <w:p w14:paraId="7D060AB1">
            <w:pPr>
              <w:spacing w:line="360" w:lineRule="auto"/>
              <w:ind w:firstLine="420"/>
              <w:jc w:val="left"/>
              <w:rPr>
                <w:rFonts w:hint="eastAsia" w:ascii="宋体" w:hAnsi="宋体"/>
                <w:sz w:val="24"/>
              </w:rPr>
            </w:pPr>
            <w:r>
              <w:rPr>
                <w:rFonts w:hint="eastAsia" w:ascii="宋体" w:hAnsi="宋体"/>
                <w:sz w:val="24"/>
              </w:rPr>
              <w:t>答：</w:t>
            </w:r>
            <w:r>
              <w:rPr>
                <w:rFonts w:hint="eastAsia" w:ascii="宋体" w:hAnsi="宋体"/>
                <w:sz w:val="24"/>
                <w:highlight w:val="none"/>
              </w:rPr>
              <w:t>公司上市以来，经营性现金流入随着收入增长</w:t>
            </w:r>
            <w:r>
              <w:rPr>
                <w:rFonts w:hint="eastAsia" w:ascii="宋体" w:hAnsi="宋体"/>
                <w:sz w:val="24"/>
                <w:highlight w:val="none"/>
                <w:lang w:eastAsia="zh-CN"/>
              </w:rPr>
              <w:t>，</w:t>
            </w:r>
            <w:r>
              <w:rPr>
                <w:rFonts w:hint="eastAsia" w:ascii="宋体" w:hAnsi="宋体"/>
                <w:sz w:val="24"/>
                <w:highlight w:val="none"/>
              </w:rPr>
              <w:t>下游用户的质量</w:t>
            </w:r>
            <w:r>
              <w:rPr>
                <w:rFonts w:hint="eastAsia" w:ascii="宋体" w:hAnsi="宋体"/>
                <w:sz w:val="24"/>
                <w:highlight w:val="none"/>
                <w:lang w:val="en-US" w:eastAsia="zh-CN"/>
              </w:rPr>
              <w:t>极</w:t>
            </w:r>
            <w:r>
              <w:rPr>
                <w:rFonts w:hint="eastAsia" w:ascii="宋体" w:hAnsi="宋体"/>
                <w:sz w:val="24"/>
                <w:highlight w:val="none"/>
              </w:rPr>
              <w:t>高。公司经营性现金流主要受战略投入的影响。经过前期高强度的研发投入、产能建设和长交期备库，加上订单饱满，公司经营性现金流一直处于承压态势。管理层将资源配置的优先级向核心业务和现金回报明确的领域倾斜，更审慎评估</w:t>
            </w:r>
            <w:r>
              <w:rPr>
                <w:rFonts w:hint="eastAsia" w:ascii="宋体" w:hAnsi="宋体"/>
                <w:sz w:val="24"/>
              </w:rPr>
              <w:t>新增资本开支项目的投入产出周期。在回款管理方面，公司将在维持与核心客户战略合作关系的前提下，加强应收账款的全过程管理，加大回款与业绩挂钩的考核力度，缩短回款周期，提升资金周转效率，为企业的稳健运营提供更充裕的流动性保障。</w:t>
            </w:r>
          </w:p>
          <w:p w14:paraId="652B0E93">
            <w:pPr>
              <w:spacing w:line="360" w:lineRule="auto"/>
              <w:ind w:firstLine="360" w:firstLineChars="150"/>
              <w:jc w:val="left"/>
              <w:rPr>
                <w:rFonts w:hint="eastAsia" w:ascii="宋体" w:hAnsi="宋体"/>
                <w:sz w:val="24"/>
              </w:rPr>
            </w:pPr>
          </w:p>
          <w:p w14:paraId="7E531FD7">
            <w:pPr>
              <w:numPr>
                <w:ilvl w:val="0"/>
                <w:numId w:val="2"/>
              </w:numPr>
              <w:spacing w:line="360" w:lineRule="auto"/>
              <w:jc w:val="left"/>
              <w:rPr>
                <w:rFonts w:hint="eastAsia" w:ascii="宋体" w:hAnsi="宋体"/>
                <w:b/>
                <w:bCs/>
                <w:sz w:val="24"/>
              </w:rPr>
            </w:pPr>
            <w:r>
              <w:rPr>
                <w:rFonts w:hint="eastAsia" w:ascii="宋体" w:hAnsi="宋体"/>
                <w:b/>
                <w:bCs/>
                <w:sz w:val="24"/>
              </w:rPr>
              <w:t>请问公司计划通过哪些具体管理举措完善治理经营体系、防范经营风险？</w:t>
            </w:r>
          </w:p>
          <w:p w14:paraId="7BDA22FB">
            <w:pPr>
              <w:spacing w:line="360" w:lineRule="auto"/>
              <w:ind w:firstLine="420"/>
              <w:jc w:val="left"/>
              <w:rPr>
                <w:rFonts w:hint="eastAsia" w:ascii="宋体" w:hAnsi="宋体"/>
                <w:sz w:val="24"/>
              </w:rPr>
            </w:pPr>
            <w:r>
              <w:rPr>
                <w:rFonts w:hint="eastAsia" w:ascii="宋体" w:hAnsi="宋体"/>
                <w:sz w:val="24"/>
              </w:rPr>
              <w:t>答：</w:t>
            </w:r>
            <w:r>
              <w:rPr>
                <w:rFonts w:hint="eastAsia" w:ascii="宋体" w:hAnsi="宋体"/>
                <w:sz w:val="24"/>
                <w:highlight w:val="none"/>
              </w:rPr>
              <w:t>公司将持续在公司治理、经营和管理的层面做好系统建设工作。工作将落实在围绕企业战略主线完善与优化组织架构，加强健全内控管理体系，以用户为中心优化业务流程和资源配置，实现稳健经营、提高经营效益、防范化解风险、确保健康发展。通过制度化、流程化的管理手段，加强组织能力建设，更加警惕外部干扰，为经营保驾护航，为股东创</w:t>
            </w:r>
            <w:r>
              <w:rPr>
                <w:rFonts w:hint="eastAsia" w:ascii="宋体" w:hAnsi="宋体"/>
                <w:sz w:val="24"/>
              </w:rPr>
              <w:t>造可持续的长期价值。</w:t>
            </w:r>
          </w:p>
          <w:p w14:paraId="104D82F1">
            <w:pPr>
              <w:spacing w:line="360" w:lineRule="auto"/>
              <w:ind w:firstLine="420"/>
              <w:jc w:val="left"/>
              <w:rPr>
                <w:rFonts w:hint="eastAsia" w:ascii="宋体" w:hAnsi="宋体"/>
                <w:sz w:val="24"/>
              </w:rPr>
            </w:pPr>
          </w:p>
          <w:p w14:paraId="1764FF0F">
            <w:pPr>
              <w:numPr>
                <w:ilvl w:val="0"/>
                <w:numId w:val="2"/>
              </w:numPr>
              <w:spacing w:line="360" w:lineRule="auto"/>
              <w:ind w:left="0" w:firstLine="0"/>
              <w:jc w:val="left"/>
              <w:rPr>
                <w:rFonts w:hint="eastAsia" w:ascii="宋体" w:hAnsi="宋体"/>
                <w:b/>
                <w:bCs/>
                <w:sz w:val="24"/>
              </w:rPr>
            </w:pPr>
            <w:r>
              <w:rPr>
                <w:rFonts w:ascii="宋体" w:hAnsi="宋体"/>
                <w:b/>
                <w:bCs/>
                <w:sz w:val="24"/>
              </w:rPr>
              <w:t>公司近年来持续保持高强度研发投入，能否介绍一下近年研发投入的整体规模、主要投向，以及这些投入带来的实际效果？</w:t>
            </w:r>
          </w:p>
          <w:p w14:paraId="051D0FA4">
            <w:pPr>
              <w:spacing w:line="360" w:lineRule="auto"/>
              <w:ind w:firstLine="420"/>
              <w:jc w:val="left"/>
              <w:rPr>
                <w:rFonts w:hint="eastAsia" w:ascii="宋体" w:hAnsi="宋体"/>
                <w:sz w:val="24"/>
              </w:rPr>
            </w:pPr>
            <w:r>
              <w:rPr>
                <w:rFonts w:hint="eastAsia" w:ascii="宋体" w:hAnsi="宋体"/>
                <w:sz w:val="24"/>
              </w:rPr>
              <w:t>答：公司近年来研发投入从2017年的0.13亿元跃升至2025年的3.5亿元</w:t>
            </w:r>
            <w:r>
              <w:rPr>
                <w:rFonts w:hint="eastAsia" w:ascii="宋体" w:hAnsi="宋体"/>
                <w:sz w:val="24"/>
                <w:highlight w:val="none"/>
              </w:rPr>
              <w:t>，过去五年累计研发投入</w:t>
            </w:r>
            <w:r>
              <w:rPr>
                <w:rFonts w:hint="eastAsia" w:ascii="宋体" w:hAnsi="宋体"/>
                <w:sz w:val="24"/>
                <w:highlight w:val="none"/>
                <w:lang w:val="en-US" w:eastAsia="zh-CN"/>
              </w:rPr>
              <w:t>超过16</w:t>
            </w:r>
            <w:r>
              <w:rPr>
                <w:rFonts w:hint="eastAsia" w:ascii="宋体" w:hAnsi="宋体"/>
                <w:sz w:val="24"/>
                <w:highlight w:val="none"/>
              </w:rPr>
              <w:t>亿元，主要用于先进制程设备的研发以及核心供应链研发。高强度的研发投入确保了公司在集成电路领域主营业务相关的技术上能够响应并支持到国内晶圆厂的工艺升级需求。公司产品能力上目前是国内在湿法设备工艺覆盖最全的，</w:t>
            </w:r>
            <w:r>
              <w:rPr>
                <w:rFonts w:hint="eastAsia" w:ascii="宋体" w:hAnsi="宋体"/>
                <w:sz w:val="24"/>
                <w:highlight w:val="none"/>
                <w:lang w:val="en-US" w:eastAsia="zh-CN"/>
              </w:rPr>
              <w:t>公司</w:t>
            </w:r>
            <w:r>
              <w:rPr>
                <w:rFonts w:hint="eastAsia" w:ascii="宋体" w:hAnsi="宋体"/>
                <w:sz w:val="24"/>
                <w:highlight w:val="none"/>
              </w:rPr>
              <w:t>正努力尽快上量。</w:t>
            </w:r>
          </w:p>
          <w:p w14:paraId="72302EAC">
            <w:pPr>
              <w:spacing w:line="360" w:lineRule="auto"/>
              <w:ind w:firstLine="420"/>
              <w:jc w:val="left"/>
              <w:rPr>
                <w:rFonts w:hint="eastAsia" w:ascii="宋体" w:hAnsi="宋体"/>
                <w:sz w:val="24"/>
              </w:rPr>
            </w:pPr>
          </w:p>
          <w:p w14:paraId="786A42D3">
            <w:pPr>
              <w:numPr>
                <w:ilvl w:val="0"/>
                <w:numId w:val="2"/>
              </w:numPr>
              <w:spacing w:line="360" w:lineRule="auto"/>
              <w:jc w:val="left"/>
              <w:rPr>
                <w:rFonts w:hint="eastAsia" w:ascii="宋体" w:hAnsi="宋体"/>
                <w:b/>
                <w:bCs/>
                <w:sz w:val="24"/>
              </w:rPr>
            </w:pPr>
            <w:r>
              <w:rPr>
                <w:rFonts w:hint="eastAsia" w:ascii="宋体" w:hAnsi="宋体"/>
                <w:b/>
                <w:bCs/>
                <w:sz w:val="24"/>
              </w:rPr>
              <w:t>公司下一阶段整体经营发展的核心思路与主要方向是什么？</w:t>
            </w:r>
          </w:p>
          <w:p w14:paraId="20B46AF6">
            <w:pPr>
              <w:spacing w:line="360" w:lineRule="auto"/>
              <w:ind w:firstLine="420"/>
              <w:jc w:val="left"/>
              <w:rPr>
                <w:rFonts w:hint="eastAsia" w:ascii="宋体" w:hAnsi="宋体"/>
                <w:sz w:val="24"/>
              </w:rPr>
            </w:pPr>
            <w:r>
              <w:rPr>
                <w:rFonts w:hint="eastAsia" w:ascii="宋体" w:hAnsi="宋体"/>
                <w:sz w:val="24"/>
              </w:rPr>
              <w:t>答：2026年年度公司重点任务聚焦三大方向：一是推动高阶清洗设备的放量，实现从客户验证向规模化交付的关键跃迁；二是全面加强应收账款回收与经营性现金流管理，改善财务结构的健康度；三是推进存量资产提效，提升资源配置效率与投入产出比。</w:t>
            </w:r>
          </w:p>
          <w:p w14:paraId="3AF0570E">
            <w:pPr>
              <w:spacing w:line="360" w:lineRule="auto"/>
              <w:ind w:firstLine="420"/>
              <w:jc w:val="left"/>
              <w:rPr>
                <w:rFonts w:hint="eastAsia" w:ascii="宋体" w:hAnsi="宋体"/>
                <w:sz w:val="24"/>
              </w:rPr>
            </w:pPr>
          </w:p>
          <w:p w14:paraId="6E8F4214">
            <w:pPr>
              <w:numPr>
                <w:ilvl w:val="0"/>
                <w:numId w:val="2"/>
              </w:numPr>
              <w:spacing w:line="360" w:lineRule="auto"/>
              <w:ind w:left="0" w:firstLine="0"/>
              <w:jc w:val="left"/>
              <w:rPr>
                <w:rFonts w:hint="eastAsia" w:ascii="宋体" w:hAnsi="宋体"/>
                <w:b/>
                <w:bCs/>
                <w:sz w:val="24"/>
              </w:rPr>
            </w:pPr>
            <w:r>
              <w:rPr>
                <w:rFonts w:ascii="宋体" w:hAnsi="宋体"/>
                <w:b/>
                <w:bCs/>
                <w:sz w:val="24"/>
              </w:rPr>
              <w:t>公司在电子材料及专业服务、电子大宗气体领域有哪些布局成果与业务进展？</w:t>
            </w:r>
          </w:p>
          <w:p w14:paraId="2D1CAFEC">
            <w:pPr>
              <w:spacing w:line="360" w:lineRule="auto"/>
              <w:ind w:firstLine="420"/>
              <w:jc w:val="left"/>
              <w:rPr>
                <w:rFonts w:hint="eastAsia" w:ascii="宋体" w:hAnsi="宋体"/>
                <w:sz w:val="24"/>
              </w:rPr>
            </w:pPr>
            <w:r>
              <w:rPr>
                <w:rFonts w:hint="eastAsia" w:ascii="宋体" w:hAnsi="宋体"/>
                <w:sz w:val="24"/>
              </w:rPr>
              <w:t>答：公司持续加速电子大宗气体领域布局，国内首座完全国产化、适配12英寸晶圆28纳米制</w:t>
            </w:r>
            <w:r>
              <w:rPr>
                <w:rFonts w:hint="eastAsia" w:ascii="宋体" w:hAnsi="宋体"/>
                <w:sz w:val="24"/>
                <w:highlight w:val="none"/>
              </w:rPr>
              <w:t>程及更先进制程的</w:t>
            </w:r>
            <w:r>
              <w:rPr>
                <w:rFonts w:hint="eastAsia" w:ascii="宋体" w:hAnsi="宋体"/>
                <w:sz w:val="24"/>
              </w:rPr>
              <w:t>半导体级大宗气体供应工厂稳定运行，打破国际厂商垄断，实现该制程国内自主大宗气站零突破。第二座大宗气站已投入运营并开始供气，后续将随客户产能释放带来稳定运营收入。</w:t>
            </w:r>
            <w:r>
              <w:rPr>
                <w:rFonts w:hint="eastAsia" w:ascii="宋体" w:hAnsi="宋体"/>
                <w:sz w:val="24"/>
                <w:highlight w:val="none"/>
              </w:rPr>
              <w:t>同期电子材料及服务收入同</w:t>
            </w:r>
            <w:r>
              <w:rPr>
                <w:rFonts w:hint="eastAsia" w:ascii="宋体" w:hAnsi="宋体"/>
                <w:sz w:val="24"/>
                <w:highlight w:val="none"/>
                <w:lang w:val="en-US" w:eastAsia="zh-CN"/>
              </w:rPr>
              <w:t>比</w:t>
            </w:r>
            <w:r>
              <w:rPr>
                <w:rFonts w:hint="eastAsia" w:ascii="宋体" w:hAnsi="宋体"/>
                <w:sz w:val="24"/>
                <w:highlight w:val="none"/>
              </w:rPr>
              <w:t>增长超过100%。同时公司TG</w:t>
            </w:r>
            <w:r>
              <w:rPr>
                <w:rFonts w:hint="eastAsia" w:ascii="宋体" w:hAnsi="宋体"/>
                <w:sz w:val="24"/>
              </w:rPr>
              <w:t>M、TCM驻厂服务有序推进，可为晶圆厂提供气体、化学品综合配套服务，腔体部件清洗业务已通过客户验证并逐步放量。</w:t>
            </w:r>
          </w:p>
          <w:p w14:paraId="41D5E52D">
            <w:pPr>
              <w:spacing w:line="360" w:lineRule="auto"/>
              <w:ind w:firstLine="420"/>
              <w:jc w:val="left"/>
              <w:rPr>
                <w:rFonts w:hint="eastAsia" w:ascii="宋体" w:hAnsi="宋体"/>
                <w:sz w:val="24"/>
              </w:rPr>
            </w:pPr>
          </w:p>
          <w:p w14:paraId="55D9014F">
            <w:pPr>
              <w:numPr>
                <w:ilvl w:val="0"/>
                <w:numId w:val="2"/>
              </w:numPr>
              <w:spacing w:line="360" w:lineRule="auto"/>
              <w:ind w:left="5" w:hanging="5"/>
              <w:jc w:val="left"/>
              <w:rPr>
                <w:rFonts w:hint="eastAsia" w:ascii="宋体" w:hAnsi="宋体"/>
                <w:b/>
                <w:bCs/>
                <w:sz w:val="24"/>
              </w:rPr>
            </w:pPr>
            <w:r>
              <w:rPr>
                <w:rFonts w:hint="eastAsia" w:ascii="宋体" w:hAnsi="宋体"/>
                <w:b/>
                <w:bCs/>
                <w:sz w:val="24"/>
              </w:rPr>
              <w:t>公司控股子公司至纯精密气体2025年的融资情况、战略合作意义以及对大宗气体业务带来哪些赋能？</w:t>
            </w:r>
          </w:p>
          <w:p w14:paraId="3DBC3F1C">
            <w:pPr>
              <w:spacing w:line="360" w:lineRule="auto"/>
              <w:ind w:firstLine="420"/>
              <w:jc w:val="left"/>
              <w:rPr>
                <w:rFonts w:hint="eastAsia" w:ascii="宋体" w:hAnsi="宋体"/>
                <w:sz w:val="24"/>
              </w:rPr>
            </w:pPr>
            <w:r>
              <w:rPr>
                <w:rFonts w:hint="eastAsia" w:ascii="宋体" w:hAnsi="宋体"/>
                <w:sz w:val="24"/>
              </w:rPr>
              <w:t>答：2025年至纯精密气体完成多轮融资，通过多轮融资引入梅塞尔中国、西海产投、正和共创、浙江国创、浦东智能智造基金、尚颀基金等优质投资者，以资本赋能加速电子大宗气体业务的产业化进程，累计获得融资6.25亿元，注册资本由1.38亿元增至1.67亿元。此次融资引入了全球工业气体巨头梅塞尔集团旗下的梅塞尔中国作为战略投资者，其不仅出资5,000万元，还与公司达成了战略合作协议，将在电子气体核心技术、全球供应链管理等方面输出成熟经验，尤其在气源保障如氦气等方面加强了能力，与公司的本土化服务能力、技术落地优势形成互补。资本的注入将显著增强至纯精密气体的资金实力，为其承接更多大型项目、深化技术研发、加速产能扩张提供坚实保障。公司正以"资本+产业"的双轮驱动模式，加速抢占电子大宗气体这一核心赛道，为国内晶圆厂提供更高纯度、更稳定、更具性价比的气体供应服务，进一步巩固公司在半导体关键材料领域的市场地位。</w:t>
            </w:r>
          </w:p>
          <w:p w14:paraId="73128D7D">
            <w:pPr>
              <w:spacing w:line="360" w:lineRule="auto"/>
              <w:ind w:firstLine="420"/>
              <w:jc w:val="left"/>
              <w:rPr>
                <w:rFonts w:hint="eastAsia" w:ascii="宋体" w:hAnsi="宋体"/>
                <w:sz w:val="24"/>
              </w:rPr>
            </w:pPr>
          </w:p>
          <w:p w14:paraId="2D752EB5">
            <w:pPr>
              <w:numPr>
                <w:ilvl w:val="0"/>
                <w:numId w:val="2"/>
              </w:numPr>
              <w:spacing w:line="360" w:lineRule="auto"/>
              <w:jc w:val="left"/>
              <w:rPr>
                <w:rFonts w:hint="eastAsia" w:ascii="宋体" w:hAnsi="宋体"/>
                <w:b/>
                <w:bCs/>
                <w:sz w:val="24"/>
              </w:rPr>
            </w:pPr>
            <w:r>
              <w:rPr>
                <w:rFonts w:ascii="宋体" w:hAnsi="宋体"/>
                <w:b/>
                <w:bCs/>
                <w:sz w:val="24"/>
              </w:rPr>
              <w:t>公司后续将如何避免同类会计差错再次发生？</w:t>
            </w:r>
          </w:p>
          <w:p w14:paraId="040E4C18">
            <w:pPr>
              <w:spacing w:line="360" w:lineRule="auto"/>
              <w:ind w:firstLine="420"/>
              <w:jc w:val="left"/>
              <w:rPr>
                <w:rFonts w:hint="eastAsia" w:ascii="宋体" w:hAnsi="宋体"/>
                <w:sz w:val="24"/>
              </w:rPr>
            </w:pPr>
            <w:r>
              <w:rPr>
                <w:rFonts w:hint="eastAsia" w:ascii="宋体" w:hAnsi="宋体"/>
                <w:sz w:val="24"/>
              </w:rPr>
              <w:t>答：公司将持续完善财务内控体系，严格执行企业会计准则及监管要求，强化会计核算与信息披露管理，加强业务与财务协同及专业培训，建立常态化复核与监督机制，全面提升财务治理水平。</w:t>
            </w:r>
          </w:p>
          <w:p w14:paraId="6845CE59">
            <w:pPr>
              <w:spacing w:line="360" w:lineRule="auto"/>
              <w:ind w:firstLine="420"/>
              <w:jc w:val="left"/>
              <w:rPr>
                <w:rFonts w:hint="eastAsia" w:ascii="宋体" w:hAnsi="宋体"/>
                <w:sz w:val="24"/>
              </w:rPr>
            </w:pPr>
          </w:p>
          <w:p w14:paraId="1FD554B9">
            <w:pPr>
              <w:numPr>
                <w:ilvl w:val="0"/>
                <w:numId w:val="2"/>
              </w:numPr>
              <w:spacing w:line="360" w:lineRule="auto"/>
              <w:ind w:left="0" w:firstLine="0"/>
              <w:jc w:val="left"/>
              <w:rPr>
                <w:rFonts w:hint="eastAsia" w:ascii="宋体" w:hAnsi="宋体"/>
                <w:b/>
                <w:bCs/>
                <w:sz w:val="24"/>
              </w:rPr>
            </w:pPr>
            <w:r>
              <w:rPr>
                <w:rFonts w:ascii="宋体" w:hAnsi="宋体"/>
                <w:b/>
                <w:bCs/>
                <w:sz w:val="24"/>
              </w:rPr>
              <w:t>相比</w:t>
            </w:r>
            <w:r>
              <w:rPr>
                <w:rFonts w:hint="eastAsia" w:ascii="宋体" w:hAnsi="宋体"/>
                <w:b/>
                <w:bCs/>
                <w:sz w:val="24"/>
              </w:rPr>
              <w:t>上一年度，目前</w:t>
            </w:r>
            <w:r>
              <w:rPr>
                <w:rFonts w:ascii="宋体" w:hAnsi="宋体"/>
                <w:b/>
                <w:bCs/>
                <w:sz w:val="24"/>
              </w:rPr>
              <w:t>公司在供应链和产能爬坡上做了哪些针对性改进？</w:t>
            </w:r>
          </w:p>
          <w:p w14:paraId="0F8CDB87">
            <w:pPr>
              <w:spacing w:line="360" w:lineRule="auto"/>
              <w:ind w:firstLine="420"/>
              <w:jc w:val="left"/>
              <w:rPr>
                <w:rFonts w:hint="eastAsia" w:ascii="宋体" w:hAnsi="宋体"/>
                <w:sz w:val="24"/>
              </w:rPr>
            </w:pPr>
            <w:r>
              <w:rPr>
                <w:rFonts w:hint="eastAsia" w:ascii="宋体" w:hAnsi="宋体"/>
                <w:sz w:val="24"/>
              </w:rPr>
              <w:t>答：公司始终高度重视产能建设与供应链管理，目前产能提升已完成，且通过持续推动在地化供应链建设，核心部件国产化率已较高，基本实现自主可控。公司将持续推进战略业务聚焦，优化资源配置，努力提升高阶湿法设备订单与交付。</w:t>
            </w:r>
          </w:p>
          <w:p w14:paraId="24273836">
            <w:pPr>
              <w:spacing w:line="360" w:lineRule="auto"/>
              <w:ind w:firstLine="420"/>
              <w:jc w:val="left"/>
              <w:rPr>
                <w:rFonts w:hint="eastAsia" w:ascii="宋体" w:hAnsi="宋体"/>
                <w:sz w:val="24"/>
              </w:rPr>
            </w:pPr>
          </w:p>
          <w:p w14:paraId="207AF063">
            <w:pPr>
              <w:numPr>
                <w:ilvl w:val="0"/>
                <w:numId w:val="2"/>
              </w:numPr>
              <w:spacing w:line="360" w:lineRule="auto"/>
              <w:ind w:left="0" w:firstLine="0"/>
              <w:jc w:val="left"/>
              <w:rPr>
                <w:rFonts w:hint="eastAsia" w:ascii="宋体" w:hAnsi="宋体"/>
                <w:b/>
                <w:bCs/>
                <w:sz w:val="24"/>
              </w:rPr>
            </w:pPr>
            <w:r>
              <w:rPr>
                <w:rFonts w:ascii="宋体" w:hAnsi="宋体"/>
                <w:b/>
                <w:bCs/>
                <w:sz w:val="24"/>
              </w:rPr>
              <w:t>您好，年报亏损的一个重要原因是涉及跨国诉讼的单项计提。请问这部分坏账准备是否有转回的可能？</w:t>
            </w:r>
          </w:p>
          <w:p w14:paraId="0C8CEDE5">
            <w:pPr>
              <w:spacing w:line="360" w:lineRule="auto"/>
              <w:ind w:firstLine="420"/>
              <w:jc w:val="left"/>
              <w:rPr>
                <w:rFonts w:hint="eastAsia" w:ascii="宋体" w:hAnsi="宋体"/>
                <w:sz w:val="24"/>
              </w:rPr>
            </w:pPr>
            <w:r>
              <w:rPr>
                <w:rFonts w:hint="eastAsia" w:ascii="宋体" w:hAnsi="宋体"/>
                <w:sz w:val="24"/>
              </w:rPr>
              <w:t>答：该事项公司已取得上海国际仲裁委员会的裁决，交易对方应退还相关款项，但由于涉及跨国执行，具体执行结果尚具有不确定性。</w:t>
            </w:r>
          </w:p>
          <w:p w14:paraId="5517B54D">
            <w:pPr>
              <w:spacing w:line="360" w:lineRule="auto"/>
              <w:ind w:firstLine="420"/>
              <w:jc w:val="left"/>
              <w:rPr>
                <w:rFonts w:hint="eastAsia" w:ascii="宋体" w:hAnsi="宋体"/>
                <w:sz w:val="24"/>
              </w:rPr>
            </w:pPr>
          </w:p>
          <w:p w14:paraId="19A7C2CF">
            <w:pPr>
              <w:numPr>
                <w:ilvl w:val="0"/>
                <w:numId w:val="2"/>
              </w:numPr>
              <w:spacing w:line="360" w:lineRule="auto"/>
              <w:ind w:left="0" w:firstLine="0"/>
              <w:jc w:val="left"/>
              <w:rPr>
                <w:rFonts w:hint="eastAsia" w:ascii="宋体" w:hAnsi="宋体"/>
                <w:b/>
                <w:bCs/>
                <w:sz w:val="24"/>
              </w:rPr>
            </w:pPr>
            <w:r>
              <w:rPr>
                <w:rFonts w:ascii="宋体" w:hAnsi="宋体"/>
                <w:b/>
                <w:bCs/>
                <w:sz w:val="24"/>
              </w:rPr>
              <w:t>公司2025年因交付问题导致亏损，虽然我们看到一季度末存货或合同负债有所变化，但一季报依然亏损。能否具体拆解一下，目前在手订单中有多少亿元已通过客户验证并具备收入确认条件？</w:t>
            </w:r>
          </w:p>
          <w:p w14:paraId="31C67888">
            <w:pPr>
              <w:spacing w:line="360" w:lineRule="auto"/>
              <w:ind w:firstLine="420"/>
              <w:jc w:val="left"/>
              <w:rPr>
                <w:rFonts w:hint="eastAsia" w:ascii="宋体" w:hAnsi="宋体"/>
                <w:sz w:val="24"/>
              </w:rPr>
            </w:pPr>
            <w:r>
              <w:rPr>
                <w:rFonts w:hint="eastAsia" w:ascii="宋体" w:hAnsi="宋体"/>
                <w:sz w:val="24"/>
              </w:rPr>
              <w:t>答：公司在手订单为往年新增订单中尚未交付的部分及当年度新增订单，2025年度公司新增订单25.34亿元，2026年一季度订单19.77亿元。收入确认将体现在公司后续的定期报告中，请关注公司后续公告。</w:t>
            </w:r>
          </w:p>
        </w:tc>
      </w:tr>
    </w:tbl>
    <w:p w14:paraId="1984D0EE"/>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9658115"/>
    </w:sdtPr>
    <w:sdtContent>
      <w:p w14:paraId="13E181F9">
        <w:pPr>
          <w:pStyle w:val="2"/>
          <w:jc w:val="center"/>
        </w:pPr>
        <w:r>
          <w:fldChar w:fldCharType="begin"/>
        </w:r>
        <w:r>
          <w:instrText xml:space="preserve">PAGE   \* MERGEFORMAT</w:instrText>
        </w:r>
        <w:r>
          <w:fldChar w:fldCharType="separate"/>
        </w:r>
        <w:r>
          <w:rPr>
            <w:lang w:val="zh-CN"/>
          </w:rPr>
          <w:t>2</w:t>
        </w:r>
        <w:r>
          <w:fldChar w:fldCharType="end"/>
        </w:r>
      </w:p>
    </w:sdtContent>
  </w:sdt>
  <w:p w14:paraId="6AA62114">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76B1C">
    <w:pPr>
      <w:pStyle w:val="3"/>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9A6BB2"/>
    <w:multiLevelType w:val="singleLevel"/>
    <w:tmpl w:val="F49A6BB2"/>
    <w:lvl w:ilvl="0" w:tentative="0">
      <w:start w:val="1"/>
      <w:numFmt w:val="decimal"/>
      <w:lvlText w:val="%1."/>
      <w:lvlJc w:val="left"/>
      <w:pPr>
        <w:ind w:left="425" w:hanging="425"/>
      </w:pPr>
      <w:rPr>
        <w:rFonts w:hint="default"/>
      </w:rPr>
    </w:lvl>
  </w:abstractNum>
  <w:abstractNum w:abstractNumId="1">
    <w:nsid w:val="1A184DA5"/>
    <w:multiLevelType w:val="multilevel"/>
    <w:tmpl w:val="1A184DA5"/>
    <w:lvl w:ilvl="0" w:tentative="0">
      <w:start w:val="1"/>
      <w:numFmt w:val="japaneseCounting"/>
      <w:lvlText w:val="%1、"/>
      <w:lvlJc w:val="left"/>
      <w:pPr>
        <w:ind w:left="1440" w:hanging="720"/>
      </w:pPr>
      <w:rPr>
        <w:rFonts w:hint="default"/>
      </w:rPr>
    </w:lvl>
    <w:lvl w:ilvl="1" w:tentative="0">
      <w:start w:val="1"/>
      <w:numFmt w:val="lowerLetter"/>
      <w:lvlText w:val="%2)"/>
      <w:lvlJc w:val="left"/>
      <w:pPr>
        <w:ind w:left="1600" w:hanging="440"/>
      </w:pPr>
    </w:lvl>
    <w:lvl w:ilvl="2" w:tentative="0">
      <w:start w:val="1"/>
      <w:numFmt w:val="lowerRoman"/>
      <w:lvlText w:val="%3."/>
      <w:lvlJc w:val="right"/>
      <w:pPr>
        <w:ind w:left="2040" w:hanging="440"/>
      </w:pPr>
    </w:lvl>
    <w:lvl w:ilvl="3" w:tentative="0">
      <w:start w:val="1"/>
      <w:numFmt w:val="decimal"/>
      <w:lvlText w:val="%4."/>
      <w:lvlJc w:val="left"/>
      <w:pPr>
        <w:ind w:left="2480" w:hanging="440"/>
      </w:pPr>
    </w:lvl>
    <w:lvl w:ilvl="4" w:tentative="0">
      <w:start w:val="1"/>
      <w:numFmt w:val="lowerLetter"/>
      <w:lvlText w:val="%5)"/>
      <w:lvlJc w:val="left"/>
      <w:pPr>
        <w:ind w:left="2920" w:hanging="440"/>
      </w:pPr>
    </w:lvl>
    <w:lvl w:ilvl="5" w:tentative="0">
      <w:start w:val="1"/>
      <w:numFmt w:val="lowerRoman"/>
      <w:lvlText w:val="%6."/>
      <w:lvlJc w:val="right"/>
      <w:pPr>
        <w:ind w:left="3360" w:hanging="440"/>
      </w:pPr>
    </w:lvl>
    <w:lvl w:ilvl="6" w:tentative="0">
      <w:start w:val="1"/>
      <w:numFmt w:val="decimal"/>
      <w:lvlText w:val="%7."/>
      <w:lvlJc w:val="left"/>
      <w:pPr>
        <w:ind w:left="3800" w:hanging="440"/>
      </w:pPr>
    </w:lvl>
    <w:lvl w:ilvl="7" w:tentative="0">
      <w:start w:val="1"/>
      <w:numFmt w:val="lowerLetter"/>
      <w:lvlText w:val="%8)"/>
      <w:lvlJc w:val="left"/>
      <w:pPr>
        <w:ind w:left="4240" w:hanging="440"/>
      </w:pPr>
    </w:lvl>
    <w:lvl w:ilvl="8" w:tentative="0">
      <w:start w:val="1"/>
      <w:numFmt w:val="lowerRoman"/>
      <w:lvlText w:val="%9."/>
      <w:lvlJc w:val="right"/>
      <w:pPr>
        <w:ind w:left="468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NlYWY5NWIwZGRmNzUyYTM4N2M2MjNjMDMyN2VkNDUifQ=="/>
  </w:docVars>
  <w:rsids>
    <w:rsidRoot w:val="006861C7"/>
    <w:rsid w:val="00001B6E"/>
    <w:rsid w:val="000050EA"/>
    <w:rsid w:val="00007CB5"/>
    <w:rsid w:val="000268C0"/>
    <w:rsid w:val="000363B5"/>
    <w:rsid w:val="000375D7"/>
    <w:rsid w:val="00043015"/>
    <w:rsid w:val="00046DDE"/>
    <w:rsid w:val="00047EB9"/>
    <w:rsid w:val="00060A74"/>
    <w:rsid w:val="0006206A"/>
    <w:rsid w:val="00067110"/>
    <w:rsid w:val="00070289"/>
    <w:rsid w:val="00080554"/>
    <w:rsid w:val="000875FC"/>
    <w:rsid w:val="0009298A"/>
    <w:rsid w:val="000960E4"/>
    <w:rsid w:val="000A2808"/>
    <w:rsid w:val="000A3023"/>
    <w:rsid w:val="000A3BAC"/>
    <w:rsid w:val="000A7111"/>
    <w:rsid w:val="000B02F2"/>
    <w:rsid w:val="000B12B6"/>
    <w:rsid w:val="000B379D"/>
    <w:rsid w:val="000C26FD"/>
    <w:rsid w:val="000C2D85"/>
    <w:rsid w:val="000E5700"/>
    <w:rsid w:val="000F0C4B"/>
    <w:rsid w:val="000F0E22"/>
    <w:rsid w:val="00105A04"/>
    <w:rsid w:val="001169A9"/>
    <w:rsid w:val="00125EB2"/>
    <w:rsid w:val="00142A4C"/>
    <w:rsid w:val="00144279"/>
    <w:rsid w:val="001452FF"/>
    <w:rsid w:val="001458D0"/>
    <w:rsid w:val="0016617A"/>
    <w:rsid w:val="00167E99"/>
    <w:rsid w:val="00175001"/>
    <w:rsid w:val="00193FA0"/>
    <w:rsid w:val="00196C95"/>
    <w:rsid w:val="001975AB"/>
    <w:rsid w:val="001A00F5"/>
    <w:rsid w:val="001A1F65"/>
    <w:rsid w:val="001A5CE9"/>
    <w:rsid w:val="001A7BD4"/>
    <w:rsid w:val="001B50FC"/>
    <w:rsid w:val="001B6CCB"/>
    <w:rsid w:val="001C079B"/>
    <w:rsid w:val="001C50AD"/>
    <w:rsid w:val="001D22EE"/>
    <w:rsid w:val="001D4C89"/>
    <w:rsid w:val="001E1838"/>
    <w:rsid w:val="001E3145"/>
    <w:rsid w:val="001E43D1"/>
    <w:rsid w:val="001E6509"/>
    <w:rsid w:val="001E66A9"/>
    <w:rsid w:val="001E7427"/>
    <w:rsid w:val="001E7968"/>
    <w:rsid w:val="001F0EF8"/>
    <w:rsid w:val="00207F24"/>
    <w:rsid w:val="0022180A"/>
    <w:rsid w:val="00223ABC"/>
    <w:rsid w:val="00223B1B"/>
    <w:rsid w:val="002241B9"/>
    <w:rsid w:val="002274D9"/>
    <w:rsid w:val="00230D4C"/>
    <w:rsid w:val="0023455A"/>
    <w:rsid w:val="002346CE"/>
    <w:rsid w:val="00237994"/>
    <w:rsid w:val="00237FDF"/>
    <w:rsid w:val="00251D58"/>
    <w:rsid w:val="00252B5F"/>
    <w:rsid w:val="002530EE"/>
    <w:rsid w:val="002549E6"/>
    <w:rsid w:val="00256602"/>
    <w:rsid w:val="00271C8D"/>
    <w:rsid w:val="00273B53"/>
    <w:rsid w:val="00274FB8"/>
    <w:rsid w:val="0028080C"/>
    <w:rsid w:val="00280BF1"/>
    <w:rsid w:val="00283942"/>
    <w:rsid w:val="0029022C"/>
    <w:rsid w:val="00295257"/>
    <w:rsid w:val="00297703"/>
    <w:rsid w:val="002A0826"/>
    <w:rsid w:val="002A0984"/>
    <w:rsid w:val="002A589B"/>
    <w:rsid w:val="002B1184"/>
    <w:rsid w:val="002B15E9"/>
    <w:rsid w:val="002B71B8"/>
    <w:rsid w:val="002B7469"/>
    <w:rsid w:val="002C0250"/>
    <w:rsid w:val="002C08C0"/>
    <w:rsid w:val="002C22C6"/>
    <w:rsid w:val="002C6568"/>
    <w:rsid w:val="002C723B"/>
    <w:rsid w:val="002D39BC"/>
    <w:rsid w:val="002D40DD"/>
    <w:rsid w:val="002D7979"/>
    <w:rsid w:val="002E1B15"/>
    <w:rsid w:val="002E1D3A"/>
    <w:rsid w:val="003005F0"/>
    <w:rsid w:val="003030BF"/>
    <w:rsid w:val="0030374F"/>
    <w:rsid w:val="00304F89"/>
    <w:rsid w:val="00306023"/>
    <w:rsid w:val="0031205D"/>
    <w:rsid w:val="00326543"/>
    <w:rsid w:val="00327D5D"/>
    <w:rsid w:val="00344914"/>
    <w:rsid w:val="00346917"/>
    <w:rsid w:val="00354A7B"/>
    <w:rsid w:val="00360FDA"/>
    <w:rsid w:val="00363075"/>
    <w:rsid w:val="0036573D"/>
    <w:rsid w:val="00367D18"/>
    <w:rsid w:val="003713A3"/>
    <w:rsid w:val="00372A1C"/>
    <w:rsid w:val="0037435A"/>
    <w:rsid w:val="00377D8F"/>
    <w:rsid w:val="00383679"/>
    <w:rsid w:val="00390775"/>
    <w:rsid w:val="00391BFE"/>
    <w:rsid w:val="003A1E68"/>
    <w:rsid w:val="003A5D32"/>
    <w:rsid w:val="003B00A4"/>
    <w:rsid w:val="003B0122"/>
    <w:rsid w:val="003B0BE5"/>
    <w:rsid w:val="003B5352"/>
    <w:rsid w:val="003D18F1"/>
    <w:rsid w:val="003E001E"/>
    <w:rsid w:val="003F1FB5"/>
    <w:rsid w:val="003F7C4D"/>
    <w:rsid w:val="0040075F"/>
    <w:rsid w:val="00403300"/>
    <w:rsid w:val="00404D08"/>
    <w:rsid w:val="004118C0"/>
    <w:rsid w:val="00417A31"/>
    <w:rsid w:val="0042004B"/>
    <w:rsid w:val="00420810"/>
    <w:rsid w:val="00424FFC"/>
    <w:rsid w:val="00425843"/>
    <w:rsid w:val="00433384"/>
    <w:rsid w:val="0043777D"/>
    <w:rsid w:val="00444B3E"/>
    <w:rsid w:val="0045767F"/>
    <w:rsid w:val="00463E9B"/>
    <w:rsid w:val="00467414"/>
    <w:rsid w:val="00473F30"/>
    <w:rsid w:val="004764F1"/>
    <w:rsid w:val="0048591A"/>
    <w:rsid w:val="00486D86"/>
    <w:rsid w:val="0048721A"/>
    <w:rsid w:val="004A02B5"/>
    <w:rsid w:val="004A0BD5"/>
    <w:rsid w:val="004A1BBF"/>
    <w:rsid w:val="004A675B"/>
    <w:rsid w:val="004A73E5"/>
    <w:rsid w:val="004C19BF"/>
    <w:rsid w:val="004C1BC9"/>
    <w:rsid w:val="004C53D8"/>
    <w:rsid w:val="004D7640"/>
    <w:rsid w:val="004E1A9B"/>
    <w:rsid w:val="00500AB6"/>
    <w:rsid w:val="005079B6"/>
    <w:rsid w:val="00512E17"/>
    <w:rsid w:val="005155FB"/>
    <w:rsid w:val="0051749D"/>
    <w:rsid w:val="00522341"/>
    <w:rsid w:val="0052245F"/>
    <w:rsid w:val="00523907"/>
    <w:rsid w:val="00524596"/>
    <w:rsid w:val="00524F6B"/>
    <w:rsid w:val="00536FCB"/>
    <w:rsid w:val="00537C53"/>
    <w:rsid w:val="005438F5"/>
    <w:rsid w:val="00544901"/>
    <w:rsid w:val="005474D3"/>
    <w:rsid w:val="00550737"/>
    <w:rsid w:val="00550A8A"/>
    <w:rsid w:val="00554CFA"/>
    <w:rsid w:val="00555DD2"/>
    <w:rsid w:val="00565ED9"/>
    <w:rsid w:val="0057593F"/>
    <w:rsid w:val="005760C6"/>
    <w:rsid w:val="00580B13"/>
    <w:rsid w:val="00585A1B"/>
    <w:rsid w:val="00591260"/>
    <w:rsid w:val="00591314"/>
    <w:rsid w:val="005913DE"/>
    <w:rsid w:val="00593D40"/>
    <w:rsid w:val="00594D99"/>
    <w:rsid w:val="00595D00"/>
    <w:rsid w:val="00595F1B"/>
    <w:rsid w:val="005A3BE0"/>
    <w:rsid w:val="005A6CCC"/>
    <w:rsid w:val="005B1026"/>
    <w:rsid w:val="005B642F"/>
    <w:rsid w:val="005C04C1"/>
    <w:rsid w:val="005C1785"/>
    <w:rsid w:val="005D0C83"/>
    <w:rsid w:val="005D2D87"/>
    <w:rsid w:val="005D6A09"/>
    <w:rsid w:val="005E2B4B"/>
    <w:rsid w:val="005E5CB8"/>
    <w:rsid w:val="005E5F63"/>
    <w:rsid w:val="005E6BA1"/>
    <w:rsid w:val="005F280D"/>
    <w:rsid w:val="00604F15"/>
    <w:rsid w:val="0060779A"/>
    <w:rsid w:val="00610F29"/>
    <w:rsid w:val="006139D9"/>
    <w:rsid w:val="00622F13"/>
    <w:rsid w:val="00625503"/>
    <w:rsid w:val="0062662D"/>
    <w:rsid w:val="00632AC7"/>
    <w:rsid w:val="00632E78"/>
    <w:rsid w:val="006344F1"/>
    <w:rsid w:val="00637186"/>
    <w:rsid w:val="00646DF4"/>
    <w:rsid w:val="00651DE6"/>
    <w:rsid w:val="006523BB"/>
    <w:rsid w:val="0065347E"/>
    <w:rsid w:val="00654B49"/>
    <w:rsid w:val="00656189"/>
    <w:rsid w:val="00662505"/>
    <w:rsid w:val="0066333C"/>
    <w:rsid w:val="0066674C"/>
    <w:rsid w:val="006760F7"/>
    <w:rsid w:val="006861C7"/>
    <w:rsid w:val="00686DDF"/>
    <w:rsid w:val="006966D0"/>
    <w:rsid w:val="00697B12"/>
    <w:rsid w:val="006A4008"/>
    <w:rsid w:val="006A55BB"/>
    <w:rsid w:val="006A7613"/>
    <w:rsid w:val="006B661A"/>
    <w:rsid w:val="006B6E3A"/>
    <w:rsid w:val="006B7CC9"/>
    <w:rsid w:val="006B7D00"/>
    <w:rsid w:val="006C6BC5"/>
    <w:rsid w:val="006D2927"/>
    <w:rsid w:val="006D4711"/>
    <w:rsid w:val="006D61A2"/>
    <w:rsid w:val="006E16A5"/>
    <w:rsid w:val="006E1DB4"/>
    <w:rsid w:val="006F1648"/>
    <w:rsid w:val="006F636D"/>
    <w:rsid w:val="00723EA0"/>
    <w:rsid w:val="00731635"/>
    <w:rsid w:val="007477A4"/>
    <w:rsid w:val="00753DB6"/>
    <w:rsid w:val="00760657"/>
    <w:rsid w:val="00761464"/>
    <w:rsid w:val="00763847"/>
    <w:rsid w:val="00771FE3"/>
    <w:rsid w:val="00774A7D"/>
    <w:rsid w:val="00776BDE"/>
    <w:rsid w:val="007809B4"/>
    <w:rsid w:val="0078157C"/>
    <w:rsid w:val="00786870"/>
    <w:rsid w:val="00791427"/>
    <w:rsid w:val="00792237"/>
    <w:rsid w:val="0079272A"/>
    <w:rsid w:val="007A1DA9"/>
    <w:rsid w:val="007B2252"/>
    <w:rsid w:val="007B2736"/>
    <w:rsid w:val="007B79D9"/>
    <w:rsid w:val="007C67B1"/>
    <w:rsid w:val="007D0F1C"/>
    <w:rsid w:val="007E354A"/>
    <w:rsid w:val="007E69C8"/>
    <w:rsid w:val="007F4782"/>
    <w:rsid w:val="00801BE3"/>
    <w:rsid w:val="008050A8"/>
    <w:rsid w:val="0080525B"/>
    <w:rsid w:val="008062C5"/>
    <w:rsid w:val="0080741A"/>
    <w:rsid w:val="00814B5B"/>
    <w:rsid w:val="00835ADD"/>
    <w:rsid w:val="00835E5E"/>
    <w:rsid w:val="00836F34"/>
    <w:rsid w:val="00843E73"/>
    <w:rsid w:val="00844EBF"/>
    <w:rsid w:val="008474C4"/>
    <w:rsid w:val="00854F61"/>
    <w:rsid w:val="00863F4D"/>
    <w:rsid w:val="00864202"/>
    <w:rsid w:val="008679FD"/>
    <w:rsid w:val="00873B59"/>
    <w:rsid w:val="0087701F"/>
    <w:rsid w:val="00877662"/>
    <w:rsid w:val="00882377"/>
    <w:rsid w:val="0089283D"/>
    <w:rsid w:val="008A0ADC"/>
    <w:rsid w:val="008A1BAB"/>
    <w:rsid w:val="008B3117"/>
    <w:rsid w:val="008B38B7"/>
    <w:rsid w:val="008B458E"/>
    <w:rsid w:val="008C4D4A"/>
    <w:rsid w:val="008D5EE7"/>
    <w:rsid w:val="008E11AE"/>
    <w:rsid w:val="008E1708"/>
    <w:rsid w:val="008E4844"/>
    <w:rsid w:val="008F4BE2"/>
    <w:rsid w:val="008F6ACB"/>
    <w:rsid w:val="00902A01"/>
    <w:rsid w:val="00904492"/>
    <w:rsid w:val="00904DFB"/>
    <w:rsid w:val="00910E86"/>
    <w:rsid w:val="0091457B"/>
    <w:rsid w:val="00923763"/>
    <w:rsid w:val="00930ED6"/>
    <w:rsid w:val="0093293F"/>
    <w:rsid w:val="00933105"/>
    <w:rsid w:val="00934FE6"/>
    <w:rsid w:val="00944E4A"/>
    <w:rsid w:val="009474EF"/>
    <w:rsid w:val="00953FB4"/>
    <w:rsid w:val="00957FF5"/>
    <w:rsid w:val="00962626"/>
    <w:rsid w:val="00972D4C"/>
    <w:rsid w:val="009767DD"/>
    <w:rsid w:val="00977AF2"/>
    <w:rsid w:val="009809E4"/>
    <w:rsid w:val="00985FC5"/>
    <w:rsid w:val="00987E71"/>
    <w:rsid w:val="009919DD"/>
    <w:rsid w:val="00993BDD"/>
    <w:rsid w:val="009A6DFB"/>
    <w:rsid w:val="009A746B"/>
    <w:rsid w:val="009B6EC0"/>
    <w:rsid w:val="009C2FCC"/>
    <w:rsid w:val="009C7FAF"/>
    <w:rsid w:val="009D07FA"/>
    <w:rsid w:val="009D4199"/>
    <w:rsid w:val="009E5E6A"/>
    <w:rsid w:val="009F0DD5"/>
    <w:rsid w:val="009F1B95"/>
    <w:rsid w:val="009F6C05"/>
    <w:rsid w:val="00A07C96"/>
    <w:rsid w:val="00A12713"/>
    <w:rsid w:val="00A134E5"/>
    <w:rsid w:val="00A13CB6"/>
    <w:rsid w:val="00A14A1A"/>
    <w:rsid w:val="00A16F30"/>
    <w:rsid w:val="00A22CDD"/>
    <w:rsid w:val="00A25AEE"/>
    <w:rsid w:val="00A261DC"/>
    <w:rsid w:val="00A31EB1"/>
    <w:rsid w:val="00A321E8"/>
    <w:rsid w:val="00A33AEA"/>
    <w:rsid w:val="00A44927"/>
    <w:rsid w:val="00A461CD"/>
    <w:rsid w:val="00A469C5"/>
    <w:rsid w:val="00A5317D"/>
    <w:rsid w:val="00A6284E"/>
    <w:rsid w:val="00A63306"/>
    <w:rsid w:val="00A63E81"/>
    <w:rsid w:val="00A71139"/>
    <w:rsid w:val="00A71A85"/>
    <w:rsid w:val="00A8775A"/>
    <w:rsid w:val="00A91FA5"/>
    <w:rsid w:val="00AA4A3F"/>
    <w:rsid w:val="00AA5998"/>
    <w:rsid w:val="00AB07E7"/>
    <w:rsid w:val="00AC34EE"/>
    <w:rsid w:val="00AD11DB"/>
    <w:rsid w:val="00AD1BA8"/>
    <w:rsid w:val="00AF2686"/>
    <w:rsid w:val="00B02A29"/>
    <w:rsid w:val="00B03522"/>
    <w:rsid w:val="00B04AD6"/>
    <w:rsid w:val="00B14CAA"/>
    <w:rsid w:val="00B257CE"/>
    <w:rsid w:val="00B269C1"/>
    <w:rsid w:val="00B35711"/>
    <w:rsid w:val="00B4746C"/>
    <w:rsid w:val="00B52B1D"/>
    <w:rsid w:val="00B65354"/>
    <w:rsid w:val="00B71A0E"/>
    <w:rsid w:val="00B80518"/>
    <w:rsid w:val="00B81765"/>
    <w:rsid w:val="00B832F5"/>
    <w:rsid w:val="00BA2FAB"/>
    <w:rsid w:val="00BB5E28"/>
    <w:rsid w:val="00BC307E"/>
    <w:rsid w:val="00BD15F3"/>
    <w:rsid w:val="00BD7986"/>
    <w:rsid w:val="00BD79D3"/>
    <w:rsid w:val="00BF02E2"/>
    <w:rsid w:val="00BF2E36"/>
    <w:rsid w:val="00BF6742"/>
    <w:rsid w:val="00C042E2"/>
    <w:rsid w:val="00C04F82"/>
    <w:rsid w:val="00C15AC0"/>
    <w:rsid w:val="00C26030"/>
    <w:rsid w:val="00C36C34"/>
    <w:rsid w:val="00C41091"/>
    <w:rsid w:val="00C510BA"/>
    <w:rsid w:val="00C63056"/>
    <w:rsid w:val="00C661D1"/>
    <w:rsid w:val="00C775BA"/>
    <w:rsid w:val="00C803DF"/>
    <w:rsid w:val="00C8075E"/>
    <w:rsid w:val="00C80DC4"/>
    <w:rsid w:val="00C849EC"/>
    <w:rsid w:val="00C85331"/>
    <w:rsid w:val="00C85A50"/>
    <w:rsid w:val="00C909C5"/>
    <w:rsid w:val="00C94D46"/>
    <w:rsid w:val="00C9589D"/>
    <w:rsid w:val="00C97B3A"/>
    <w:rsid w:val="00CA0006"/>
    <w:rsid w:val="00CA443A"/>
    <w:rsid w:val="00CB000A"/>
    <w:rsid w:val="00CB2461"/>
    <w:rsid w:val="00CB37FD"/>
    <w:rsid w:val="00CC2AD8"/>
    <w:rsid w:val="00CC4D65"/>
    <w:rsid w:val="00CC6084"/>
    <w:rsid w:val="00CC61E7"/>
    <w:rsid w:val="00CD03EC"/>
    <w:rsid w:val="00CD25AD"/>
    <w:rsid w:val="00CD3FFC"/>
    <w:rsid w:val="00CD6BA8"/>
    <w:rsid w:val="00CF565C"/>
    <w:rsid w:val="00D016A3"/>
    <w:rsid w:val="00D248D3"/>
    <w:rsid w:val="00D40570"/>
    <w:rsid w:val="00D44DE5"/>
    <w:rsid w:val="00D50148"/>
    <w:rsid w:val="00D512E3"/>
    <w:rsid w:val="00D602C9"/>
    <w:rsid w:val="00D87993"/>
    <w:rsid w:val="00DA26A9"/>
    <w:rsid w:val="00DA629A"/>
    <w:rsid w:val="00DB01FF"/>
    <w:rsid w:val="00DC7778"/>
    <w:rsid w:val="00DE7391"/>
    <w:rsid w:val="00DF2DB5"/>
    <w:rsid w:val="00DF6560"/>
    <w:rsid w:val="00E04CC0"/>
    <w:rsid w:val="00E136FF"/>
    <w:rsid w:val="00E14626"/>
    <w:rsid w:val="00E2442E"/>
    <w:rsid w:val="00E32528"/>
    <w:rsid w:val="00E3413A"/>
    <w:rsid w:val="00E35520"/>
    <w:rsid w:val="00E35F26"/>
    <w:rsid w:val="00E46126"/>
    <w:rsid w:val="00E53165"/>
    <w:rsid w:val="00E53850"/>
    <w:rsid w:val="00E61EF7"/>
    <w:rsid w:val="00E663B4"/>
    <w:rsid w:val="00E727A7"/>
    <w:rsid w:val="00E74D58"/>
    <w:rsid w:val="00E80CEB"/>
    <w:rsid w:val="00E82038"/>
    <w:rsid w:val="00EA5103"/>
    <w:rsid w:val="00EA6FB9"/>
    <w:rsid w:val="00EB5E6A"/>
    <w:rsid w:val="00EB73F9"/>
    <w:rsid w:val="00EC2AD7"/>
    <w:rsid w:val="00ED5C1F"/>
    <w:rsid w:val="00ED7DE0"/>
    <w:rsid w:val="00EE2B9A"/>
    <w:rsid w:val="00EE4F5B"/>
    <w:rsid w:val="00EE7891"/>
    <w:rsid w:val="00EF1477"/>
    <w:rsid w:val="00EF49FE"/>
    <w:rsid w:val="00EF5341"/>
    <w:rsid w:val="00F041BC"/>
    <w:rsid w:val="00F04908"/>
    <w:rsid w:val="00F07C21"/>
    <w:rsid w:val="00F12EF6"/>
    <w:rsid w:val="00F21065"/>
    <w:rsid w:val="00F22C28"/>
    <w:rsid w:val="00F24CB4"/>
    <w:rsid w:val="00F43465"/>
    <w:rsid w:val="00F45475"/>
    <w:rsid w:val="00F47E88"/>
    <w:rsid w:val="00F546D4"/>
    <w:rsid w:val="00F64E72"/>
    <w:rsid w:val="00F70AB5"/>
    <w:rsid w:val="00F70C7D"/>
    <w:rsid w:val="00F716D3"/>
    <w:rsid w:val="00F747BD"/>
    <w:rsid w:val="00F74E64"/>
    <w:rsid w:val="00F8358C"/>
    <w:rsid w:val="00F83E23"/>
    <w:rsid w:val="00F9272E"/>
    <w:rsid w:val="00F97743"/>
    <w:rsid w:val="00FA2C79"/>
    <w:rsid w:val="00FA6DAF"/>
    <w:rsid w:val="00FC058C"/>
    <w:rsid w:val="00FC16B1"/>
    <w:rsid w:val="00FC6884"/>
    <w:rsid w:val="00FC747A"/>
    <w:rsid w:val="00FC770C"/>
    <w:rsid w:val="00FD1E25"/>
    <w:rsid w:val="00FE0B24"/>
    <w:rsid w:val="00FE6232"/>
    <w:rsid w:val="00FE62F3"/>
    <w:rsid w:val="00FF71D2"/>
    <w:rsid w:val="01817106"/>
    <w:rsid w:val="02054F52"/>
    <w:rsid w:val="02270E7F"/>
    <w:rsid w:val="02C866AB"/>
    <w:rsid w:val="02F3423C"/>
    <w:rsid w:val="02FF7BF3"/>
    <w:rsid w:val="03872597"/>
    <w:rsid w:val="051E2E61"/>
    <w:rsid w:val="055661F0"/>
    <w:rsid w:val="06032E01"/>
    <w:rsid w:val="063D2F0C"/>
    <w:rsid w:val="068D77F1"/>
    <w:rsid w:val="06FA3C9E"/>
    <w:rsid w:val="09F83784"/>
    <w:rsid w:val="0A3B59B5"/>
    <w:rsid w:val="0AE61DC4"/>
    <w:rsid w:val="0B022976"/>
    <w:rsid w:val="0C006EB6"/>
    <w:rsid w:val="0C564D28"/>
    <w:rsid w:val="0C8C699B"/>
    <w:rsid w:val="0C9C64B3"/>
    <w:rsid w:val="0F625791"/>
    <w:rsid w:val="0F860A60"/>
    <w:rsid w:val="0FFE195E"/>
    <w:rsid w:val="10116293"/>
    <w:rsid w:val="116A2780"/>
    <w:rsid w:val="122B4561"/>
    <w:rsid w:val="12880199"/>
    <w:rsid w:val="13272F7A"/>
    <w:rsid w:val="133D43F9"/>
    <w:rsid w:val="13695831"/>
    <w:rsid w:val="14C234BE"/>
    <w:rsid w:val="15B11221"/>
    <w:rsid w:val="1697719D"/>
    <w:rsid w:val="16EF3DAF"/>
    <w:rsid w:val="16F56894"/>
    <w:rsid w:val="16F75359"/>
    <w:rsid w:val="18C272A1"/>
    <w:rsid w:val="1B2418A5"/>
    <w:rsid w:val="1B7452EA"/>
    <w:rsid w:val="1C116575"/>
    <w:rsid w:val="1D572130"/>
    <w:rsid w:val="1DF5454F"/>
    <w:rsid w:val="1E692DC7"/>
    <w:rsid w:val="1F1F369F"/>
    <w:rsid w:val="1FBFC074"/>
    <w:rsid w:val="20924DD6"/>
    <w:rsid w:val="20A61423"/>
    <w:rsid w:val="20A649AE"/>
    <w:rsid w:val="212F6C7E"/>
    <w:rsid w:val="22025452"/>
    <w:rsid w:val="2426102C"/>
    <w:rsid w:val="249064A5"/>
    <w:rsid w:val="24AD5773"/>
    <w:rsid w:val="26307F40"/>
    <w:rsid w:val="27127645"/>
    <w:rsid w:val="2B6C37C8"/>
    <w:rsid w:val="2C0954BB"/>
    <w:rsid w:val="2D8C63A3"/>
    <w:rsid w:val="2DD6761F"/>
    <w:rsid w:val="2DF10C78"/>
    <w:rsid w:val="2E8E7EF9"/>
    <w:rsid w:val="30B13F77"/>
    <w:rsid w:val="31DA231A"/>
    <w:rsid w:val="33193CA6"/>
    <w:rsid w:val="331A59A0"/>
    <w:rsid w:val="333A41AC"/>
    <w:rsid w:val="335A6CC5"/>
    <w:rsid w:val="358838F4"/>
    <w:rsid w:val="36FB9E1F"/>
    <w:rsid w:val="378940CB"/>
    <w:rsid w:val="380D7A5B"/>
    <w:rsid w:val="392A1CB4"/>
    <w:rsid w:val="3AF3796B"/>
    <w:rsid w:val="3AFF6407"/>
    <w:rsid w:val="3BFA3B96"/>
    <w:rsid w:val="3C9C069A"/>
    <w:rsid w:val="3CBA6D3D"/>
    <w:rsid w:val="3CEF3472"/>
    <w:rsid w:val="3CF950D8"/>
    <w:rsid w:val="3DF069E7"/>
    <w:rsid w:val="3EFF16E9"/>
    <w:rsid w:val="40271F5C"/>
    <w:rsid w:val="40442B0E"/>
    <w:rsid w:val="41AD5375"/>
    <w:rsid w:val="446B7284"/>
    <w:rsid w:val="46530AEE"/>
    <w:rsid w:val="472B52BB"/>
    <w:rsid w:val="48CC36A0"/>
    <w:rsid w:val="4BBD1C07"/>
    <w:rsid w:val="4BD80A66"/>
    <w:rsid w:val="4BF47196"/>
    <w:rsid w:val="4C6836E0"/>
    <w:rsid w:val="4DAB5890"/>
    <w:rsid w:val="4E3A33E5"/>
    <w:rsid w:val="4E546612"/>
    <w:rsid w:val="4E6D1482"/>
    <w:rsid w:val="4E922C96"/>
    <w:rsid w:val="4E940979"/>
    <w:rsid w:val="4FB7132F"/>
    <w:rsid w:val="500100D3"/>
    <w:rsid w:val="50090EBB"/>
    <w:rsid w:val="50FA38A3"/>
    <w:rsid w:val="52054D68"/>
    <w:rsid w:val="52831274"/>
    <w:rsid w:val="5314011E"/>
    <w:rsid w:val="53D004E8"/>
    <w:rsid w:val="54085ED4"/>
    <w:rsid w:val="54A37739"/>
    <w:rsid w:val="55A97243"/>
    <w:rsid w:val="55F94836"/>
    <w:rsid w:val="566D010E"/>
    <w:rsid w:val="591B5DFB"/>
    <w:rsid w:val="5BD112A2"/>
    <w:rsid w:val="5BE702C7"/>
    <w:rsid w:val="5CB5630A"/>
    <w:rsid w:val="5D184CAE"/>
    <w:rsid w:val="5D860DA0"/>
    <w:rsid w:val="5D8617AC"/>
    <w:rsid w:val="5DB06C95"/>
    <w:rsid w:val="5DC50992"/>
    <w:rsid w:val="601073CD"/>
    <w:rsid w:val="610523E0"/>
    <w:rsid w:val="61C827FF"/>
    <w:rsid w:val="623A1223"/>
    <w:rsid w:val="6397692D"/>
    <w:rsid w:val="648D5F82"/>
    <w:rsid w:val="650F4BE9"/>
    <w:rsid w:val="65815AE7"/>
    <w:rsid w:val="65DB3AD8"/>
    <w:rsid w:val="66434B4A"/>
    <w:rsid w:val="66F0653A"/>
    <w:rsid w:val="67C631ED"/>
    <w:rsid w:val="6962178B"/>
    <w:rsid w:val="69A43B52"/>
    <w:rsid w:val="6B6D4417"/>
    <w:rsid w:val="6C101972"/>
    <w:rsid w:val="6D572F8D"/>
    <w:rsid w:val="6D5910F7"/>
    <w:rsid w:val="6DC81DD9"/>
    <w:rsid w:val="6E91041D"/>
    <w:rsid w:val="6F8E4501"/>
    <w:rsid w:val="70207CAA"/>
    <w:rsid w:val="709B7600"/>
    <w:rsid w:val="72AC3A77"/>
    <w:rsid w:val="758E734A"/>
    <w:rsid w:val="77446974"/>
    <w:rsid w:val="774A385E"/>
    <w:rsid w:val="77C02F22"/>
    <w:rsid w:val="77CF73AC"/>
    <w:rsid w:val="78FF0116"/>
    <w:rsid w:val="7A044199"/>
    <w:rsid w:val="7D7D673C"/>
    <w:rsid w:val="7DE11816"/>
    <w:rsid w:val="7E694F12"/>
    <w:rsid w:val="7F7C7068"/>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jc w:val="left"/>
    </w:pPr>
    <w:rPr>
      <w:sz w:val="18"/>
      <w:szCs w:val="18"/>
    </w:rPr>
  </w:style>
  <w:style w:type="paragraph" w:styleId="3">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5">
    <w:name w:val="Normal (Web)"/>
    <w:basedOn w:val="1"/>
    <w:qFormat/>
    <w:uiPriority w:val="0"/>
    <w:pPr>
      <w:widowControl/>
      <w:spacing w:beforeAutospacing="1" w:afterAutospacing="1"/>
      <w:jc w:val="left"/>
    </w:pPr>
    <w:rPr>
      <w:rFonts w:hint="eastAsia" w:ascii="宋体" w:hAnsi="宋体"/>
      <w:kern w:val="0"/>
      <w:sz w:val="24"/>
    </w:rPr>
  </w:style>
  <w:style w:type="paragraph" w:customStyle="1" w:styleId="8">
    <w:name w:val="_Style 6"/>
    <w:basedOn w:val="1"/>
    <w:qFormat/>
    <w:uiPriority w:val="34"/>
    <w:pPr>
      <w:ind w:firstLine="420" w:firstLineChars="200"/>
    </w:pPr>
    <w:rPr>
      <w:rFonts w:ascii="Calibri" w:hAnsi="Calibri"/>
      <w:szCs w:val="22"/>
    </w:rPr>
  </w:style>
  <w:style w:type="paragraph" w:customStyle="1" w:styleId="9">
    <w:name w:val="Char Char Char"/>
    <w:basedOn w:val="1"/>
    <w:qFormat/>
    <w:uiPriority w:val="0"/>
    <w:rPr>
      <w:szCs w:val="21"/>
    </w:rPr>
  </w:style>
  <w:style w:type="paragraph" w:customStyle="1" w:styleId="10">
    <w:name w:val="Char Char Char Char Char Char Char Char Char Char Char Char Char Char Char Char"/>
    <w:basedOn w:val="1"/>
    <w:qFormat/>
    <w:uiPriority w:val="0"/>
  </w:style>
  <w:style w:type="paragraph" w:customStyle="1" w:styleId="11">
    <w:name w:val="Char Char Char1"/>
    <w:basedOn w:val="1"/>
    <w:qFormat/>
    <w:uiPriority w:val="0"/>
  </w:style>
  <w:style w:type="character" w:customStyle="1" w:styleId="12">
    <w:name w:val="页脚 字符"/>
    <w:basedOn w:val="7"/>
    <w:link w:val="2"/>
    <w:qFormat/>
    <w:uiPriority w:val="99"/>
    <w:rPr>
      <w:kern w:val="2"/>
      <w:sz w:val="18"/>
      <w:szCs w:val="18"/>
    </w:rPr>
  </w:style>
  <w:style w:type="character" w:customStyle="1" w:styleId="13">
    <w:name w:val="页眉 字符"/>
    <w:basedOn w:val="7"/>
    <w:link w:val="3"/>
    <w:qFormat/>
    <w:uiPriority w:val="0"/>
    <w:rPr>
      <w:kern w:val="2"/>
      <w:sz w:val="18"/>
      <w:szCs w:val="18"/>
    </w:rPr>
  </w:style>
  <w:style w:type="paragraph" w:styleId="14">
    <w:name w:val="List Paragraph"/>
    <w:basedOn w:val="1"/>
    <w:qFormat/>
    <w:uiPriority w:val="34"/>
    <w:pPr>
      <w:ind w:firstLine="420" w:firstLineChars="200"/>
    </w:pPr>
  </w:style>
  <w:style w:type="paragraph" w:customStyle="1" w:styleId="15">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6">
    <w:name w:val="修订2"/>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2473</Words>
  <Characters>2594</Characters>
  <Lines>19</Lines>
  <Paragraphs>5</Paragraphs>
  <TotalTime>67</TotalTime>
  <ScaleCrop>false</ScaleCrop>
  <LinksUpToDate>false</LinksUpToDate>
  <CharactersWithSpaces>2736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2025-04-03T07:32:00Z</dcterms:created>
  <dc:creator>微软用户</dc:creator>
  <cp:lastModifiedBy>张娟</cp:lastModifiedBy>
  <cp:lastPrinted>2025-03-31T09:18:00Z</cp:lastPrinted>
  <dcterms:modified xsi:type="dcterms:W3CDTF">2026-08-17T02:41:51Z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E9E0E66460B5465EAA737AC54E24A1F0_13</vt:lpwstr>
  </property>
  <property fmtid="{D5CDD505-2E9C-101B-9397-08002B2CF9AE}" pid="4" name="KSOTemplateDocerSaveRecord">
    <vt:lpwstr>eyJoZGlkIjoiZWE5ZGI1NzNmOGM2ZDdhMWRmZjI2N2FiMGY2MDRjM2YiLCJ1c2VySWQiOiI0MDM2NjU0MTIifQ==</vt:lpwstr>
  </property>
</Properties>
</file>