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38D9D">
      <w:pPr>
        <w:keepNext/>
        <w:keepLines/>
        <w:spacing w:before="260" w:after="260" w:line="360" w:lineRule="auto"/>
        <w:jc w:val="center"/>
        <w:outlineLvl w:val="1"/>
        <w:rPr>
          <w:rFonts w:ascii="宋体" w:hAnsi="宋体" w:eastAsia="宋体" w:cs="Times New Roman"/>
          <w:b/>
          <w:bCs/>
          <w:iCs/>
          <w:sz w:val="24"/>
          <w:szCs w:val="24"/>
        </w:rPr>
      </w:pPr>
      <w:r>
        <w:rPr>
          <w:rFonts w:hint="eastAsia" w:ascii="宋体" w:hAnsi="宋体" w:eastAsia="宋体" w:cs="Times New Roman"/>
          <w:b/>
          <w:bCs/>
          <w:iCs/>
          <w:sz w:val="24"/>
          <w:szCs w:val="24"/>
        </w:rPr>
        <w:t>证券代码：688082                                 证券简称：盛美上海</w:t>
      </w:r>
    </w:p>
    <w:p w14:paraId="3ECCAF87">
      <w:pPr>
        <w:keepNext/>
        <w:keepLines/>
        <w:spacing w:before="156" w:beforeLines="50" w:after="156" w:afterLines="50" w:line="360" w:lineRule="auto"/>
        <w:jc w:val="center"/>
        <w:outlineLvl w:val="1"/>
        <w:rPr>
          <w:rFonts w:ascii="宋体" w:hAnsi="宋体" w:eastAsia="宋体" w:cs="Times New Roman"/>
          <w:b/>
          <w:bCs/>
          <w:sz w:val="32"/>
          <w:szCs w:val="32"/>
        </w:rPr>
      </w:pPr>
      <w:r>
        <w:rPr>
          <w:rFonts w:hint="eastAsia" w:ascii="宋体" w:hAnsi="宋体" w:eastAsia="宋体" w:cs="Times New Roman"/>
          <w:b/>
          <w:bCs/>
          <w:sz w:val="32"/>
          <w:szCs w:val="32"/>
        </w:rPr>
        <w:t>盛美半导体设备（上海）股份有限公司</w:t>
      </w:r>
    </w:p>
    <w:p w14:paraId="4D76B2AC">
      <w:pPr>
        <w:keepNext/>
        <w:keepLines/>
        <w:spacing w:before="156" w:beforeLines="50" w:after="156" w:afterLines="50" w:line="360" w:lineRule="auto"/>
        <w:jc w:val="center"/>
        <w:outlineLvl w:val="1"/>
        <w:rPr>
          <w:rFonts w:ascii="宋体" w:hAnsi="宋体" w:eastAsia="宋体" w:cs="Times New Roman"/>
          <w:b/>
          <w:bCs/>
          <w:sz w:val="32"/>
          <w:szCs w:val="32"/>
        </w:rPr>
      </w:pPr>
      <w:r>
        <w:rPr>
          <w:rFonts w:hint="eastAsia" w:ascii="宋体" w:hAnsi="宋体" w:eastAsia="宋体" w:cs="Times New Roman"/>
          <w:b/>
          <w:bCs/>
          <w:sz w:val="32"/>
          <w:szCs w:val="32"/>
        </w:rPr>
        <w:t>投资者关系活动记录表</w:t>
      </w:r>
    </w:p>
    <w:p w14:paraId="5DB14826">
      <w:pPr>
        <w:keepNext/>
        <w:keepLines/>
        <w:spacing w:before="260" w:after="260" w:line="360" w:lineRule="auto"/>
        <w:jc w:val="center"/>
        <w:outlineLvl w:val="1"/>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rPr>
        <w:t>编号：202</w:t>
      </w:r>
      <w:r>
        <w:rPr>
          <w:rFonts w:hint="eastAsia" w:ascii="宋体" w:hAnsi="宋体" w:eastAsia="宋体" w:cs="Times New Roman"/>
          <w:b/>
          <w:bCs/>
          <w:sz w:val="24"/>
          <w:szCs w:val="24"/>
          <w:lang w:val="en-US" w:eastAsia="zh-CN"/>
        </w:rPr>
        <w:t>6</w:t>
      </w:r>
      <w:r>
        <w:rPr>
          <w:rFonts w:hint="eastAsia" w:ascii="宋体" w:hAnsi="宋体" w:eastAsia="宋体" w:cs="Times New Roman"/>
          <w:b/>
          <w:bCs/>
          <w:sz w:val="24"/>
          <w:szCs w:val="24"/>
        </w:rPr>
        <w:t>-</w:t>
      </w:r>
      <w:r>
        <w:rPr>
          <w:rFonts w:ascii="宋体" w:hAnsi="宋体" w:eastAsia="宋体" w:cs="Times New Roman"/>
          <w:b/>
          <w:bCs/>
          <w:sz w:val="24"/>
          <w:szCs w:val="24"/>
        </w:rPr>
        <w:t>0</w:t>
      </w:r>
      <w:r>
        <w:rPr>
          <w:rFonts w:hint="eastAsia" w:ascii="宋体" w:hAnsi="宋体" w:eastAsia="宋体" w:cs="Times New Roman"/>
          <w:b/>
          <w:bCs/>
          <w:sz w:val="24"/>
          <w:szCs w:val="24"/>
          <w:lang w:val="en-US" w:eastAsia="zh-CN"/>
        </w:rPr>
        <w:t>5</w:t>
      </w:r>
      <w:bookmarkStart w:id="2" w:name="_GoBack"/>
      <w:bookmarkEnd w:id="2"/>
    </w:p>
    <w:tbl>
      <w:tblPr>
        <w:tblStyle w:val="3"/>
        <w:tblW w:w="8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3"/>
        <w:gridCol w:w="6287"/>
      </w:tblGrid>
      <w:tr w14:paraId="0774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shd w:val="clear" w:color="auto" w:fill="auto"/>
          </w:tcPr>
          <w:p w14:paraId="7529C792">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投资者关系</w:t>
            </w:r>
          </w:p>
          <w:p w14:paraId="5EDA3036">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活动类别</w:t>
            </w:r>
          </w:p>
          <w:p w14:paraId="73787157">
            <w:pPr>
              <w:spacing w:line="360" w:lineRule="auto"/>
              <w:rPr>
                <w:rFonts w:ascii="宋体" w:hAnsi="宋体" w:eastAsia="宋体" w:cs="Times New Roman"/>
                <w:b/>
                <w:bCs/>
                <w:iCs/>
                <w:sz w:val="24"/>
                <w:szCs w:val="24"/>
              </w:rPr>
            </w:pPr>
          </w:p>
        </w:tc>
        <w:tc>
          <w:tcPr>
            <w:tcW w:w="6287" w:type="dxa"/>
            <w:shd w:val="clear" w:color="auto" w:fill="auto"/>
          </w:tcPr>
          <w:p w14:paraId="6EA0FBC2">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lang w:eastAsia="zh-CN"/>
              </w:rPr>
              <w:t>□</w:t>
            </w:r>
            <w:r>
              <w:rPr>
                <w:rFonts w:hint="eastAsia" w:ascii="宋体" w:hAnsi="宋体" w:eastAsia="宋体" w:cs="Times New Roman"/>
                <w:sz w:val="24"/>
                <w:szCs w:val="24"/>
              </w:rPr>
              <w:t xml:space="preserve">特定对象调研        </w:t>
            </w:r>
            <w:r>
              <w:rPr>
                <w:rFonts w:hint="eastAsia" w:ascii="宋体" w:hAnsi="宋体" w:eastAsia="宋体" w:cs="Times New Roman"/>
                <w:bCs/>
                <w:iCs/>
                <w:sz w:val="24"/>
                <w:szCs w:val="24"/>
                <w:lang w:eastAsia="zh-CN"/>
              </w:rPr>
              <w:t>□</w:t>
            </w:r>
            <w:r>
              <w:rPr>
                <w:rFonts w:hint="eastAsia" w:ascii="宋体" w:hAnsi="宋体" w:eastAsia="宋体" w:cs="Times New Roman"/>
                <w:sz w:val="24"/>
                <w:szCs w:val="24"/>
              </w:rPr>
              <w:t>分析师会议</w:t>
            </w:r>
          </w:p>
          <w:p w14:paraId="30E723B5">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媒体采访            </w:t>
            </w:r>
            <w:r>
              <w:rPr>
                <w:rFonts w:hint="eastAsia" w:ascii="宋体" w:hAnsi="宋体" w:eastAsia="宋体" w:cs="Times New Roman"/>
                <w:bCs/>
                <w:iCs/>
                <w:sz w:val="24"/>
                <w:szCs w:val="24"/>
              </w:rPr>
              <w:t>√</w:t>
            </w:r>
            <w:r>
              <w:rPr>
                <w:rFonts w:hint="eastAsia" w:ascii="宋体" w:hAnsi="宋体" w:eastAsia="宋体" w:cs="Times New Roman"/>
                <w:sz w:val="24"/>
                <w:szCs w:val="24"/>
              </w:rPr>
              <w:t>业绩说明会</w:t>
            </w:r>
          </w:p>
          <w:p w14:paraId="2E51B5B1">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新闻发布会          </w:t>
            </w:r>
            <w:r>
              <w:rPr>
                <w:rFonts w:hint="eastAsia" w:ascii="宋体" w:hAnsi="宋体" w:eastAsia="宋体" w:cs="Times New Roman"/>
                <w:bCs/>
                <w:iCs/>
                <w:sz w:val="24"/>
                <w:szCs w:val="24"/>
              </w:rPr>
              <w:t>□</w:t>
            </w:r>
            <w:r>
              <w:rPr>
                <w:rFonts w:hint="eastAsia" w:ascii="宋体" w:hAnsi="宋体" w:eastAsia="宋体" w:cs="Times New Roman"/>
                <w:sz w:val="24"/>
                <w:szCs w:val="24"/>
              </w:rPr>
              <w:t>路演活动</w:t>
            </w:r>
          </w:p>
          <w:p w14:paraId="0FB4001A">
            <w:pPr>
              <w:tabs>
                <w:tab w:val="left" w:pos="2690"/>
                <w:tab w:val="center" w:pos="3199"/>
              </w:tabs>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w:t>
            </w:r>
            <w:r>
              <w:rPr>
                <w:rFonts w:hint="eastAsia" w:ascii="宋体" w:hAnsi="宋体" w:eastAsia="宋体" w:cs="Times New Roman"/>
                <w:sz w:val="24"/>
                <w:szCs w:val="24"/>
              </w:rPr>
              <w:t xml:space="preserve">现场参观            </w:t>
            </w:r>
            <w:r>
              <w:rPr>
                <w:rFonts w:hint="eastAsia" w:ascii="宋体" w:hAnsi="宋体" w:eastAsia="宋体" w:cs="Times New Roman"/>
                <w:bCs/>
                <w:iCs/>
                <w:sz w:val="24"/>
                <w:szCs w:val="24"/>
              </w:rPr>
              <w:t>□</w:t>
            </w:r>
            <w:r>
              <w:rPr>
                <w:rFonts w:hint="eastAsia" w:ascii="宋体" w:hAnsi="宋体" w:eastAsia="宋体" w:cs="Times New Roman"/>
                <w:sz w:val="24"/>
                <w:szCs w:val="24"/>
              </w:rPr>
              <w:t>其他</w:t>
            </w:r>
          </w:p>
        </w:tc>
      </w:tr>
      <w:tr w14:paraId="1725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shd w:val="clear" w:color="auto" w:fill="auto"/>
          </w:tcPr>
          <w:p w14:paraId="1D49BC5C">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会议时间</w:t>
            </w:r>
          </w:p>
        </w:tc>
        <w:tc>
          <w:tcPr>
            <w:tcW w:w="6287" w:type="dxa"/>
            <w:shd w:val="clear" w:color="auto" w:fill="auto"/>
          </w:tcPr>
          <w:p w14:paraId="30CBD7E2">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202</w:t>
            </w:r>
            <w:r>
              <w:rPr>
                <w:rFonts w:hint="eastAsia" w:ascii="宋体" w:hAnsi="宋体" w:eastAsia="宋体" w:cs="Times New Roman"/>
                <w:bCs/>
                <w:iCs/>
                <w:sz w:val="24"/>
                <w:szCs w:val="24"/>
                <w:lang w:val="en-US" w:eastAsia="zh-CN"/>
              </w:rPr>
              <w:t>6</w:t>
            </w:r>
            <w:r>
              <w:rPr>
                <w:rFonts w:hint="eastAsia" w:ascii="宋体" w:hAnsi="宋体" w:eastAsia="宋体" w:cs="Times New Roman"/>
                <w:bCs/>
                <w:iCs/>
                <w:sz w:val="24"/>
                <w:szCs w:val="24"/>
              </w:rPr>
              <w:t>年</w:t>
            </w:r>
            <w:r>
              <w:rPr>
                <w:rFonts w:hint="eastAsia" w:ascii="宋体" w:hAnsi="宋体" w:eastAsia="宋体" w:cs="Times New Roman"/>
                <w:bCs/>
                <w:iCs/>
                <w:sz w:val="24"/>
                <w:szCs w:val="24"/>
                <w:lang w:val="en-US" w:eastAsia="zh-CN"/>
              </w:rPr>
              <w:t>8</w:t>
            </w:r>
            <w:r>
              <w:rPr>
                <w:rFonts w:hint="eastAsia" w:ascii="宋体" w:hAnsi="宋体" w:eastAsia="宋体" w:cs="Times New Roman"/>
                <w:bCs/>
                <w:iCs/>
                <w:sz w:val="24"/>
                <w:szCs w:val="24"/>
              </w:rPr>
              <w:t>月</w:t>
            </w:r>
            <w:r>
              <w:rPr>
                <w:rFonts w:hint="eastAsia" w:ascii="宋体" w:hAnsi="宋体" w:eastAsia="宋体" w:cs="Times New Roman"/>
                <w:bCs/>
                <w:iCs/>
                <w:sz w:val="24"/>
                <w:szCs w:val="24"/>
                <w:lang w:val="en-US" w:eastAsia="zh-CN"/>
              </w:rPr>
              <w:t>14</w:t>
            </w:r>
            <w:r>
              <w:rPr>
                <w:rFonts w:hint="eastAsia" w:ascii="宋体" w:hAnsi="宋体" w:eastAsia="宋体" w:cs="Times New Roman"/>
                <w:bCs/>
                <w:iCs/>
                <w:sz w:val="24"/>
                <w:szCs w:val="24"/>
              </w:rPr>
              <w:t>日</w:t>
            </w:r>
          </w:p>
        </w:tc>
      </w:tr>
      <w:tr w14:paraId="41F0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shd w:val="clear" w:color="auto" w:fill="auto"/>
          </w:tcPr>
          <w:p w14:paraId="21C3D198">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会议地点</w:t>
            </w:r>
          </w:p>
        </w:tc>
        <w:tc>
          <w:tcPr>
            <w:tcW w:w="6287" w:type="dxa"/>
            <w:shd w:val="clear" w:color="auto" w:fill="auto"/>
          </w:tcPr>
          <w:p w14:paraId="704C80A5">
            <w:pPr>
              <w:spacing w:line="360" w:lineRule="auto"/>
              <w:rPr>
                <w:rFonts w:hint="default" w:ascii="宋体" w:hAnsi="宋体" w:eastAsia="宋体" w:cs="Times New Roman"/>
                <w:bCs/>
                <w:iCs/>
                <w:sz w:val="24"/>
                <w:szCs w:val="24"/>
                <w:lang w:val="en-US" w:eastAsia="zh-CN"/>
              </w:rPr>
            </w:pPr>
            <w:r>
              <w:rPr>
                <w:rFonts w:hint="eastAsia" w:ascii="宋体" w:hAnsi="宋体" w:eastAsia="宋体" w:cs="Times New Roman"/>
                <w:bCs/>
                <w:iCs/>
                <w:sz w:val="24"/>
                <w:szCs w:val="24"/>
              </w:rPr>
              <w:t>电话会议</w:t>
            </w:r>
          </w:p>
        </w:tc>
      </w:tr>
      <w:tr w14:paraId="4C63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shd w:val="clear" w:color="auto" w:fill="auto"/>
          </w:tcPr>
          <w:p w14:paraId="33C61F4C">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上市公司</w:t>
            </w:r>
          </w:p>
          <w:p w14:paraId="52AB8578">
            <w:pPr>
              <w:spacing w:line="360" w:lineRule="auto"/>
              <w:rPr>
                <w:rFonts w:ascii="宋体" w:hAnsi="宋体" w:eastAsia="宋体" w:cs="Times New Roman"/>
                <w:b/>
                <w:bCs/>
                <w:iCs/>
                <w:sz w:val="24"/>
                <w:szCs w:val="24"/>
              </w:rPr>
            </w:pPr>
            <w:r>
              <w:rPr>
                <w:rFonts w:hint="eastAsia" w:ascii="宋体" w:hAnsi="宋体" w:eastAsia="宋体" w:cs="Times New Roman"/>
                <w:b/>
                <w:bCs/>
                <w:iCs/>
                <w:sz w:val="24"/>
                <w:szCs w:val="24"/>
              </w:rPr>
              <w:t>接待人员姓名</w:t>
            </w:r>
          </w:p>
        </w:tc>
        <w:tc>
          <w:tcPr>
            <w:tcW w:w="6287" w:type="dxa"/>
            <w:shd w:val="clear" w:color="auto" w:fill="auto"/>
          </w:tcPr>
          <w:p w14:paraId="192C24C9">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董事长：HUI WANG</w:t>
            </w:r>
          </w:p>
          <w:p w14:paraId="259CE63F">
            <w:pPr>
              <w:spacing w:line="360" w:lineRule="auto"/>
              <w:rPr>
                <w:rFonts w:hint="eastAsia" w:ascii="宋体" w:hAnsi="宋体" w:eastAsia="宋体" w:cs="Times New Roman"/>
                <w:bCs/>
                <w:iCs/>
                <w:sz w:val="24"/>
                <w:szCs w:val="24"/>
              </w:rPr>
            </w:pPr>
            <w:r>
              <w:rPr>
                <w:rFonts w:hint="eastAsia" w:ascii="宋体" w:hAnsi="宋体" w:eastAsia="宋体" w:cs="Times New Roman"/>
                <w:bCs/>
                <w:iCs/>
                <w:sz w:val="24"/>
                <w:szCs w:val="24"/>
              </w:rPr>
              <w:t>总经理：王坚</w:t>
            </w:r>
          </w:p>
          <w:p w14:paraId="0FA2936F">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财务负责人：</w:t>
            </w:r>
            <w:r>
              <w:rPr>
                <w:rFonts w:ascii="宋体" w:hAnsi="宋体" w:eastAsia="宋体" w:cs="Times New Roman"/>
                <w:bCs/>
                <w:iCs/>
                <w:sz w:val="24"/>
                <w:szCs w:val="24"/>
              </w:rPr>
              <w:t>LISA YI LU FENG</w:t>
            </w:r>
          </w:p>
          <w:p w14:paraId="6AFECF4E">
            <w:pPr>
              <w:spacing w:line="360" w:lineRule="auto"/>
              <w:rPr>
                <w:rFonts w:ascii="宋体" w:hAnsi="宋体" w:eastAsia="宋体" w:cs="Times New Roman"/>
                <w:bCs/>
                <w:iCs/>
                <w:sz w:val="24"/>
                <w:szCs w:val="24"/>
              </w:rPr>
            </w:pPr>
            <w:r>
              <w:rPr>
                <w:rFonts w:hint="eastAsia" w:ascii="宋体" w:hAnsi="宋体" w:eastAsia="宋体" w:cs="Times New Roman"/>
                <w:bCs/>
                <w:iCs/>
                <w:sz w:val="24"/>
                <w:szCs w:val="24"/>
              </w:rPr>
              <w:t>董事会秘书：罗明珠</w:t>
            </w:r>
          </w:p>
        </w:tc>
      </w:tr>
      <w:tr w14:paraId="6EDB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553" w:type="dxa"/>
            <w:shd w:val="clear" w:color="auto" w:fill="auto"/>
            <w:vAlign w:val="center"/>
          </w:tcPr>
          <w:p w14:paraId="2D1D4DE7">
            <w:pPr>
              <w:spacing w:line="360" w:lineRule="auto"/>
              <w:rPr>
                <w:rFonts w:ascii="宋体" w:hAnsi="宋体" w:eastAsia="宋体" w:cs="Times New Roman"/>
                <w:b/>
                <w:bCs/>
                <w:iCs/>
                <w:sz w:val="24"/>
                <w:szCs w:val="24"/>
              </w:rPr>
            </w:pPr>
            <w:bookmarkStart w:id="0" w:name="_Hlk143013646"/>
            <w:r>
              <w:rPr>
                <w:rFonts w:ascii="宋体" w:hAnsi="宋体" w:eastAsia="宋体" w:cs="Times New Roman"/>
                <w:b/>
                <w:bCs/>
                <w:iCs/>
                <w:sz w:val="24"/>
                <w:szCs w:val="24"/>
              </w:rPr>
              <w:t>投资者关系活动</w:t>
            </w:r>
          </w:p>
          <w:p w14:paraId="5842558F">
            <w:pPr>
              <w:spacing w:line="360" w:lineRule="auto"/>
              <w:rPr>
                <w:rFonts w:ascii="宋体" w:hAnsi="宋体" w:eastAsia="宋体" w:cs="Times New Roman"/>
                <w:b/>
                <w:bCs/>
                <w:iCs/>
                <w:sz w:val="24"/>
                <w:szCs w:val="24"/>
              </w:rPr>
            </w:pPr>
            <w:r>
              <w:rPr>
                <w:rFonts w:ascii="宋体" w:hAnsi="宋体" w:eastAsia="宋体" w:cs="Times New Roman"/>
                <w:b/>
                <w:bCs/>
                <w:iCs/>
                <w:sz w:val="24"/>
                <w:szCs w:val="24"/>
              </w:rPr>
              <w:t>主要内容介绍</w:t>
            </w:r>
          </w:p>
        </w:tc>
        <w:tc>
          <w:tcPr>
            <w:tcW w:w="6287" w:type="dxa"/>
            <w:shd w:val="clear" w:color="auto" w:fill="auto"/>
          </w:tcPr>
          <w:p w14:paraId="03D92319">
            <w:pPr>
              <w:widowControl w:val="0"/>
              <w:spacing w:line="360" w:lineRule="auto"/>
              <w:ind w:firstLine="480" w:firstLineChars="200"/>
              <w:jc w:val="both"/>
              <w:rPr>
                <w:rFonts w:ascii="宋体" w:hAnsi="宋体" w:eastAsia="宋体" w:cs="Times New Roman"/>
                <w:iCs/>
                <w:kern w:val="2"/>
                <w:sz w:val="24"/>
                <w:szCs w:val="24"/>
                <w:lang w:val="en-US" w:eastAsia="zh-CN" w:bidi="ar-SA"/>
              </w:rPr>
            </w:pPr>
            <w:bookmarkStart w:id="1" w:name="_Hlk142567878"/>
            <w:r>
              <w:rPr>
                <w:rFonts w:ascii="宋体" w:hAnsi="宋体" w:eastAsia="宋体" w:cs="Times New Roman"/>
                <w:iCs/>
                <w:kern w:val="2"/>
                <w:sz w:val="24"/>
                <w:szCs w:val="24"/>
                <w:lang w:val="en-US" w:eastAsia="zh-CN" w:bidi="ar-SA"/>
              </w:rPr>
              <w:t>公司领导对202</w:t>
            </w:r>
            <w:r>
              <w:rPr>
                <w:rFonts w:hint="eastAsia" w:ascii="宋体" w:hAnsi="宋体" w:eastAsia="宋体" w:cs="Times New Roman"/>
                <w:iCs/>
                <w:kern w:val="2"/>
                <w:sz w:val="24"/>
                <w:szCs w:val="24"/>
                <w:lang w:val="en-US" w:eastAsia="zh-CN" w:bidi="ar-SA"/>
              </w:rPr>
              <w:t>6</w:t>
            </w:r>
            <w:r>
              <w:rPr>
                <w:rFonts w:ascii="宋体" w:hAnsi="宋体" w:eastAsia="宋体" w:cs="Times New Roman"/>
                <w:iCs/>
                <w:kern w:val="2"/>
                <w:sz w:val="24"/>
                <w:szCs w:val="24"/>
                <w:lang w:val="en-US" w:eastAsia="zh-CN" w:bidi="ar-SA"/>
              </w:rPr>
              <w:t>年</w:t>
            </w:r>
            <w:r>
              <w:rPr>
                <w:rFonts w:hint="eastAsia" w:ascii="宋体" w:hAnsi="宋体" w:eastAsia="宋体" w:cs="Times New Roman"/>
                <w:iCs/>
                <w:kern w:val="2"/>
                <w:sz w:val="24"/>
                <w:szCs w:val="24"/>
                <w:lang w:val="en-US" w:eastAsia="zh-CN" w:bidi="ar-SA"/>
              </w:rPr>
              <w:t>半年</w:t>
            </w:r>
            <w:r>
              <w:rPr>
                <w:rFonts w:ascii="宋体" w:hAnsi="宋体" w:eastAsia="宋体" w:cs="Times New Roman"/>
                <w:iCs/>
                <w:kern w:val="2"/>
                <w:sz w:val="24"/>
                <w:szCs w:val="24"/>
                <w:lang w:val="en-US" w:eastAsia="zh-CN" w:bidi="ar-SA"/>
              </w:rPr>
              <w:t>度业绩和财务情况进行了简单介绍，并就投资者关心的问题进行了回答。</w:t>
            </w:r>
          </w:p>
          <w:p w14:paraId="3C2428E2">
            <w:pPr>
              <w:widowControl w:val="0"/>
              <w:numPr>
                <w:ilvl w:val="0"/>
                <w:numId w:val="1"/>
              </w:numPr>
              <w:spacing w:line="360" w:lineRule="auto"/>
              <w:ind w:left="420" w:hanging="420" w:firstLineChars="0"/>
              <w:jc w:val="both"/>
              <w:rPr>
                <w:rFonts w:ascii="宋体" w:hAnsi="宋体" w:eastAsia="宋体" w:cs="Times New Roman"/>
                <w:b/>
                <w:iCs/>
                <w:kern w:val="2"/>
                <w:sz w:val="24"/>
                <w:szCs w:val="24"/>
                <w:highlight w:val="none"/>
                <w:lang w:val="en-US" w:eastAsia="zh-CN" w:bidi="ar-SA"/>
              </w:rPr>
            </w:pPr>
            <w:r>
              <w:rPr>
                <w:rFonts w:ascii="宋体" w:hAnsi="宋体" w:eastAsia="宋体" w:cs="Times New Roman"/>
                <w:b/>
                <w:iCs/>
                <w:kern w:val="2"/>
                <w:sz w:val="24"/>
                <w:szCs w:val="24"/>
                <w:highlight w:val="none"/>
                <w:lang w:val="en-US" w:eastAsia="zh-CN" w:bidi="ar-SA"/>
              </w:rPr>
              <w:t>问答环节</w:t>
            </w:r>
            <w:bookmarkEnd w:id="1"/>
          </w:p>
          <w:p w14:paraId="6B7EA72F">
            <w:pPr>
              <w:spacing w:line="360" w:lineRule="auto"/>
              <w:rPr>
                <w:rFonts w:hint="eastAsia" w:ascii="宋体" w:hAnsi="宋体" w:eastAsia="宋体" w:cs="Times New Roman"/>
                <w:b/>
                <w:bCs/>
                <w:color w:val="000000"/>
                <w:sz w:val="22"/>
                <w:szCs w:val="22"/>
                <w:highlight w:val="none"/>
              </w:rPr>
            </w:pPr>
            <w:r>
              <w:rPr>
                <w:rFonts w:hint="eastAsia" w:ascii="宋体" w:hAnsi="宋体" w:eastAsia="宋体" w:cs="Times New Roman"/>
                <w:b/>
                <w:bCs/>
                <w:color w:val="000000"/>
                <w:sz w:val="22"/>
                <w:szCs w:val="22"/>
                <w:highlight w:val="none"/>
              </w:rPr>
              <w:t>1、问：针对SK海力士所披露的产能扩建计划，请问公司对未来与之相关的业务进展如何展望？</w:t>
            </w:r>
          </w:p>
          <w:p w14:paraId="245CAA84">
            <w:pPr>
              <w:spacing w:line="360" w:lineRule="auto"/>
              <w:rPr>
                <w:rFonts w:hint="eastAsia" w:ascii="宋体" w:hAnsi="宋体" w:eastAsia="宋体" w:cs="Times New Roman"/>
                <w:b w:val="0"/>
                <w:bCs w:val="0"/>
                <w:color w:val="000000"/>
                <w:sz w:val="22"/>
                <w:szCs w:val="22"/>
                <w:highlight w:val="none"/>
              </w:rPr>
            </w:pPr>
            <w:r>
              <w:rPr>
                <w:rFonts w:hint="eastAsia" w:ascii="宋体" w:hAnsi="宋体" w:eastAsia="宋体" w:cs="Times New Roman"/>
                <w:b w:val="0"/>
                <w:bCs w:val="0"/>
                <w:color w:val="000000"/>
                <w:sz w:val="22"/>
                <w:szCs w:val="22"/>
                <w:highlight w:val="none"/>
              </w:rPr>
              <w:t>答：公司与海力士保持着多年良好的合作关系，长期保持常态化沟通对接，公司相关业务进展与客户合作情况达到信息披露标准后，将及时履行披露义务。敬请关注公司后续披露的公告。感谢您的关注！</w:t>
            </w:r>
          </w:p>
          <w:p w14:paraId="46BA964A">
            <w:pPr>
              <w:spacing w:line="360" w:lineRule="auto"/>
              <w:rPr>
                <w:rFonts w:hint="eastAsia" w:ascii="宋体" w:hAnsi="宋体" w:eastAsia="宋体" w:cs="Times New Roman"/>
                <w:b w:val="0"/>
                <w:bCs w:val="0"/>
                <w:color w:val="000000"/>
                <w:sz w:val="22"/>
                <w:szCs w:val="22"/>
                <w:highlight w:val="none"/>
              </w:rPr>
            </w:pPr>
          </w:p>
          <w:p w14:paraId="600E960B">
            <w:pPr>
              <w:spacing w:line="360" w:lineRule="auto"/>
              <w:rPr>
                <w:rFonts w:hint="eastAsia" w:ascii="宋体" w:hAnsi="宋体" w:eastAsia="宋体" w:cs="Times New Roman"/>
                <w:b/>
                <w:bCs/>
                <w:color w:val="000000"/>
                <w:sz w:val="22"/>
                <w:szCs w:val="22"/>
                <w:highlight w:val="none"/>
              </w:rPr>
            </w:pPr>
            <w:r>
              <w:rPr>
                <w:rFonts w:hint="eastAsia" w:ascii="宋体" w:hAnsi="宋体" w:eastAsia="宋体" w:cs="Times New Roman"/>
                <w:b/>
                <w:bCs/>
                <w:color w:val="000000"/>
                <w:sz w:val="22"/>
                <w:szCs w:val="22"/>
                <w:highlight w:val="none"/>
              </w:rPr>
              <w:t>2、问：今年上半年公司新签订单增速亮眼，请问在新签订单的产品结构中，清洗设备、电镀设备、先进封装设备等业务板块的占比情况如何？</w:t>
            </w:r>
          </w:p>
          <w:p w14:paraId="1D6BAE51">
            <w:pPr>
              <w:spacing w:line="360" w:lineRule="auto"/>
              <w:rPr>
                <w:rFonts w:hint="eastAsia" w:ascii="宋体" w:hAnsi="宋体" w:eastAsia="宋体" w:cs="Times New Roman"/>
                <w:b w:val="0"/>
                <w:bCs w:val="0"/>
                <w:color w:val="000000"/>
                <w:sz w:val="22"/>
                <w:szCs w:val="22"/>
                <w:highlight w:val="none"/>
              </w:rPr>
            </w:pPr>
            <w:r>
              <w:rPr>
                <w:rFonts w:hint="eastAsia" w:ascii="宋体" w:hAnsi="宋体" w:eastAsia="宋体" w:cs="Times New Roman"/>
                <w:b w:val="0"/>
                <w:bCs w:val="0"/>
                <w:color w:val="000000"/>
                <w:sz w:val="22"/>
                <w:szCs w:val="22"/>
                <w:highlight w:val="none"/>
              </w:rPr>
              <w:t>答：从订单结构来看，电镀设备、清洗设备及先进封装设备三大业务板块均实现显著增长。其中，电镀设备业务增量较为突出，覆盖前道铜互联电镀设备、后道晶圆级及三维堆叠电镀设备、水平式面板级先进封装电镀设备。</w:t>
            </w:r>
          </w:p>
          <w:p w14:paraId="166D8292">
            <w:pPr>
              <w:spacing w:line="360" w:lineRule="auto"/>
              <w:rPr>
                <w:rFonts w:hint="eastAsia" w:ascii="宋体" w:hAnsi="宋体" w:eastAsia="宋体" w:cs="Times New Roman"/>
                <w:b w:val="0"/>
                <w:bCs w:val="0"/>
                <w:color w:val="000000"/>
                <w:sz w:val="22"/>
                <w:szCs w:val="22"/>
                <w:highlight w:val="none"/>
              </w:rPr>
            </w:pPr>
            <w:r>
              <w:rPr>
                <w:rFonts w:hint="eastAsia" w:ascii="宋体" w:hAnsi="宋体" w:eastAsia="宋体" w:cs="Times New Roman"/>
                <w:b w:val="0"/>
                <w:bCs w:val="0"/>
                <w:color w:val="000000"/>
                <w:sz w:val="22"/>
                <w:szCs w:val="22"/>
                <w:highlight w:val="none"/>
              </w:rPr>
              <w:t>在清洗设备方面，公司单片清洗、槽式清洗及SPM清洗设备的订单均有大幅增长。今年上半年，公司高温SPM清洗方案关键技术已获得重大突破，凭借自研专利喷嘴，在15纳米制程下实现颗粒数少于15颗的全球领先指标，并已出货数台单片高温SPM设备，预计到2026年底将累计出货超过20台。</w:t>
            </w:r>
          </w:p>
          <w:p w14:paraId="7FFEE982">
            <w:pPr>
              <w:spacing w:line="360" w:lineRule="auto"/>
              <w:rPr>
                <w:rFonts w:hint="eastAsia" w:ascii="宋体" w:hAnsi="宋体" w:eastAsia="宋体" w:cs="Times New Roman"/>
                <w:b w:val="0"/>
                <w:bCs w:val="0"/>
                <w:color w:val="000000"/>
                <w:sz w:val="22"/>
                <w:szCs w:val="22"/>
                <w:highlight w:val="none"/>
              </w:rPr>
            </w:pPr>
            <w:r>
              <w:rPr>
                <w:rFonts w:hint="eastAsia" w:ascii="宋体" w:hAnsi="宋体" w:eastAsia="宋体" w:cs="Times New Roman"/>
                <w:b w:val="0"/>
                <w:bCs w:val="0"/>
                <w:color w:val="000000"/>
                <w:sz w:val="22"/>
                <w:szCs w:val="22"/>
                <w:highlight w:val="none"/>
              </w:rPr>
              <w:t>先进封装湿法设备方面，业务订单亦呈现强劲增长态势，公司已斩获来自全球多家头部半导体及科技企业的先进封装设备订单，海内外客户相关设备需求下半年将持续释放。</w:t>
            </w:r>
          </w:p>
          <w:p w14:paraId="74A956EA">
            <w:pPr>
              <w:spacing w:line="360" w:lineRule="auto"/>
              <w:rPr>
                <w:rFonts w:hint="eastAsia" w:ascii="宋体" w:hAnsi="宋体" w:eastAsia="宋体" w:cs="Times New Roman"/>
                <w:b w:val="0"/>
                <w:bCs w:val="0"/>
                <w:color w:val="000000"/>
                <w:sz w:val="22"/>
                <w:szCs w:val="22"/>
                <w:highlight w:val="none"/>
              </w:rPr>
            </w:pPr>
          </w:p>
          <w:p w14:paraId="4B639788">
            <w:pPr>
              <w:spacing w:line="360" w:lineRule="auto"/>
              <w:rPr>
                <w:rFonts w:hint="eastAsia" w:ascii="宋体" w:hAnsi="宋体" w:eastAsia="宋体" w:cs="Times New Roman"/>
                <w:b/>
                <w:bCs/>
                <w:color w:val="000000"/>
                <w:sz w:val="22"/>
                <w:szCs w:val="22"/>
                <w:highlight w:val="none"/>
              </w:rPr>
            </w:pPr>
            <w:r>
              <w:rPr>
                <w:rFonts w:hint="eastAsia" w:ascii="宋体" w:hAnsi="宋体" w:eastAsia="宋体" w:cs="Times New Roman"/>
                <w:b/>
                <w:bCs/>
                <w:color w:val="000000"/>
                <w:sz w:val="22"/>
                <w:szCs w:val="22"/>
                <w:highlight w:val="none"/>
              </w:rPr>
              <w:t>3、问：关于公司近期披露面板级电镀设备获得新的评估订单，请问能否简单介绍相关设备的交付周期？</w:t>
            </w:r>
          </w:p>
          <w:p w14:paraId="2B9A4706">
            <w:pPr>
              <w:spacing w:line="360" w:lineRule="auto"/>
              <w:rPr>
                <w:rFonts w:hint="eastAsia" w:ascii="宋体" w:hAnsi="宋体" w:eastAsia="宋体" w:cs="Times New Roman"/>
                <w:b w:val="0"/>
                <w:bCs w:val="0"/>
                <w:color w:val="000000"/>
                <w:sz w:val="22"/>
                <w:szCs w:val="22"/>
                <w:highlight w:val="none"/>
              </w:rPr>
            </w:pPr>
            <w:r>
              <w:rPr>
                <w:rFonts w:hint="eastAsia" w:ascii="宋体" w:hAnsi="宋体" w:eastAsia="宋体" w:cs="Times New Roman"/>
                <w:b w:val="0"/>
                <w:bCs w:val="0"/>
                <w:color w:val="000000"/>
                <w:sz w:val="22"/>
                <w:szCs w:val="22"/>
                <w:highlight w:val="none"/>
              </w:rPr>
              <w:t>答：在面板级电镀设备方面，基于对行业发展趋势与市场技术需求的预判，2022年公司率先布局水平式电镀技术，现已可支持应用于310×310 mm、510×515 mm及600×600mm等面板尺寸。今年，公司已收获来自中国大陆一家现有先进封装客户的首台510×515mm面板级水平式电镀量产设备订单，计划于2027年第一季度交付。同时，公司还收获来自亚洲地区一家领先面板封装客户的一台310×310mm面板级水平式电镀评估设备，将在今年内交付。</w:t>
            </w:r>
          </w:p>
          <w:p w14:paraId="59B74AC4">
            <w:pPr>
              <w:spacing w:line="360" w:lineRule="auto"/>
              <w:rPr>
                <w:rFonts w:hint="eastAsia" w:ascii="宋体" w:hAnsi="宋体" w:eastAsia="宋体" w:cs="Times New Roman"/>
                <w:b w:val="0"/>
                <w:bCs w:val="0"/>
                <w:color w:val="000000"/>
                <w:sz w:val="22"/>
                <w:szCs w:val="22"/>
                <w:highlight w:val="none"/>
              </w:rPr>
            </w:pPr>
          </w:p>
          <w:p w14:paraId="32470ED5">
            <w:pPr>
              <w:spacing w:line="360" w:lineRule="auto"/>
              <w:rPr>
                <w:rFonts w:hint="eastAsia" w:ascii="宋体" w:hAnsi="宋体" w:eastAsia="宋体" w:cs="Times New Roman"/>
                <w:b/>
                <w:bCs/>
                <w:color w:val="000000"/>
                <w:sz w:val="22"/>
                <w:szCs w:val="22"/>
                <w:highlight w:val="none"/>
              </w:rPr>
            </w:pPr>
            <w:r>
              <w:rPr>
                <w:rFonts w:hint="eastAsia" w:ascii="宋体" w:hAnsi="宋体" w:eastAsia="宋体" w:cs="Times New Roman"/>
                <w:b/>
                <w:bCs/>
                <w:color w:val="000000"/>
                <w:sz w:val="22"/>
                <w:szCs w:val="22"/>
                <w:highlight w:val="none"/>
              </w:rPr>
              <w:t>4、问：公司今年新签订单的整体情况如何？哪个领域的增长潜力更大？</w:t>
            </w:r>
          </w:p>
          <w:p w14:paraId="4A31B1B1">
            <w:pPr>
              <w:spacing w:line="360" w:lineRule="auto"/>
              <w:rPr>
                <w:rFonts w:hint="eastAsia" w:ascii="宋体" w:hAnsi="宋体" w:eastAsia="宋体" w:cs="Times New Roman"/>
                <w:b w:val="0"/>
                <w:bCs w:val="0"/>
                <w:color w:val="000000"/>
                <w:sz w:val="22"/>
                <w:szCs w:val="22"/>
                <w:highlight w:val="none"/>
              </w:rPr>
            </w:pPr>
            <w:r>
              <w:rPr>
                <w:rFonts w:hint="eastAsia" w:ascii="宋体" w:hAnsi="宋体" w:eastAsia="宋体" w:cs="Times New Roman"/>
                <w:b w:val="0"/>
                <w:bCs w:val="0"/>
                <w:color w:val="000000"/>
                <w:sz w:val="22"/>
                <w:szCs w:val="22"/>
                <w:highlight w:val="none"/>
              </w:rPr>
              <w:t>答：今年上半年公司新签订单同比增长105%，存储、逻辑、先进封装三个领域均呈现稳健增长，具体在手订单情况敬请关注公司后续披露的相关公告。此外，公司已关注到成熟制程环节的快速增长趋势。随着AI技术不断渗透及下游应用场景拓展，公司认为相应设备需求也将同步提升，仍有较大的成长空间。</w:t>
            </w:r>
          </w:p>
          <w:p w14:paraId="2C61EDE2">
            <w:pPr>
              <w:spacing w:line="360" w:lineRule="auto"/>
              <w:rPr>
                <w:rFonts w:hint="eastAsia" w:ascii="宋体" w:hAnsi="宋体" w:eastAsia="宋体" w:cs="Times New Roman"/>
                <w:b w:val="0"/>
                <w:bCs w:val="0"/>
                <w:color w:val="000000"/>
                <w:sz w:val="22"/>
                <w:szCs w:val="22"/>
                <w:highlight w:val="none"/>
              </w:rPr>
            </w:pPr>
          </w:p>
          <w:p w14:paraId="7DC7C477">
            <w:pPr>
              <w:spacing w:line="360" w:lineRule="auto"/>
              <w:rPr>
                <w:rFonts w:hint="eastAsia" w:ascii="宋体" w:hAnsi="宋体" w:eastAsia="宋体" w:cs="Times New Roman"/>
                <w:b/>
                <w:bCs/>
                <w:color w:val="000000"/>
                <w:sz w:val="22"/>
                <w:szCs w:val="22"/>
                <w:highlight w:val="none"/>
              </w:rPr>
            </w:pPr>
            <w:r>
              <w:rPr>
                <w:rFonts w:hint="eastAsia" w:ascii="宋体" w:hAnsi="宋体" w:eastAsia="宋体" w:cs="Times New Roman"/>
                <w:b/>
                <w:bCs/>
                <w:color w:val="000000"/>
                <w:sz w:val="22"/>
                <w:szCs w:val="22"/>
                <w:highlight w:val="none"/>
              </w:rPr>
              <w:t>5、问：当前半导体设备行业市场竞争加剧，请问公司如何判断竞争态势对毛利率带来的影响，对未来毛利率水平有怎样的展望？</w:t>
            </w:r>
          </w:p>
          <w:p w14:paraId="7189C7DE">
            <w:pPr>
              <w:spacing w:line="360" w:lineRule="auto"/>
              <w:rPr>
                <w:rFonts w:hint="eastAsia" w:ascii="宋体" w:hAnsi="宋体" w:eastAsia="宋体" w:cs="Times New Roman"/>
                <w:b w:val="0"/>
                <w:bCs w:val="0"/>
                <w:color w:val="000000"/>
                <w:sz w:val="22"/>
                <w:szCs w:val="22"/>
                <w:highlight w:val="none"/>
              </w:rPr>
            </w:pPr>
            <w:r>
              <w:rPr>
                <w:rFonts w:hint="eastAsia" w:ascii="宋体" w:hAnsi="宋体" w:eastAsia="宋体" w:cs="Times New Roman"/>
                <w:b w:val="0"/>
                <w:bCs w:val="0"/>
                <w:color w:val="000000"/>
                <w:sz w:val="22"/>
                <w:szCs w:val="22"/>
                <w:highlight w:val="none"/>
              </w:rPr>
              <w:t>答：公司预计未来整体毛利率水平仍将维持在42%-48%之间，其中，单季度毛利率可能会随产品结构变化出现一定波动。市场竞争格局变化加快的情况下，公司认为差异化创新的发展路径仍是保持毛利率水平的核心支柱。未来，公司也将继续秉承“技术差异化、产品平台化、客户全球化”发展战略，坚持正向自主创新，依托专利布局构建技术壁垒，应对行业竞争，满足全球客户日益提升的技术需求。</w:t>
            </w:r>
          </w:p>
          <w:p w14:paraId="2E539E69">
            <w:pPr>
              <w:spacing w:line="360" w:lineRule="auto"/>
              <w:rPr>
                <w:rFonts w:hint="eastAsia" w:ascii="宋体" w:hAnsi="宋体" w:eastAsia="宋体" w:cs="Times New Roman"/>
                <w:b w:val="0"/>
                <w:bCs w:val="0"/>
                <w:color w:val="000000"/>
                <w:sz w:val="22"/>
                <w:szCs w:val="22"/>
                <w:highlight w:val="none"/>
              </w:rPr>
            </w:pPr>
          </w:p>
          <w:p w14:paraId="577CB634">
            <w:pPr>
              <w:spacing w:line="360" w:lineRule="auto"/>
              <w:rPr>
                <w:rFonts w:hint="eastAsia" w:ascii="宋体" w:hAnsi="宋体" w:eastAsia="宋体" w:cs="Times New Roman"/>
                <w:b/>
                <w:bCs/>
                <w:color w:val="000000"/>
                <w:sz w:val="22"/>
                <w:szCs w:val="22"/>
                <w:highlight w:val="none"/>
              </w:rPr>
            </w:pPr>
            <w:r>
              <w:rPr>
                <w:rFonts w:hint="eastAsia" w:ascii="宋体" w:hAnsi="宋体" w:eastAsia="宋体" w:cs="Times New Roman"/>
                <w:b/>
                <w:bCs/>
                <w:color w:val="000000"/>
                <w:sz w:val="22"/>
                <w:szCs w:val="22"/>
                <w:highlight w:val="none"/>
              </w:rPr>
              <w:t>6、问：请介绍下公司炉管设备的整体布局以及当前各条产品线的研发、客户端推进情况？</w:t>
            </w:r>
          </w:p>
          <w:p w14:paraId="684E4B03">
            <w:pPr>
              <w:spacing w:line="360" w:lineRule="auto"/>
              <w:rPr>
                <w:rFonts w:hint="eastAsia" w:ascii="宋体" w:hAnsi="宋体" w:eastAsia="宋体" w:cs="Times New Roman"/>
                <w:color w:val="000000"/>
                <w:sz w:val="22"/>
                <w:szCs w:val="22"/>
              </w:rPr>
            </w:pPr>
            <w:r>
              <w:rPr>
                <w:rFonts w:hint="eastAsia" w:ascii="宋体" w:hAnsi="宋体" w:eastAsia="宋体" w:cs="Times New Roman"/>
                <w:b w:val="0"/>
                <w:bCs w:val="0"/>
                <w:color w:val="000000"/>
                <w:sz w:val="22"/>
                <w:szCs w:val="22"/>
                <w:highlight w:val="none"/>
              </w:rPr>
              <w:t>答：公司早在2019年就开始布局炉管设备，目前，公司炉管系列设备已实现LPCVD、常压氧化扩散炉管、原子层沉积炉管（ALD）多条技术路线布局，公司长期目标为实现工艺的全覆盖。其中，常压氧化炉和LPCVD炉管已经逐步应用于多个中国集成电路制造工厂，且逐步通过验证并正在向更多订单量发展。多款ALD正在加大力度开发和陆续进入客户端验证，部分工艺完成小批量验证，正在做最后优化测试。同时，公司2026年自主开发的超高温立式炉管和多款等离子体增强以及热原子层沉积炉管正在客户端以及盛美临港测试研发线上进行测试调优，进展顺利。</w:t>
            </w:r>
          </w:p>
        </w:tc>
      </w:tr>
      <w:bookmarkEnd w:id="0"/>
    </w:tbl>
    <w:p w14:paraId="5C7C4C2F">
      <w:pPr>
        <w:widowControl/>
        <w:jc w:val="left"/>
        <w:rPr>
          <w:rFonts w:ascii="宋体" w:hAnsi="宋体" w:eastAsia="宋体" w:cs="Times New Roman"/>
          <w:iCs/>
          <w:sz w:val="24"/>
          <w:szCs w:val="24"/>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49BE670">
      <w:pPr>
        <w:widowControl/>
        <w:jc w:val="left"/>
        <w:rPr>
          <w:rFonts w:ascii="宋体" w:hAnsi="宋体" w:eastAsia="宋体" w:cs="Times New Roman"/>
          <w:b/>
          <w:bCs/>
          <w:iCs/>
          <w:sz w:val="24"/>
          <w:szCs w:val="24"/>
        </w:rPr>
      </w:pPr>
      <w:r>
        <w:rPr>
          <w:rFonts w:hint="eastAsia" w:ascii="宋体" w:hAnsi="宋体" w:eastAsia="宋体" w:cs="Times New Roman"/>
          <w:b/>
          <w:bCs/>
          <w:iCs/>
          <w:sz w:val="24"/>
          <w:szCs w:val="24"/>
        </w:rPr>
        <w:t>附：参与单位名称</w:t>
      </w:r>
    </w:p>
    <w:p w14:paraId="1B29AAAA">
      <w:pPr>
        <w:widowControl/>
        <w:jc w:val="left"/>
        <w:rPr>
          <w:rFonts w:hint="eastAsia" w:ascii="宋体" w:hAnsi="宋体" w:eastAsia="宋体" w:cs="Times New Roman"/>
          <w:iCs/>
          <w:sz w:val="24"/>
          <w:szCs w:val="24"/>
        </w:rPr>
      </w:pPr>
    </w:p>
    <w:p w14:paraId="0DCE3546">
      <w:pPr>
        <w:rPr>
          <w:rFonts w:hint="eastAsia" w:ascii="宋体" w:hAnsi="宋体" w:eastAsia="宋体" w:cs="宋体"/>
          <w:sz w:val="24"/>
          <w:szCs w:val="24"/>
        </w:rPr>
      </w:pPr>
      <w:r>
        <w:rPr>
          <w:rFonts w:hint="eastAsia" w:ascii="宋体" w:hAnsi="宋体" w:eastAsia="宋体" w:cs="宋体"/>
          <w:sz w:val="24"/>
          <w:szCs w:val="24"/>
        </w:rPr>
        <w:t>Citadel Enterprise Americas LLC</w:t>
      </w:r>
    </w:p>
    <w:p w14:paraId="491E5787">
      <w:pPr>
        <w:rPr>
          <w:rFonts w:hint="eastAsia" w:ascii="宋体" w:hAnsi="宋体" w:eastAsia="宋体" w:cs="宋体"/>
          <w:sz w:val="24"/>
          <w:szCs w:val="24"/>
        </w:rPr>
      </w:pPr>
      <w:r>
        <w:rPr>
          <w:rFonts w:hint="eastAsia" w:ascii="宋体" w:hAnsi="宋体" w:eastAsia="宋体" w:cs="宋体"/>
          <w:sz w:val="24"/>
          <w:szCs w:val="24"/>
        </w:rPr>
        <w:t>dc investments</w:t>
      </w:r>
    </w:p>
    <w:p w14:paraId="726375C6">
      <w:pPr>
        <w:rPr>
          <w:rFonts w:hint="eastAsia" w:ascii="宋体" w:hAnsi="宋体" w:eastAsia="宋体" w:cs="宋体"/>
          <w:sz w:val="24"/>
          <w:szCs w:val="24"/>
        </w:rPr>
      </w:pPr>
      <w:r>
        <w:rPr>
          <w:rFonts w:hint="eastAsia" w:ascii="宋体" w:hAnsi="宋体" w:eastAsia="宋体" w:cs="宋体"/>
          <w:sz w:val="24"/>
          <w:szCs w:val="24"/>
        </w:rPr>
        <w:t>East Top Cap</w:t>
      </w:r>
    </w:p>
    <w:p w14:paraId="32612406">
      <w:pPr>
        <w:rPr>
          <w:rFonts w:hint="eastAsia" w:ascii="宋体" w:hAnsi="宋体" w:eastAsia="宋体" w:cs="宋体"/>
          <w:sz w:val="24"/>
          <w:szCs w:val="24"/>
        </w:rPr>
      </w:pPr>
      <w:r>
        <w:rPr>
          <w:rFonts w:hint="eastAsia" w:ascii="宋体" w:hAnsi="宋体" w:eastAsia="宋体" w:cs="宋体"/>
          <w:sz w:val="24"/>
          <w:szCs w:val="24"/>
        </w:rPr>
        <w:t>IGWT Investment</w:t>
      </w:r>
    </w:p>
    <w:p w14:paraId="2F7FB960">
      <w:pPr>
        <w:rPr>
          <w:rFonts w:hint="eastAsia" w:ascii="宋体" w:hAnsi="宋体" w:eastAsia="宋体" w:cs="宋体"/>
          <w:sz w:val="24"/>
          <w:szCs w:val="24"/>
        </w:rPr>
      </w:pPr>
      <w:r>
        <w:rPr>
          <w:rFonts w:hint="eastAsia" w:ascii="宋体" w:hAnsi="宋体" w:eastAsia="宋体" w:cs="宋体"/>
          <w:sz w:val="24"/>
          <w:szCs w:val="24"/>
        </w:rPr>
        <w:t>Jain Global (Hong Kong) Limited</w:t>
      </w:r>
    </w:p>
    <w:p w14:paraId="1256791C">
      <w:pPr>
        <w:rPr>
          <w:rFonts w:hint="eastAsia" w:ascii="宋体" w:hAnsi="宋体" w:eastAsia="宋体" w:cs="宋体"/>
          <w:sz w:val="24"/>
          <w:szCs w:val="24"/>
        </w:rPr>
      </w:pPr>
      <w:r>
        <w:rPr>
          <w:rFonts w:hint="eastAsia" w:ascii="宋体" w:hAnsi="宋体" w:eastAsia="宋体" w:cs="宋体"/>
          <w:sz w:val="24"/>
          <w:szCs w:val="24"/>
        </w:rPr>
        <w:t>Jellola Investments Pte. Ltd.</w:t>
      </w:r>
    </w:p>
    <w:p w14:paraId="17C69D74">
      <w:pPr>
        <w:rPr>
          <w:rFonts w:hint="eastAsia" w:ascii="宋体" w:hAnsi="宋体" w:eastAsia="宋体" w:cs="宋体"/>
          <w:sz w:val="24"/>
          <w:szCs w:val="24"/>
        </w:rPr>
      </w:pPr>
      <w:r>
        <w:rPr>
          <w:rFonts w:hint="eastAsia" w:ascii="宋体" w:hAnsi="宋体" w:eastAsia="宋体" w:cs="宋体"/>
          <w:sz w:val="24"/>
          <w:szCs w:val="24"/>
        </w:rPr>
        <w:t>MARCO POLO PURE ASSET MANAGEMENT LIMITED</w:t>
      </w:r>
    </w:p>
    <w:p w14:paraId="30621316">
      <w:pPr>
        <w:rPr>
          <w:rFonts w:hint="eastAsia" w:ascii="宋体" w:hAnsi="宋体" w:eastAsia="宋体" w:cs="宋体"/>
          <w:sz w:val="24"/>
          <w:szCs w:val="24"/>
        </w:rPr>
      </w:pPr>
      <w:r>
        <w:rPr>
          <w:rFonts w:hint="eastAsia" w:ascii="宋体" w:hAnsi="宋体" w:eastAsia="宋体" w:cs="宋体"/>
          <w:sz w:val="24"/>
          <w:szCs w:val="24"/>
        </w:rPr>
        <w:t>Morgan Stanley</w:t>
      </w:r>
    </w:p>
    <w:p w14:paraId="39B83369">
      <w:pPr>
        <w:rPr>
          <w:rFonts w:hint="eastAsia" w:ascii="宋体" w:hAnsi="宋体" w:eastAsia="宋体" w:cs="宋体"/>
          <w:sz w:val="24"/>
          <w:szCs w:val="24"/>
        </w:rPr>
      </w:pPr>
      <w:r>
        <w:rPr>
          <w:rFonts w:hint="eastAsia" w:ascii="宋体" w:hAnsi="宋体" w:eastAsia="宋体" w:cs="宋体"/>
          <w:sz w:val="24"/>
          <w:szCs w:val="24"/>
        </w:rPr>
        <w:t>Point72 Hong Kong Limited</w:t>
      </w:r>
    </w:p>
    <w:p w14:paraId="4FB08692">
      <w:pPr>
        <w:rPr>
          <w:rFonts w:hint="eastAsia" w:ascii="宋体" w:hAnsi="宋体" w:eastAsia="宋体" w:cs="宋体"/>
          <w:sz w:val="24"/>
          <w:szCs w:val="24"/>
        </w:rPr>
      </w:pPr>
      <w:r>
        <w:rPr>
          <w:rFonts w:hint="eastAsia" w:ascii="宋体" w:hAnsi="宋体" w:eastAsia="宋体" w:cs="宋体"/>
          <w:sz w:val="24"/>
          <w:szCs w:val="24"/>
        </w:rPr>
        <w:t>SINGULAR ASSET MANAGEMENT SDN.BHD.</w:t>
      </w:r>
    </w:p>
    <w:p w14:paraId="4636C95E">
      <w:pPr>
        <w:rPr>
          <w:rFonts w:hint="eastAsia" w:ascii="宋体" w:hAnsi="宋体" w:eastAsia="宋体" w:cs="宋体"/>
          <w:sz w:val="24"/>
          <w:szCs w:val="24"/>
        </w:rPr>
      </w:pPr>
      <w:r>
        <w:rPr>
          <w:rFonts w:hint="eastAsia" w:ascii="宋体" w:hAnsi="宋体" w:eastAsia="宋体" w:cs="宋体"/>
          <w:sz w:val="24"/>
          <w:szCs w:val="24"/>
        </w:rPr>
        <w:t>UG INVESTMENT ADVISERS LTD</w:t>
      </w:r>
    </w:p>
    <w:p w14:paraId="0C4FFBB7">
      <w:pPr>
        <w:rPr>
          <w:rFonts w:hint="eastAsia" w:ascii="宋体" w:hAnsi="宋体" w:eastAsia="宋体" w:cs="宋体"/>
          <w:sz w:val="24"/>
          <w:szCs w:val="24"/>
        </w:rPr>
      </w:pPr>
      <w:r>
        <w:rPr>
          <w:rFonts w:hint="eastAsia" w:ascii="宋体" w:hAnsi="宋体" w:eastAsia="宋体" w:cs="宋体"/>
          <w:sz w:val="24"/>
          <w:szCs w:val="24"/>
        </w:rPr>
        <w:t>WFM Asia</w:t>
      </w:r>
    </w:p>
    <w:p w14:paraId="7DC07119">
      <w:pPr>
        <w:rPr>
          <w:rFonts w:hint="eastAsia" w:ascii="宋体" w:hAnsi="宋体" w:eastAsia="宋体" w:cs="宋体"/>
          <w:sz w:val="24"/>
          <w:szCs w:val="24"/>
        </w:rPr>
      </w:pPr>
      <w:r>
        <w:rPr>
          <w:rFonts w:hint="eastAsia" w:ascii="宋体" w:hAnsi="宋体" w:eastAsia="宋体" w:cs="宋体"/>
          <w:sz w:val="24"/>
          <w:szCs w:val="24"/>
        </w:rPr>
        <w:t>埃普斯国际(香港)有限公司</w:t>
      </w:r>
    </w:p>
    <w:p w14:paraId="14CECCDF">
      <w:pPr>
        <w:rPr>
          <w:rFonts w:hint="eastAsia" w:ascii="宋体" w:hAnsi="宋体" w:eastAsia="宋体" w:cs="宋体"/>
          <w:sz w:val="24"/>
          <w:szCs w:val="24"/>
        </w:rPr>
      </w:pPr>
      <w:r>
        <w:rPr>
          <w:rFonts w:hint="eastAsia" w:ascii="宋体" w:hAnsi="宋体" w:eastAsia="宋体" w:cs="宋体"/>
          <w:sz w:val="24"/>
          <w:szCs w:val="24"/>
        </w:rPr>
        <w:t>安和(广州)私募证券投资基金管理有限公司</w:t>
      </w:r>
    </w:p>
    <w:p w14:paraId="6219B5CF">
      <w:pPr>
        <w:rPr>
          <w:rFonts w:hint="eastAsia" w:ascii="宋体" w:hAnsi="宋体" w:eastAsia="宋体" w:cs="宋体"/>
          <w:sz w:val="24"/>
          <w:szCs w:val="24"/>
        </w:rPr>
      </w:pPr>
      <w:r>
        <w:rPr>
          <w:rFonts w:hint="eastAsia" w:ascii="宋体" w:hAnsi="宋体" w:eastAsia="宋体" w:cs="宋体"/>
          <w:sz w:val="24"/>
          <w:szCs w:val="24"/>
        </w:rPr>
        <w:t>北京泾谷私募基金管理有限公司</w:t>
      </w:r>
    </w:p>
    <w:p w14:paraId="3E9BAFF4">
      <w:pPr>
        <w:rPr>
          <w:rFonts w:hint="eastAsia" w:ascii="宋体" w:hAnsi="宋体" w:eastAsia="宋体" w:cs="宋体"/>
          <w:sz w:val="24"/>
          <w:szCs w:val="24"/>
        </w:rPr>
      </w:pPr>
      <w:r>
        <w:rPr>
          <w:rFonts w:hint="eastAsia" w:ascii="宋体" w:hAnsi="宋体" w:eastAsia="宋体" w:cs="宋体"/>
          <w:sz w:val="24"/>
          <w:szCs w:val="24"/>
        </w:rPr>
        <w:t>北京诺昌投资管理有限公司</w:t>
      </w:r>
    </w:p>
    <w:p w14:paraId="64FD2324">
      <w:pPr>
        <w:rPr>
          <w:rFonts w:hint="eastAsia" w:ascii="宋体" w:hAnsi="宋体" w:eastAsia="宋体" w:cs="宋体"/>
          <w:sz w:val="24"/>
          <w:szCs w:val="24"/>
        </w:rPr>
      </w:pPr>
      <w:r>
        <w:rPr>
          <w:rFonts w:hint="eastAsia" w:ascii="宋体" w:hAnsi="宋体" w:eastAsia="宋体" w:cs="宋体"/>
          <w:sz w:val="24"/>
          <w:szCs w:val="24"/>
        </w:rPr>
        <w:t>渤海人寿保险股份有限公司</w:t>
      </w:r>
    </w:p>
    <w:p w14:paraId="547518FC">
      <w:pPr>
        <w:rPr>
          <w:rFonts w:hint="eastAsia" w:ascii="宋体" w:hAnsi="宋体" w:eastAsia="宋体" w:cs="宋体"/>
          <w:sz w:val="24"/>
          <w:szCs w:val="24"/>
        </w:rPr>
      </w:pPr>
      <w:r>
        <w:rPr>
          <w:rFonts w:hint="eastAsia" w:ascii="宋体" w:hAnsi="宋体" w:eastAsia="宋体" w:cs="宋体"/>
          <w:sz w:val="24"/>
          <w:szCs w:val="24"/>
        </w:rPr>
        <w:t>财达证券股份有限公司</w:t>
      </w:r>
    </w:p>
    <w:p w14:paraId="659DD2F5">
      <w:pPr>
        <w:rPr>
          <w:rFonts w:hint="eastAsia" w:ascii="宋体" w:hAnsi="宋体" w:eastAsia="宋体" w:cs="宋体"/>
          <w:sz w:val="24"/>
          <w:szCs w:val="24"/>
        </w:rPr>
      </w:pPr>
      <w:r>
        <w:rPr>
          <w:rFonts w:hint="eastAsia" w:ascii="宋体" w:hAnsi="宋体" w:eastAsia="宋体" w:cs="宋体"/>
          <w:sz w:val="24"/>
          <w:szCs w:val="24"/>
        </w:rPr>
        <w:t>大和日华(上海)企业咨询有限公司</w:t>
      </w:r>
    </w:p>
    <w:p w14:paraId="21B43A5A">
      <w:pPr>
        <w:rPr>
          <w:rFonts w:hint="eastAsia" w:ascii="宋体" w:hAnsi="宋体" w:eastAsia="宋体" w:cs="宋体"/>
          <w:sz w:val="24"/>
          <w:szCs w:val="24"/>
        </w:rPr>
      </w:pPr>
      <w:r>
        <w:rPr>
          <w:rFonts w:hint="eastAsia" w:ascii="宋体" w:hAnsi="宋体" w:eastAsia="宋体" w:cs="宋体"/>
          <w:sz w:val="24"/>
          <w:szCs w:val="24"/>
        </w:rPr>
        <w:t>大华继显(香港)有限公司</w:t>
      </w:r>
    </w:p>
    <w:p w14:paraId="4B41C75F">
      <w:pPr>
        <w:rPr>
          <w:rFonts w:hint="eastAsia" w:ascii="宋体" w:hAnsi="宋体" w:eastAsia="宋体" w:cs="宋体"/>
          <w:sz w:val="24"/>
          <w:szCs w:val="24"/>
        </w:rPr>
      </w:pPr>
      <w:r>
        <w:rPr>
          <w:rFonts w:hint="eastAsia" w:ascii="宋体" w:hAnsi="宋体" w:eastAsia="宋体" w:cs="宋体"/>
          <w:sz w:val="24"/>
          <w:szCs w:val="24"/>
        </w:rPr>
        <w:t>大湾区发展基金管理有限公司</w:t>
      </w:r>
    </w:p>
    <w:p w14:paraId="20FC8413">
      <w:pPr>
        <w:rPr>
          <w:rFonts w:hint="eastAsia" w:ascii="宋体" w:hAnsi="宋体" w:eastAsia="宋体" w:cs="宋体"/>
          <w:sz w:val="24"/>
          <w:szCs w:val="24"/>
        </w:rPr>
      </w:pPr>
      <w:r>
        <w:rPr>
          <w:rFonts w:hint="eastAsia" w:ascii="宋体" w:hAnsi="宋体" w:eastAsia="宋体" w:cs="宋体"/>
          <w:sz w:val="24"/>
          <w:szCs w:val="24"/>
        </w:rPr>
        <w:t>东北证券股份有限公司</w:t>
      </w:r>
    </w:p>
    <w:p w14:paraId="64BF688C">
      <w:pPr>
        <w:rPr>
          <w:rFonts w:hint="eastAsia" w:ascii="宋体" w:hAnsi="宋体" w:eastAsia="宋体" w:cs="宋体"/>
          <w:sz w:val="24"/>
          <w:szCs w:val="24"/>
        </w:rPr>
      </w:pPr>
      <w:r>
        <w:rPr>
          <w:rFonts w:hint="eastAsia" w:ascii="宋体" w:hAnsi="宋体" w:eastAsia="宋体" w:cs="宋体"/>
          <w:sz w:val="24"/>
          <w:szCs w:val="24"/>
        </w:rPr>
        <w:t>东方财富证券股份有限公司</w:t>
      </w:r>
    </w:p>
    <w:p w14:paraId="39577711">
      <w:pPr>
        <w:rPr>
          <w:rFonts w:hint="eastAsia" w:ascii="宋体" w:hAnsi="宋体" w:eastAsia="宋体" w:cs="宋体"/>
          <w:sz w:val="24"/>
          <w:szCs w:val="24"/>
        </w:rPr>
      </w:pPr>
      <w:r>
        <w:rPr>
          <w:rFonts w:hint="eastAsia" w:ascii="宋体" w:hAnsi="宋体" w:eastAsia="宋体" w:cs="宋体"/>
          <w:sz w:val="24"/>
          <w:szCs w:val="24"/>
        </w:rPr>
        <w:t>东海证券股份有限公司</w:t>
      </w:r>
    </w:p>
    <w:p w14:paraId="5F7FA87A">
      <w:pPr>
        <w:rPr>
          <w:rFonts w:hint="eastAsia" w:ascii="宋体" w:hAnsi="宋体" w:eastAsia="宋体" w:cs="宋体"/>
          <w:sz w:val="24"/>
          <w:szCs w:val="24"/>
        </w:rPr>
      </w:pPr>
      <w:r>
        <w:rPr>
          <w:rFonts w:hint="eastAsia" w:ascii="宋体" w:hAnsi="宋体" w:eastAsia="宋体" w:cs="宋体"/>
          <w:sz w:val="24"/>
          <w:szCs w:val="24"/>
        </w:rPr>
        <w:t>东吴人寿保险股份有限公司</w:t>
      </w:r>
    </w:p>
    <w:p w14:paraId="3BE9F16D">
      <w:pPr>
        <w:rPr>
          <w:rFonts w:hint="eastAsia" w:ascii="宋体" w:hAnsi="宋体" w:eastAsia="宋体" w:cs="宋体"/>
          <w:sz w:val="24"/>
          <w:szCs w:val="24"/>
        </w:rPr>
      </w:pPr>
      <w:r>
        <w:rPr>
          <w:rFonts w:hint="eastAsia" w:ascii="宋体" w:hAnsi="宋体" w:eastAsia="宋体" w:cs="宋体"/>
          <w:sz w:val="24"/>
          <w:szCs w:val="24"/>
        </w:rPr>
        <w:t>方瀛研究与投资(香港)有限公司</w:t>
      </w:r>
    </w:p>
    <w:p w14:paraId="1CB759BB">
      <w:pPr>
        <w:rPr>
          <w:rFonts w:hint="eastAsia" w:ascii="宋体" w:hAnsi="宋体" w:eastAsia="宋体" w:cs="宋体"/>
          <w:sz w:val="24"/>
          <w:szCs w:val="24"/>
        </w:rPr>
      </w:pPr>
      <w:r>
        <w:rPr>
          <w:rFonts w:hint="eastAsia" w:ascii="宋体" w:hAnsi="宋体" w:eastAsia="宋体" w:cs="宋体"/>
          <w:sz w:val="24"/>
          <w:szCs w:val="24"/>
        </w:rPr>
        <w:t>方正证券股份有限公司</w:t>
      </w:r>
    </w:p>
    <w:p w14:paraId="260086A9">
      <w:pPr>
        <w:rPr>
          <w:rFonts w:hint="eastAsia" w:ascii="宋体" w:hAnsi="宋体" w:eastAsia="宋体" w:cs="宋体"/>
          <w:sz w:val="24"/>
          <w:szCs w:val="24"/>
        </w:rPr>
      </w:pPr>
      <w:r>
        <w:rPr>
          <w:rFonts w:hint="eastAsia" w:ascii="宋体" w:hAnsi="宋体" w:eastAsia="宋体" w:cs="宋体"/>
          <w:sz w:val="24"/>
          <w:szCs w:val="24"/>
        </w:rPr>
        <w:t>福州开发区三鑫资产管理有限公司</w:t>
      </w:r>
    </w:p>
    <w:p w14:paraId="2DC535DB">
      <w:pPr>
        <w:rPr>
          <w:rFonts w:hint="eastAsia" w:ascii="宋体" w:hAnsi="宋体" w:eastAsia="宋体" w:cs="宋体"/>
          <w:sz w:val="24"/>
          <w:szCs w:val="24"/>
        </w:rPr>
      </w:pPr>
      <w:r>
        <w:rPr>
          <w:rFonts w:hint="eastAsia" w:ascii="宋体" w:hAnsi="宋体" w:eastAsia="宋体" w:cs="宋体"/>
          <w:sz w:val="24"/>
          <w:szCs w:val="24"/>
        </w:rPr>
        <w:t>富兰克林邓普顿投资(亚洲)有限公司</w:t>
      </w:r>
    </w:p>
    <w:p w14:paraId="376477DA">
      <w:pPr>
        <w:rPr>
          <w:rFonts w:hint="eastAsia" w:ascii="宋体" w:hAnsi="宋体" w:eastAsia="宋体" w:cs="宋体"/>
          <w:sz w:val="24"/>
          <w:szCs w:val="24"/>
        </w:rPr>
      </w:pPr>
      <w:r>
        <w:rPr>
          <w:rFonts w:hint="eastAsia" w:ascii="宋体" w:hAnsi="宋体" w:eastAsia="宋体" w:cs="宋体"/>
          <w:sz w:val="24"/>
          <w:szCs w:val="24"/>
        </w:rPr>
        <w:t>高维私募基金管理(上海)有限公司</w:t>
      </w:r>
    </w:p>
    <w:p w14:paraId="647DA515">
      <w:pPr>
        <w:rPr>
          <w:rFonts w:hint="eastAsia" w:ascii="宋体" w:hAnsi="宋体" w:eastAsia="宋体" w:cs="宋体"/>
          <w:sz w:val="24"/>
          <w:szCs w:val="24"/>
        </w:rPr>
      </w:pPr>
      <w:r>
        <w:rPr>
          <w:rFonts w:hint="eastAsia" w:ascii="宋体" w:hAnsi="宋体" w:eastAsia="宋体" w:cs="宋体"/>
          <w:sz w:val="24"/>
          <w:szCs w:val="24"/>
        </w:rPr>
        <w:t>光大保德信基金管理有限公司</w:t>
      </w:r>
    </w:p>
    <w:p w14:paraId="3D9E0C6E">
      <w:pPr>
        <w:rPr>
          <w:rFonts w:hint="eastAsia" w:ascii="宋体" w:hAnsi="宋体" w:eastAsia="宋体" w:cs="宋体"/>
          <w:sz w:val="24"/>
          <w:szCs w:val="24"/>
        </w:rPr>
      </w:pPr>
      <w:r>
        <w:rPr>
          <w:rFonts w:hint="eastAsia" w:ascii="宋体" w:hAnsi="宋体" w:eastAsia="宋体" w:cs="宋体"/>
          <w:sz w:val="24"/>
          <w:szCs w:val="24"/>
        </w:rPr>
        <w:t>光大证券股份有限公司</w:t>
      </w:r>
    </w:p>
    <w:p w14:paraId="18D7EA28">
      <w:pPr>
        <w:rPr>
          <w:rFonts w:hint="eastAsia" w:ascii="宋体" w:hAnsi="宋体" w:eastAsia="宋体" w:cs="宋体"/>
          <w:sz w:val="24"/>
          <w:szCs w:val="24"/>
        </w:rPr>
      </w:pPr>
      <w:r>
        <w:rPr>
          <w:rFonts w:hint="eastAsia" w:ascii="宋体" w:hAnsi="宋体" w:eastAsia="宋体" w:cs="宋体"/>
          <w:sz w:val="24"/>
          <w:szCs w:val="24"/>
        </w:rPr>
        <w:t>广东冠达菁华私募基金管理有限公司</w:t>
      </w:r>
    </w:p>
    <w:p w14:paraId="203D6C10">
      <w:pPr>
        <w:rPr>
          <w:rFonts w:hint="eastAsia" w:ascii="宋体" w:hAnsi="宋体" w:eastAsia="宋体" w:cs="宋体"/>
          <w:sz w:val="24"/>
          <w:szCs w:val="24"/>
        </w:rPr>
      </w:pPr>
      <w:r>
        <w:rPr>
          <w:rFonts w:hint="eastAsia" w:ascii="宋体" w:hAnsi="宋体" w:eastAsia="宋体" w:cs="宋体"/>
          <w:sz w:val="24"/>
          <w:szCs w:val="24"/>
        </w:rPr>
        <w:t>广东恒昇基金管理有限公司</w:t>
      </w:r>
    </w:p>
    <w:p w14:paraId="1D23AC08">
      <w:pPr>
        <w:rPr>
          <w:rFonts w:hint="eastAsia" w:ascii="宋体" w:hAnsi="宋体" w:eastAsia="宋体" w:cs="宋体"/>
          <w:sz w:val="24"/>
          <w:szCs w:val="24"/>
        </w:rPr>
      </w:pPr>
      <w:r>
        <w:rPr>
          <w:rFonts w:hint="eastAsia" w:ascii="宋体" w:hAnsi="宋体" w:eastAsia="宋体" w:cs="宋体"/>
          <w:sz w:val="24"/>
          <w:szCs w:val="24"/>
        </w:rPr>
        <w:t>广发证券股份有限公司</w:t>
      </w:r>
    </w:p>
    <w:p w14:paraId="37AE1133">
      <w:pPr>
        <w:rPr>
          <w:rFonts w:hint="eastAsia" w:ascii="宋体" w:hAnsi="宋体" w:eastAsia="宋体" w:cs="宋体"/>
          <w:sz w:val="24"/>
          <w:szCs w:val="24"/>
        </w:rPr>
      </w:pPr>
      <w:r>
        <w:rPr>
          <w:rFonts w:hint="eastAsia" w:ascii="宋体" w:hAnsi="宋体" w:eastAsia="宋体" w:cs="宋体"/>
          <w:sz w:val="24"/>
          <w:szCs w:val="24"/>
        </w:rPr>
        <w:t>广西赢舟管理咨询服务有限公司</w:t>
      </w:r>
    </w:p>
    <w:p w14:paraId="250BE740">
      <w:pPr>
        <w:rPr>
          <w:rFonts w:hint="eastAsia" w:ascii="宋体" w:hAnsi="宋体" w:eastAsia="宋体" w:cs="宋体"/>
          <w:sz w:val="24"/>
          <w:szCs w:val="24"/>
        </w:rPr>
      </w:pPr>
      <w:r>
        <w:rPr>
          <w:rFonts w:hint="eastAsia" w:ascii="宋体" w:hAnsi="宋体" w:eastAsia="宋体" w:cs="宋体"/>
          <w:sz w:val="24"/>
          <w:szCs w:val="24"/>
        </w:rPr>
        <w:t>广州云禧私募证券投资基金管理有限公司</w:t>
      </w:r>
    </w:p>
    <w:p w14:paraId="5B771C79">
      <w:pPr>
        <w:rPr>
          <w:rFonts w:hint="eastAsia" w:ascii="宋体" w:hAnsi="宋体" w:eastAsia="宋体" w:cs="宋体"/>
          <w:sz w:val="24"/>
          <w:szCs w:val="24"/>
        </w:rPr>
      </w:pPr>
      <w:r>
        <w:rPr>
          <w:rFonts w:hint="eastAsia" w:ascii="宋体" w:hAnsi="宋体" w:eastAsia="宋体" w:cs="宋体"/>
          <w:sz w:val="24"/>
          <w:szCs w:val="24"/>
        </w:rPr>
        <w:t>国华兴益保险资产管理有限公司</w:t>
      </w:r>
    </w:p>
    <w:p w14:paraId="1D399D69">
      <w:pPr>
        <w:rPr>
          <w:rFonts w:hint="eastAsia" w:ascii="宋体" w:hAnsi="宋体" w:eastAsia="宋体" w:cs="宋体"/>
          <w:sz w:val="24"/>
          <w:szCs w:val="24"/>
        </w:rPr>
      </w:pPr>
      <w:r>
        <w:rPr>
          <w:rFonts w:hint="eastAsia" w:ascii="宋体" w:hAnsi="宋体" w:eastAsia="宋体" w:cs="宋体"/>
          <w:sz w:val="24"/>
          <w:szCs w:val="24"/>
        </w:rPr>
        <w:t>国金证券股份有限公司</w:t>
      </w:r>
    </w:p>
    <w:p w14:paraId="491EC67A">
      <w:pPr>
        <w:rPr>
          <w:rFonts w:hint="eastAsia" w:ascii="宋体" w:hAnsi="宋体" w:eastAsia="宋体" w:cs="宋体"/>
          <w:sz w:val="24"/>
          <w:szCs w:val="24"/>
        </w:rPr>
      </w:pPr>
      <w:r>
        <w:rPr>
          <w:rFonts w:hint="eastAsia" w:ascii="宋体" w:hAnsi="宋体" w:eastAsia="宋体" w:cs="宋体"/>
          <w:sz w:val="24"/>
          <w:szCs w:val="24"/>
        </w:rPr>
        <w:t>国联安基金管理有限公司</w:t>
      </w:r>
    </w:p>
    <w:p w14:paraId="759FF206">
      <w:pPr>
        <w:rPr>
          <w:rFonts w:hint="eastAsia" w:ascii="宋体" w:hAnsi="宋体" w:eastAsia="宋体" w:cs="宋体"/>
          <w:sz w:val="24"/>
          <w:szCs w:val="24"/>
        </w:rPr>
      </w:pPr>
      <w:r>
        <w:rPr>
          <w:rFonts w:hint="eastAsia" w:ascii="宋体" w:hAnsi="宋体" w:eastAsia="宋体" w:cs="宋体"/>
          <w:sz w:val="24"/>
          <w:szCs w:val="24"/>
        </w:rPr>
        <w:t>国泰海通证券股份有限公司</w:t>
      </w:r>
    </w:p>
    <w:p w14:paraId="034EB2AA">
      <w:pPr>
        <w:rPr>
          <w:rFonts w:hint="eastAsia" w:ascii="宋体" w:hAnsi="宋体" w:eastAsia="宋体" w:cs="宋体"/>
          <w:sz w:val="24"/>
          <w:szCs w:val="24"/>
        </w:rPr>
      </w:pPr>
      <w:r>
        <w:rPr>
          <w:rFonts w:hint="eastAsia" w:ascii="宋体" w:hAnsi="宋体" w:eastAsia="宋体" w:cs="宋体"/>
          <w:sz w:val="24"/>
          <w:szCs w:val="24"/>
        </w:rPr>
        <w:t>国泰基金管理有限公司</w:t>
      </w:r>
    </w:p>
    <w:p w14:paraId="088D7F42">
      <w:pPr>
        <w:rPr>
          <w:rFonts w:hint="eastAsia" w:ascii="宋体" w:hAnsi="宋体" w:eastAsia="宋体" w:cs="宋体"/>
          <w:sz w:val="24"/>
          <w:szCs w:val="24"/>
        </w:rPr>
      </w:pPr>
      <w:r>
        <w:rPr>
          <w:rFonts w:hint="eastAsia" w:ascii="宋体" w:hAnsi="宋体" w:eastAsia="宋体" w:cs="宋体"/>
          <w:sz w:val="24"/>
          <w:szCs w:val="24"/>
        </w:rPr>
        <w:t>国投证券股份有限公司</w:t>
      </w:r>
    </w:p>
    <w:p w14:paraId="1027F3EA">
      <w:pPr>
        <w:rPr>
          <w:rFonts w:hint="eastAsia" w:ascii="宋体" w:hAnsi="宋体" w:eastAsia="宋体" w:cs="宋体"/>
          <w:sz w:val="24"/>
          <w:szCs w:val="24"/>
        </w:rPr>
      </w:pPr>
      <w:r>
        <w:rPr>
          <w:rFonts w:hint="eastAsia" w:ascii="宋体" w:hAnsi="宋体" w:eastAsia="宋体" w:cs="宋体"/>
          <w:sz w:val="24"/>
          <w:szCs w:val="24"/>
        </w:rPr>
        <w:t>国信证券股份有限公司</w:t>
      </w:r>
    </w:p>
    <w:p w14:paraId="1BF6C1A2">
      <w:pPr>
        <w:rPr>
          <w:rFonts w:hint="eastAsia" w:ascii="宋体" w:hAnsi="宋体" w:eastAsia="宋体" w:cs="宋体"/>
          <w:sz w:val="24"/>
          <w:szCs w:val="24"/>
        </w:rPr>
      </w:pPr>
      <w:r>
        <w:rPr>
          <w:rFonts w:hint="eastAsia" w:ascii="宋体" w:hAnsi="宋体" w:eastAsia="宋体" w:cs="宋体"/>
          <w:sz w:val="24"/>
          <w:szCs w:val="24"/>
        </w:rPr>
        <w:t>海南恒洵投资合伙企业（有限合伙）</w:t>
      </w:r>
    </w:p>
    <w:p w14:paraId="39CF508F">
      <w:pPr>
        <w:rPr>
          <w:rFonts w:hint="eastAsia" w:ascii="宋体" w:hAnsi="宋体" w:eastAsia="宋体" w:cs="宋体"/>
          <w:sz w:val="24"/>
          <w:szCs w:val="24"/>
        </w:rPr>
      </w:pPr>
      <w:r>
        <w:rPr>
          <w:rFonts w:hint="eastAsia" w:ascii="宋体" w:hAnsi="宋体" w:eastAsia="宋体" w:cs="宋体"/>
          <w:sz w:val="24"/>
          <w:szCs w:val="24"/>
        </w:rPr>
        <w:t>海南智联私募基金管理有限公司</w:t>
      </w:r>
    </w:p>
    <w:p w14:paraId="2BABCB63">
      <w:pPr>
        <w:rPr>
          <w:rFonts w:hint="eastAsia" w:ascii="宋体" w:hAnsi="宋体" w:eastAsia="宋体" w:cs="宋体"/>
          <w:sz w:val="24"/>
          <w:szCs w:val="24"/>
        </w:rPr>
      </w:pPr>
      <w:r>
        <w:rPr>
          <w:rFonts w:hint="eastAsia" w:ascii="宋体" w:hAnsi="宋体" w:eastAsia="宋体" w:cs="宋体"/>
          <w:sz w:val="24"/>
          <w:szCs w:val="24"/>
        </w:rPr>
        <w:t>红塔证券股份有限公司</w:t>
      </w:r>
    </w:p>
    <w:p w14:paraId="38B0F2FC">
      <w:pPr>
        <w:rPr>
          <w:rFonts w:hint="eastAsia" w:ascii="宋体" w:hAnsi="宋体" w:eastAsia="宋体" w:cs="宋体"/>
          <w:sz w:val="24"/>
          <w:szCs w:val="24"/>
        </w:rPr>
      </w:pPr>
      <w:r>
        <w:rPr>
          <w:rFonts w:hint="eastAsia" w:ascii="宋体" w:hAnsi="宋体" w:eastAsia="宋体" w:cs="宋体"/>
          <w:sz w:val="24"/>
          <w:szCs w:val="24"/>
        </w:rPr>
        <w:t>鸿运私募基金管理(海南)有限公司</w:t>
      </w:r>
    </w:p>
    <w:p w14:paraId="4331E0EC">
      <w:pPr>
        <w:rPr>
          <w:rFonts w:hint="eastAsia" w:ascii="宋体" w:hAnsi="宋体" w:eastAsia="宋体" w:cs="宋体"/>
          <w:sz w:val="24"/>
          <w:szCs w:val="24"/>
        </w:rPr>
      </w:pPr>
      <w:r>
        <w:rPr>
          <w:rFonts w:hint="eastAsia" w:ascii="宋体" w:hAnsi="宋体" w:eastAsia="宋体" w:cs="宋体"/>
          <w:sz w:val="24"/>
          <w:szCs w:val="24"/>
        </w:rPr>
        <w:t>湖南长心私募基金管理有限公司</w:t>
      </w:r>
    </w:p>
    <w:p w14:paraId="1DBE6892">
      <w:pPr>
        <w:rPr>
          <w:rFonts w:hint="eastAsia" w:ascii="宋体" w:hAnsi="宋体" w:eastAsia="宋体" w:cs="宋体"/>
          <w:sz w:val="24"/>
          <w:szCs w:val="24"/>
        </w:rPr>
      </w:pPr>
      <w:r>
        <w:rPr>
          <w:rFonts w:hint="eastAsia" w:ascii="宋体" w:hAnsi="宋体" w:eastAsia="宋体" w:cs="宋体"/>
          <w:sz w:val="24"/>
          <w:szCs w:val="24"/>
        </w:rPr>
        <w:t>华安基金管理有限公司</w:t>
      </w:r>
    </w:p>
    <w:p w14:paraId="43B40779">
      <w:pPr>
        <w:rPr>
          <w:rFonts w:hint="eastAsia" w:ascii="宋体" w:hAnsi="宋体" w:eastAsia="宋体" w:cs="宋体"/>
          <w:sz w:val="24"/>
          <w:szCs w:val="24"/>
        </w:rPr>
      </w:pPr>
      <w:r>
        <w:rPr>
          <w:rFonts w:hint="eastAsia" w:ascii="宋体" w:hAnsi="宋体" w:eastAsia="宋体" w:cs="宋体"/>
          <w:sz w:val="24"/>
          <w:szCs w:val="24"/>
        </w:rPr>
        <w:t>华宝基金管理有限公司</w:t>
      </w:r>
    </w:p>
    <w:p w14:paraId="3613AC5D">
      <w:pPr>
        <w:rPr>
          <w:rFonts w:hint="eastAsia" w:ascii="宋体" w:hAnsi="宋体" w:eastAsia="宋体" w:cs="宋体"/>
          <w:sz w:val="24"/>
          <w:szCs w:val="24"/>
        </w:rPr>
      </w:pPr>
      <w:r>
        <w:rPr>
          <w:rFonts w:hint="eastAsia" w:ascii="宋体" w:hAnsi="宋体" w:eastAsia="宋体" w:cs="宋体"/>
          <w:sz w:val="24"/>
          <w:szCs w:val="24"/>
        </w:rPr>
        <w:t>华福证券股份有限公司</w:t>
      </w:r>
    </w:p>
    <w:p w14:paraId="7DA4EE6F">
      <w:pPr>
        <w:rPr>
          <w:rFonts w:hint="eastAsia" w:ascii="宋体" w:hAnsi="宋体" w:eastAsia="宋体" w:cs="宋体"/>
          <w:sz w:val="24"/>
          <w:szCs w:val="24"/>
        </w:rPr>
      </w:pPr>
      <w:r>
        <w:rPr>
          <w:rFonts w:hint="eastAsia" w:ascii="宋体" w:hAnsi="宋体" w:eastAsia="宋体" w:cs="宋体"/>
          <w:sz w:val="24"/>
          <w:szCs w:val="24"/>
        </w:rPr>
        <w:t>晖锐私募基金管理(三亚)有限公司</w:t>
      </w:r>
    </w:p>
    <w:p w14:paraId="0A086B8D">
      <w:pPr>
        <w:rPr>
          <w:rFonts w:hint="eastAsia" w:ascii="宋体" w:hAnsi="宋体" w:eastAsia="宋体" w:cs="宋体"/>
          <w:sz w:val="24"/>
          <w:szCs w:val="24"/>
        </w:rPr>
      </w:pPr>
      <w:r>
        <w:rPr>
          <w:rFonts w:hint="eastAsia" w:ascii="宋体" w:hAnsi="宋体" w:eastAsia="宋体" w:cs="宋体"/>
          <w:sz w:val="24"/>
          <w:szCs w:val="24"/>
        </w:rPr>
        <w:t>惠理海外投资基金管理(上海)有限公司</w:t>
      </w:r>
    </w:p>
    <w:p w14:paraId="57F4F5AA">
      <w:pPr>
        <w:rPr>
          <w:rFonts w:hint="eastAsia" w:ascii="宋体" w:hAnsi="宋体" w:eastAsia="宋体" w:cs="宋体"/>
          <w:sz w:val="24"/>
          <w:szCs w:val="24"/>
        </w:rPr>
      </w:pPr>
      <w:r>
        <w:rPr>
          <w:rFonts w:hint="eastAsia" w:ascii="宋体" w:hAnsi="宋体" w:eastAsia="宋体" w:cs="宋体"/>
          <w:sz w:val="24"/>
          <w:szCs w:val="24"/>
        </w:rPr>
        <w:t>吉富投资有限公司</w:t>
      </w:r>
    </w:p>
    <w:p w14:paraId="32F2F54B">
      <w:pPr>
        <w:rPr>
          <w:rFonts w:hint="eastAsia" w:ascii="宋体" w:hAnsi="宋体" w:eastAsia="宋体" w:cs="宋体"/>
          <w:sz w:val="24"/>
          <w:szCs w:val="24"/>
        </w:rPr>
      </w:pPr>
      <w:r>
        <w:rPr>
          <w:rFonts w:hint="eastAsia" w:ascii="宋体" w:hAnsi="宋体" w:eastAsia="宋体" w:cs="宋体"/>
          <w:sz w:val="24"/>
          <w:szCs w:val="24"/>
        </w:rPr>
        <w:t>嘉泽（厦门）私募基金管理有限公司</w:t>
      </w:r>
    </w:p>
    <w:p w14:paraId="7B9C31E4">
      <w:pPr>
        <w:rPr>
          <w:rFonts w:hint="eastAsia" w:ascii="宋体" w:hAnsi="宋体" w:eastAsia="宋体" w:cs="宋体"/>
          <w:sz w:val="24"/>
          <w:szCs w:val="24"/>
        </w:rPr>
      </w:pPr>
      <w:r>
        <w:rPr>
          <w:rFonts w:hint="eastAsia" w:ascii="宋体" w:hAnsi="宋体" w:eastAsia="宋体" w:cs="宋体"/>
          <w:sz w:val="24"/>
          <w:szCs w:val="24"/>
        </w:rPr>
        <w:t>建银国际证券有限公司</w:t>
      </w:r>
    </w:p>
    <w:p w14:paraId="224FCC01">
      <w:pPr>
        <w:rPr>
          <w:rFonts w:hint="eastAsia" w:ascii="宋体" w:hAnsi="宋体" w:eastAsia="宋体" w:cs="宋体"/>
          <w:sz w:val="24"/>
          <w:szCs w:val="24"/>
        </w:rPr>
      </w:pPr>
      <w:r>
        <w:rPr>
          <w:rFonts w:hint="eastAsia" w:ascii="宋体" w:hAnsi="宋体" w:eastAsia="宋体" w:cs="宋体"/>
          <w:sz w:val="24"/>
          <w:szCs w:val="24"/>
        </w:rPr>
        <w:t>江苏瑞华投资控股集团有限公司</w:t>
      </w:r>
    </w:p>
    <w:p w14:paraId="113AA8F9">
      <w:pPr>
        <w:rPr>
          <w:rFonts w:hint="eastAsia" w:ascii="宋体" w:hAnsi="宋体" w:eastAsia="宋体" w:cs="宋体"/>
          <w:sz w:val="24"/>
          <w:szCs w:val="24"/>
        </w:rPr>
      </w:pPr>
      <w:r>
        <w:rPr>
          <w:rFonts w:hint="eastAsia" w:ascii="宋体" w:hAnsi="宋体" w:eastAsia="宋体" w:cs="宋体"/>
          <w:sz w:val="24"/>
          <w:szCs w:val="24"/>
        </w:rPr>
        <w:t>江西彼得明奇私募基金管理有限公司</w:t>
      </w:r>
    </w:p>
    <w:p w14:paraId="4C7ED76D">
      <w:pPr>
        <w:rPr>
          <w:rFonts w:hint="eastAsia" w:ascii="宋体" w:hAnsi="宋体" w:eastAsia="宋体" w:cs="宋体"/>
          <w:sz w:val="24"/>
          <w:szCs w:val="24"/>
        </w:rPr>
      </w:pPr>
      <w:r>
        <w:rPr>
          <w:rFonts w:hint="eastAsia" w:ascii="宋体" w:hAnsi="宋体" w:eastAsia="宋体" w:cs="宋体"/>
          <w:sz w:val="24"/>
          <w:szCs w:val="24"/>
        </w:rPr>
        <w:t>交银施罗德基金管理有限公司</w:t>
      </w:r>
    </w:p>
    <w:p w14:paraId="4997E2B6">
      <w:pPr>
        <w:rPr>
          <w:rFonts w:hint="eastAsia" w:ascii="宋体" w:hAnsi="宋体" w:eastAsia="宋体" w:cs="宋体"/>
          <w:sz w:val="24"/>
          <w:szCs w:val="24"/>
        </w:rPr>
      </w:pPr>
      <w:r>
        <w:rPr>
          <w:rFonts w:hint="eastAsia" w:ascii="宋体" w:hAnsi="宋体" w:eastAsia="宋体" w:cs="宋体"/>
          <w:sz w:val="24"/>
          <w:szCs w:val="24"/>
        </w:rPr>
        <w:t>巨杉(上海)资产管理有限公司</w:t>
      </w:r>
    </w:p>
    <w:p w14:paraId="6BB34EFA">
      <w:pPr>
        <w:rPr>
          <w:rFonts w:hint="eastAsia" w:ascii="宋体" w:hAnsi="宋体" w:eastAsia="宋体" w:cs="宋体"/>
          <w:sz w:val="24"/>
          <w:szCs w:val="24"/>
        </w:rPr>
      </w:pPr>
      <w:r>
        <w:rPr>
          <w:rFonts w:hint="eastAsia" w:ascii="宋体" w:hAnsi="宋体" w:eastAsia="宋体" w:cs="宋体"/>
          <w:sz w:val="24"/>
          <w:szCs w:val="24"/>
        </w:rPr>
        <w:t>凯基证券亚洲有限公司</w:t>
      </w:r>
    </w:p>
    <w:p w14:paraId="448DF778">
      <w:pPr>
        <w:rPr>
          <w:rFonts w:hint="eastAsia" w:ascii="宋体" w:hAnsi="宋体" w:eastAsia="宋体" w:cs="宋体"/>
          <w:sz w:val="24"/>
          <w:szCs w:val="24"/>
        </w:rPr>
      </w:pPr>
      <w:r>
        <w:rPr>
          <w:rFonts w:hint="eastAsia" w:ascii="宋体" w:hAnsi="宋体" w:eastAsia="宋体" w:cs="宋体"/>
          <w:sz w:val="24"/>
          <w:szCs w:val="24"/>
        </w:rPr>
        <w:t>路博迈亚洲有限公司</w:t>
      </w:r>
    </w:p>
    <w:p w14:paraId="0A1F796E">
      <w:pPr>
        <w:rPr>
          <w:rFonts w:hint="eastAsia" w:ascii="宋体" w:hAnsi="宋体" w:eastAsia="宋体" w:cs="宋体"/>
          <w:sz w:val="24"/>
          <w:szCs w:val="24"/>
        </w:rPr>
      </w:pPr>
      <w:r>
        <w:rPr>
          <w:rFonts w:hint="eastAsia" w:ascii="宋体" w:hAnsi="宋体" w:eastAsia="宋体" w:cs="宋体"/>
          <w:sz w:val="24"/>
          <w:szCs w:val="24"/>
        </w:rPr>
        <w:t>麦格理集团有限公司</w:t>
      </w:r>
    </w:p>
    <w:p w14:paraId="516ACA9B">
      <w:pPr>
        <w:rPr>
          <w:rFonts w:hint="eastAsia" w:ascii="宋体" w:hAnsi="宋体" w:eastAsia="宋体" w:cs="宋体"/>
          <w:sz w:val="24"/>
          <w:szCs w:val="24"/>
        </w:rPr>
      </w:pPr>
      <w:r>
        <w:rPr>
          <w:rFonts w:hint="eastAsia" w:ascii="宋体" w:hAnsi="宋体" w:eastAsia="宋体" w:cs="宋体"/>
          <w:sz w:val="24"/>
          <w:szCs w:val="24"/>
        </w:rPr>
        <w:t>麦格理资本股份有限公司</w:t>
      </w:r>
    </w:p>
    <w:p w14:paraId="4C90564B">
      <w:pPr>
        <w:rPr>
          <w:rFonts w:hint="eastAsia" w:ascii="宋体" w:hAnsi="宋体" w:eastAsia="宋体" w:cs="宋体"/>
          <w:sz w:val="24"/>
          <w:szCs w:val="24"/>
        </w:rPr>
      </w:pPr>
      <w:r>
        <w:rPr>
          <w:rFonts w:hint="eastAsia" w:ascii="宋体" w:hAnsi="宋体" w:eastAsia="宋体" w:cs="宋体"/>
          <w:sz w:val="24"/>
          <w:szCs w:val="24"/>
        </w:rPr>
        <w:t>美国银行</w:t>
      </w:r>
    </w:p>
    <w:p w14:paraId="246BD499">
      <w:pPr>
        <w:rPr>
          <w:rFonts w:hint="eastAsia" w:ascii="宋体" w:hAnsi="宋体" w:eastAsia="宋体" w:cs="宋体"/>
          <w:sz w:val="24"/>
          <w:szCs w:val="24"/>
        </w:rPr>
      </w:pPr>
      <w:r>
        <w:rPr>
          <w:rFonts w:hint="eastAsia" w:ascii="宋体" w:hAnsi="宋体" w:eastAsia="宋体" w:cs="宋体"/>
          <w:sz w:val="24"/>
          <w:szCs w:val="24"/>
        </w:rPr>
        <w:t>摩根大通公司</w:t>
      </w:r>
    </w:p>
    <w:p w14:paraId="01F97275">
      <w:pPr>
        <w:rPr>
          <w:rFonts w:hint="eastAsia" w:ascii="宋体" w:hAnsi="宋体" w:eastAsia="宋体" w:cs="宋体"/>
          <w:sz w:val="24"/>
          <w:szCs w:val="24"/>
        </w:rPr>
      </w:pPr>
      <w:r>
        <w:rPr>
          <w:rFonts w:hint="eastAsia" w:ascii="宋体" w:hAnsi="宋体" w:eastAsia="宋体" w:cs="宋体"/>
          <w:sz w:val="24"/>
          <w:szCs w:val="24"/>
        </w:rPr>
        <w:t>南昌产投投资基金管理有限公司</w:t>
      </w:r>
    </w:p>
    <w:p w14:paraId="43154B69">
      <w:pPr>
        <w:rPr>
          <w:rFonts w:hint="eastAsia" w:ascii="宋体" w:hAnsi="宋体" w:eastAsia="宋体" w:cs="宋体"/>
          <w:sz w:val="24"/>
          <w:szCs w:val="24"/>
        </w:rPr>
      </w:pPr>
      <w:r>
        <w:rPr>
          <w:rFonts w:hint="eastAsia" w:ascii="宋体" w:hAnsi="宋体" w:eastAsia="宋体" w:cs="宋体"/>
          <w:sz w:val="24"/>
          <w:szCs w:val="24"/>
        </w:rPr>
        <w:t>南华基金管理有限公司</w:t>
      </w:r>
    </w:p>
    <w:p w14:paraId="3C7830F5">
      <w:pPr>
        <w:rPr>
          <w:rFonts w:hint="eastAsia" w:ascii="宋体" w:hAnsi="宋体" w:eastAsia="宋体" w:cs="宋体"/>
          <w:sz w:val="24"/>
          <w:szCs w:val="24"/>
        </w:rPr>
      </w:pPr>
      <w:r>
        <w:rPr>
          <w:rFonts w:hint="eastAsia" w:ascii="宋体" w:hAnsi="宋体" w:eastAsia="宋体" w:cs="宋体"/>
          <w:sz w:val="24"/>
          <w:szCs w:val="24"/>
        </w:rPr>
        <w:t>南京睿澜私募基金管理有限公司</w:t>
      </w:r>
    </w:p>
    <w:p w14:paraId="0A2CCCD9">
      <w:pPr>
        <w:rPr>
          <w:rFonts w:hint="eastAsia" w:ascii="宋体" w:hAnsi="宋体" w:eastAsia="宋体" w:cs="宋体"/>
          <w:sz w:val="24"/>
          <w:szCs w:val="24"/>
        </w:rPr>
      </w:pPr>
      <w:r>
        <w:rPr>
          <w:rFonts w:hint="eastAsia" w:ascii="宋体" w:hAnsi="宋体" w:eastAsia="宋体" w:cs="宋体"/>
          <w:sz w:val="24"/>
          <w:szCs w:val="24"/>
        </w:rPr>
        <w:t>南通海星电子股份有限公司</w:t>
      </w:r>
    </w:p>
    <w:p w14:paraId="19449253">
      <w:pPr>
        <w:rPr>
          <w:rFonts w:hint="eastAsia" w:ascii="宋体" w:hAnsi="宋体" w:eastAsia="宋体" w:cs="宋体"/>
          <w:sz w:val="24"/>
          <w:szCs w:val="24"/>
        </w:rPr>
      </w:pPr>
      <w:r>
        <w:rPr>
          <w:rFonts w:hint="eastAsia" w:ascii="宋体" w:hAnsi="宋体" w:eastAsia="宋体" w:cs="宋体"/>
          <w:sz w:val="24"/>
          <w:szCs w:val="24"/>
        </w:rPr>
        <w:t>鹏华基金管理有限公司</w:t>
      </w:r>
    </w:p>
    <w:p w14:paraId="7C64F425">
      <w:pPr>
        <w:rPr>
          <w:rFonts w:hint="eastAsia" w:ascii="宋体" w:hAnsi="宋体" w:eastAsia="宋体" w:cs="宋体"/>
          <w:sz w:val="24"/>
          <w:szCs w:val="24"/>
        </w:rPr>
      </w:pPr>
      <w:r>
        <w:rPr>
          <w:rFonts w:hint="eastAsia" w:ascii="宋体" w:hAnsi="宋体" w:eastAsia="宋体" w:cs="宋体"/>
          <w:sz w:val="24"/>
          <w:szCs w:val="24"/>
        </w:rPr>
        <w:t>平安证券股份有限公司</w:t>
      </w:r>
    </w:p>
    <w:p w14:paraId="088099F2">
      <w:pPr>
        <w:rPr>
          <w:rFonts w:hint="eastAsia" w:ascii="宋体" w:hAnsi="宋体" w:eastAsia="宋体" w:cs="宋体"/>
          <w:sz w:val="24"/>
          <w:szCs w:val="24"/>
        </w:rPr>
      </w:pPr>
      <w:r>
        <w:rPr>
          <w:rFonts w:hint="eastAsia" w:ascii="宋体" w:hAnsi="宋体" w:eastAsia="宋体" w:cs="宋体"/>
          <w:sz w:val="24"/>
          <w:szCs w:val="24"/>
        </w:rPr>
        <w:t>青骊投资管理(上海)有限公司</w:t>
      </w:r>
    </w:p>
    <w:p w14:paraId="52363A92">
      <w:pPr>
        <w:rPr>
          <w:rFonts w:hint="eastAsia" w:ascii="宋体" w:hAnsi="宋体" w:eastAsia="宋体" w:cs="宋体"/>
          <w:sz w:val="24"/>
          <w:szCs w:val="24"/>
        </w:rPr>
      </w:pPr>
      <w:r>
        <w:rPr>
          <w:rFonts w:hint="eastAsia" w:ascii="宋体" w:hAnsi="宋体" w:eastAsia="宋体" w:cs="宋体"/>
          <w:sz w:val="24"/>
          <w:szCs w:val="24"/>
        </w:rPr>
        <w:t>清池资本(香港)有限公司</w:t>
      </w:r>
    </w:p>
    <w:p w14:paraId="015F5F1D">
      <w:pPr>
        <w:rPr>
          <w:rFonts w:hint="eastAsia" w:ascii="宋体" w:hAnsi="宋体" w:eastAsia="宋体" w:cs="宋体"/>
          <w:sz w:val="24"/>
          <w:szCs w:val="24"/>
        </w:rPr>
      </w:pPr>
      <w:r>
        <w:rPr>
          <w:rFonts w:hint="eastAsia" w:ascii="宋体" w:hAnsi="宋体" w:eastAsia="宋体" w:cs="宋体"/>
          <w:sz w:val="24"/>
          <w:szCs w:val="24"/>
        </w:rPr>
        <w:t>群益证券投资信托股份有限公司</w:t>
      </w:r>
    </w:p>
    <w:p w14:paraId="0CA0D144">
      <w:pPr>
        <w:rPr>
          <w:rFonts w:hint="eastAsia" w:ascii="宋体" w:hAnsi="宋体" w:eastAsia="宋体" w:cs="宋体"/>
          <w:sz w:val="24"/>
          <w:szCs w:val="24"/>
        </w:rPr>
      </w:pPr>
      <w:r>
        <w:rPr>
          <w:rFonts w:hint="eastAsia" w:ascii="宋体" w:hAnsi="宋体" w:eastAsia="宋体" w:cs="宋体"/>
          <w:sz w:val="24"/>
          <w:szCs w:val="24"/>
        </w:rPr>
        <w:t>瑞圣源(上海)私募基金管理有限公司</w:t>
      </w:r>
    </w:p>
    <w:p w14:paraId="7431BEFE">
      <w:pPr>
        <w:rPr>
          <w:rFonts w:hint="eastAsia" w:ascii="宋体" w:hAnsi="宋体" w:eastAsia="宋体" w:cs="宋体"/>
          <w:sz w:val="24"/>
          <w:szCs w:val="24"/>
        </w:rPr>
      </w:pPr>
      <w:r>
        <w:rPr>
          <w:rFonts w:hint="eastAsia" w:ascii="宋体" w:hAnsi="宋体" w:eastAsia="宋体" w:cs="宋体"/>
          <w:sz w:val="24"/>
          <w:szCs w:val="24"/>
        </w:rPr>
        <w:t>瑞银集团</w:t>
      </w:r>
    </w:p>
    <w:p w14:paraId="087F1CD3">
      <w:pPr>
        <w:rPr>
          <w:rFonts w:hint="eastAsia" w:ascii="宋体" w:hAnsi="宋体" w:eastAsia="宋体" w:cs="宋体"/>
          <w:sz w:val="24"/>
          <w:szCs w:val="24"/>
        </w:rPr>
      </w:pPr>
      <w:r>
        <w:rPr>
          <w:rFonts w:hint="eastAsia" w:ascii="宋体" w:hAnsi="宋体" w:eastAsia="宋体" w:cs="宋体"/>
          <w:sz w:val="24"/>
          <w:szCs w:val="24"/>
        </w:rPr>
        <w:t>瑞银证券有限责任公司</w:t>
      </w:r>
    </w:p>
    <w:p w14:paraId="11000674">
      <w:pPr>
        <w:rPr>
          <w:rFonts w:hint="eastAsia" w:ascii="宋体" w:hAnsi="宋体" w:eastAsia="宋体" w:cs="宋体"/>
          <w:sz w:val="24"/>
          <w:szCs w:val="24"/>
        </w:rPr>
      </w:pPr>
      <w:r>
        <w:rPr>
          <w:rFonts w:hint="eastAsia" w:ascii="宋体" w:hAnsi="宋体" w:eastAsia="宋体" w:cs="宋体"/>
          <w:sz w:val="24"/>
          <w:szCs w:val="24"/>
        </w:rPr>
        <w:t>三井住友德思资产管理(香港)有限公司</w:t>
      </w:r>
    </w:p>
    <w:p w14:paraId="197F0484">
      <w:pPr>
        <w:rPr>
          <w:rFonts w:hint="eastAsia" w:ascii="宋体" w:hAnsi="宋体" w:eastAsia="宋体" w:cs="宋体"/>
          <w:sz w:val="24"/>
          <w:szCs w:val="24"/>
        </w:rPr>
      </w:pPr>
      <w:r>
        <w:rPr>
          <w:rFonts w:hint="eastAsia" w:ascii="宋体" w:hAnsi="宋体" w:eastAsia="宋体" w:cs="宋体"/>
          <w:sz w:val="24"/>
          <w:szCs w:val="24"/>
        </w:rPr>
        <w:t>山东金仕达投资管理有限公司</w:t>
      </w:r>
    </w:p>
    <w:p w14:paraId="710722D2">
      <w:pPr>
        <w:rPr>
          <w:rFonts w:hint="eastAsia" w:ascii="宋体" w:hAnsi="宋体" w:eastAsia="宋体" w:cs="宋体"/>
          <w:sz w:val="24"/>
          <w:szCs w:val="24"/>
        </w:rPr>
      </w:pPr>
      <w:r>
        <w:rPr>
          <w:rFonts w:hint="eastAsia" w:ascii="宋体" w:hAnsi="宋体" w:eastAsia="宋体" w:cs="宋体"/>
          <w:sz w:val="24"/>
          <w:szCs w:val="24"/>
        </w:rPr>
        <w:t>山西证券股份有限公司</w:t>
      </w:r>
    </w:p>
    <w:p w14:paraId="5FCF047E">
      <w:pPr>
        <w:rPr>
          <w:rFonts w:hint="eastAsia" w:ascii="宋体" w:hAnsi="宋体" w:eastAsia="宋体" w:cs="宋体"/>
          <w:sz w:val="24"/>
          <w:szCs w:val="24"/>
        </w:rPr>
      </w:pPr>
      <w:r>
        <w:rPr>
          <w:rFonts w:hint="eastAsia" w:ascii="宋体" w:hAnsi="宋体" w:eastAsia="宋体" w:cs="宋体"/>
          <w:sz w:val="24"/>
          <w:szCs w:val="24"/>
        </w:rPr>
        <w:t>上海保银投资管理有限公司</w:t>
      </w:r>
    </w:p>
    <w:p w14:paraId="7B346B5B">
      <w:pPr>
        <w:rPr>
          <w:rFonts w:hint="eastAsia" w:ascii="宋体" w:hAnsi="宋体" w:eastAsia="宋体" w:cs="宋体"/>
          <w:sz w:val="24"/>
          <w:szCs w:val="24"/>
        </w:rPr>
      </w:pPr>
      <w:r>
        <w:rPr>
          <w:rFonts w:hint="eastAsia" w:ascii="宋体" w:hAnsi="宋体" w:eastAsia="宋体" w:cs="宋体"/>
          <w:sz w:val="24"/>
          <w:szCs w:val="24"/>
        </w:rPr>
        <w:t>上海壁仞智能科技有限公司</w:t>
      </w:r>
    </w:p>
    <w:p w14:paraId="3299875A">
      <w:pPr>
        <w:rPr>
          <w:rFonts w:hint="eastAsia" w:ascii="宋体" w:hAnsi="宋体" w:eastAsia="宋体" w:cs="宋体"/>
          <w:sz w:val="24"/>
          <w:szCs w:val="24"/>
        </w:rPr>
      </w:pPr>
      <w:r>
        <w:rPr>
          <w:rFonts w:hint="eastAsia" w:ascii="宋体" w:hAnsi="宋体" w:eastAsia="宋体" w:cs="宋体"/>
          <w:sz w:val="24"/>
          <w:szCs w:val="24"/>
        </w:rPr>
        <w:t>上海博笃投资管理有限公司</w:t>
      </w:r>
    </w:p>
    <w:p w14:paraId="6D978232">
      <w:pPr>
        <w:rPr>
          <w:rFonts w:hint="eastAsia" w:ascii="宋体" w:hAnsi="宋体" w:eastAsia="宋体" w:cs="宋体"/>
          <w:sz w:val="24"/>
          <w:szCs w:val="24"/>
        </w:rPr>
      </w:pPr>
      <w:r>
        <w:rPr>
          <w:rFonts w:hint="eastAsia" w:ascii="宋体" w:hAnsi="宋体" w:eastAsia="宋体" w:cs="宋体"/>
          <w:sz w:val="24"/>
          <w:szCs w:val="24"/>
        </w:rPr>
        <w:t>上海川流私募基金管理有限公司</w:t>
      </w:r>
    </w:p>
    <w:p w14:paraId="5A220B3E">
      <w:pPr>
        <w:rPr>
          <w:rFonts w:hint="eastAsia" w:ascii="宋体" w:hAnsi="宋体" w:eastAsia="宋体" w:cs="宋体"/>
          <w:sz w:val="24"/>
          <w:szCs w:val="24"/>
        </w:rPr>
      </w:pPr>
      <w:r>
        <w:rPr>
          <w:rFonts w:hint="eastAsia" w:ascii="宋体" w:hAnsi="宋体" w:eastAsia="宋体" w:cs="宋体"/>
          <w:sz w:val="24"/>
          <w:szCs w:val="24"/>
        </w:rPr>
        <w:t>上海道仁资产管理有限公司</w:t>
      </w:r>
    </w:p>
    <w:p w14:paraId="711AB4F1">
      <w:pPr>
        <w:rPr>
          <w:rFonts w:hint="eastAsia" w:ascii="宋体" w:hAnsi="宋体" w:eastAsia="宋体" w:cs="宋体"/>
          <w:sz w:val="24"/>
          <w:szCs w:val="24"/>
        </w:rPr>
      </w:pPr>
      <w:r>
        <w:rPr>
          <w:rFonts w:hint="eastAsia" w:ascii="宋体" w:hAnsi="宋体" w:eastAsia="宋体" w:cs="宋体"/>
          <w:sz w:val="24"/>
          <w:szCs w:val="24"/>
        </w:rPr>
        <w:t>上海德汇集团有限公司</w:t>
      </w:r>
    </w:p>
    <w:p w14:paraId="18008EC3">
      <w:pPr>
        <w:rPr>
          <w:rFonts w:hint="eastAsia" w:ascii="宋体" w:hAnsi="宋体" w:eastAsia="宋体" w:cs="宋体"/>
          <w:sz w:val="24"/>
          <w:szCs w:val="24"/>
        </w:rPr>
      </w:pPr>
      <w:r>
        <w:rPr>
          <w:rFonts w:hint="eastAsia" w:ascii="宋体" w:hAnsi="宋体" w:eastAsia="宋体" w:cs="宋体"/>
          <w:sz w:val="24"/>
          <w:szCs w:val="24"/>
        </w:rPr>
        <w:t>上海国际信托有限公司</w:t>
      </w:r>
    </w:p>
    <w:p w14:paraId="6937F6C9">
      <w:pPr>
        <w:rPr>
          <w:rFonts w:hint="eastAsia" w:ascii="宋体" w:hAnsi="宋体" w:eastAsia="宋体" w:cs="宋体"/>
          <w:sz w:val="24"/>
          <w:szCs w:val="24"/>
        </w:rPr>
      </w:pPr>
      <w:r>
        <w:rPr>
          <w:rFonts w:hint="eastAsia" w:ascii="宋体" w:hAnsi="宋体" w:eastAsia="宋体" w:cs="宋体"/>
          <w:sz w:val="24"/>
          <w:szCs w:val="24"/>
        </w:rPr>
        <w:t>上海国泰海通证券资产管理有限公司</w:t>
      </w:r>
    </w:p>
    <w:p w14:paraId="585716F5">
      <w:pPr>
        <w:rPr>
          <w:rFonts w:hint="eastAsia" w:ascii="宋体" w:hAnsi="宋体" w:eastAsia="宋体" w:cs="宋体"/>
          <w:sz w:val="24"/>
          <w:szCs w:val="24"/>
        </w:rPr>
      </w:pPr>
      <w:r>
        <w:rPr>
          <w:rFonts w:hint="eastAsia" w:ascii="宋体" w:hAnsi="宋体" w:eastAsia="宋体" w:cs="宋体"/>
          <w:sz w:val="24"/>
          <w:szCs w:val="24"/>
        </w:rPr>
        <w:t>上海禾升投资管理有限公司</w:t>
      </w:r>
    </w:p>
    <w:p w14:paraId="058EE7B7">
      <w:pPr>
        <w:rPr>
          <w:rFonts w:hint="eastAsia" w:ascii="宋体" w:hAnsi="宋体" w:eastAsia="宋体" w:cs="宋体"/>
          <w:sz w:val="24"/>
          <w:szCs w:val="24"/>
        </w:rPr>
      </w:pPr>
      <w:r>
        <w:rPr>
          <w:rFonts w:hint="eastAsia" w:ascii="宋体" w:hAnsi="宋体" w:eastAsia="宋体" w:cs="宋体"/>
          <w:sz w:val="24"/>
          <w:szCs w:val="24"/>
        </w:rPr>
        <w:t>上海合道资产管理有限公司</w:t>
      </w:r>
    </w:p>
    <w:p w14:paraId="640C66E8">
      <w:pPr>
        <w:rPr>
          <w:rFonts w:hint="eastAsia" w:ascii="宋体" w:hAnsi="宋体" w:eastAsia="宋体" w:cs="宋体"/>
          <w:sz w:val="24"/>
          <w:szCs w:val="24"/>
        </w:rPr>
      </w:pPr>
      <w:r>
        <w:rPr>
          <w:rFonts w:hint="eastAsia" w:ascii="宋体" w:hAnsi="宋体" w:eastAsia="宋体" w:cs="宋体"/>
          <w:sz w:val="24"/>
          <w:szCs w:val="24"/>
        </w:rPr>
        <w:t>上海河清投资管理有限公司</w:t>
      </w:r>
    </w:p>
    <w:p w14:paraId="5BCA4F97">
      <w:pPr>
        <w:rPr>
          <w:rFonts w:hint="eastAsia" w:ascii="宋体" w:hAnsi="宋体" w:eastAsia="宋体" w:cs="宋体"/>
          <w:sz w:val="24"/>
          <w:szCs w:val="24"/>
        </w:rPr>
      </w:pPr>
      <w:r>
        <w:rPr>
          <w:rFonts w:hint="eastAsia" w:ascii="宋体" w:hAnsi="宋体" w:eastAsia="宋体" w:cs="宋体"/>
          <w:sz w:val="24"/>
          <w:szCs w:val="24"/>
        </w:rPr>
        <w:t>上海恒穗资产管理中心(有限合伙)</w:t>
      </w:r>
    </w:p>
    <w:p w14:paraId="00888BA1">
      <w:pPr>
        <w:rPr>
          <w:rFonts w:hint="eastAsia" w:ascii="宋体" w:hAnsi="宋体" w:eastAsia="宋体" w:cs="宋体"/>
          <w:sz w:val="24"/>
          <w:szCs w:val="24"/>
        </w:rPr>
      </w:pPr>
      <w:r>
        <w:rPr>
          <w:rFonts w:hint="eastAsia" w:ascii="宋体" w:hAnsi="宋体" w:eastAsia="宋体" w:cs="宋体"/>
          <w:sz w:val="24"/>
          <w:szCs w:val="24"/>
        </w:rPr>
        <w:t>上海厚积投资有限公司</w:t>
      </w:r>
    </w:p>
    <w:p w14:paraId="5D73DD73">
      <w:pPr>
        <w:rPr>
          <w:rFonts w:hint="eastAsia" w:ascii="宋体" w:hAnsi="宋体" w:eastAsia="宋体" w:cs="宋体"/>
          <w:sz w:val="24"/>
          <w:szCs w:val="24"/>
        </w:rPr>
      </w:pPr>
      <w:r>
        <w:rPr>
          <w:rFonts w:hint="eastAsia" w:ascii="宋体" w:hAnsi="宋体" w:eastAsia="宋体" w:cs="宋体"/>
          <w:sz w:val="24"/>
          <w:szCs w:val="24"/>
        </w:rPr>
        <w:t>上海汇正财经顾问有限公司</w:t>
      </w:r>
    </w:p>
    <w:p w14:paraId="1726D39B">
      <w:pPr>
        <w:rPr>
          <w:rFonts w:hint="eastAsia" w:ascii="宋体" w:hAnsi="宋体" w:eastAsia="宋体" w:cs="宋体"/>
          <w:sz w:val="24"/>
          <w:szCs w:val="24"/>
        </w:rPr>
      </w:pPr>
      <w:r>
        <w:rPr>
          <w:rFonts w:hint="eastAsia" w:ascii="宋体" w:hAnsi="宋体" w:eastAsia="宋体" w:cs="宋体"/>
          <w:sz w:val="24"/>
          <w:szCs w:val="24"/>
        </w:rPr>
        <w:t>上海健顺投资管理有限公司</w:t>
      </w:r>
    </w:p>
    <w:p w14:paraId="24EDCA97">
      <w:pPr>
        <w:rPr>
          <w:rFonts w:hint="eastAsia" w:ascii="宋体" w:hAnsi="宋体" w:eastAsia="宋体" w:cs="宋体"/>
          <w:sz w:val="24"/>
          <w:szCs w:val="24"/>
        </w:rPr>
      </w:pPr>
      <w:r>
        <w:rPr>
          <w:rFonts w:hint="eastAsia" w:ascii="宋体" w:hAnsi="宋体" w:eastAsia="宋体" w:cs="宋体"/>
          <w:sz w:val="24"/>
          <w:szCs w:val="24"/>
        </w:rPr>
        <w:t>上海金恩投资有限公司</w:t>
      </w:r>
    </w:p>
    <w:p w14:paraId="49EFDA13">
      <w:pPr>
        <w:rPr>
          <w:rFonts w:hint="eastAsia" w:ascii="宋体" w:hAnsi="宋体" w:eastAsia="宋体" w:cs="宋体"/>
          <w:sz w:val="24"/>
          <w:szCs w:val="24"/>
        </w:rPr>
      </w:pPr>
      <w:r>
        <w:rPr>
          <w:rFonts w:hint="eastAsia" w:ascii="宋体" w:hAnsi="宋体" w:eastAsia="宋体" w:cs="宋体"/>
          <w:sz w:val="24"/>
          <w:szCs w:val="24"/>
        </w:rPr>
        <w:t>上海玖石股权投资管理有限公司</w:t>
      </w:r>
    </w:p>
    <w:p w14:paraId="4C794920">
      <w:pPr>
        <w:rPr>
          <w:rFonts w:hint="eastAsia" w:ascii="宋体" w:hAnsi="宋体" w:eastAsia="宋体" w:cs="宋体"/>
          <w:sz w:val="24"/>
          <w:szCs w:val="24"/>
        </w:rPr>
      </w:pPr>
      <w:r>
        <w:rPr>
          <w:rFonts w:hint="eastAsia" w:ascii="宋体" w:hAnsi="宋体" w:eastAsia="宋体" w:cs="宋体"/>
          <w:sz w:val="24"/>
          <w:szCs w:val="24"/>
        </w:rPr>
        <w:t>上海开思私募基金管理有限公司</w:t>
      </w:r>
    </w:p>
    <w:p w14:paraId="16D1D3B2">
      <w:pPr>
        <w:rPr>
          <w:rFonts w:hint="eastAsia" w:ascii="宋体" w:hAnsi="宋体" w:eastAsia="宋体" w:cs="宋体"/>
          <w:sz w:val="24"/>
          <w:szCs w:val="24"/>
        </w:rPr>
      </w:pPr>
      <w:r>
        <w:rPr>
          <w:rFonts w:hint="eastAsia" w:ascii="宋体" w:hAnsi="宋体" w:eastAsia="宋体" w:cs="宋体"/>
          <w:sz w:val="24"/>
          <w:szCs w:val="24"/>
        </w:rPr>
        <w:t>上海迈维资产管理有限公司</w:t>
      </w:r>
    </w:p>
    <w:p w14:paraId="39FB45D9">
      <w:pPr>
        <w:rPr>
          <w:rFonts w:hint="eastAsia" w:ascii="宋体" w:hAnsi="宋体" w:eastAsia="宋体" w:cs="宋体"/>
          <w:sz w:val="24"/>
          <w:szCs w:val="24"/>
        </w:rPr>
      </w:pPr>
      <w:r>
        <w:rPr>
          <w:rFonts w:hint="eastAsia" w:ascii="宋体" w:hAnsi="宋体" w:eastAsia="宋体" w:cs="宋体"/>
          <w:sz w:val="24"/>
          <w:szCs w:val="24"/>
        </w:rPr>
        <w:t>上海名禹资产管理有限公司</w:t>
      </w:r>
    </w:p>
    <w:p w14:paraId="1F31C3A1">
      <w:pPr>
        <w:rPr>
          <w:rFonts w:hint="eastAsia" w:ascii="宋体" w:hAnsi="宋体" w:eastAsia="宋体" w:cs="宋体"/>
          <w:sz w:val="24"/>
          <w:szCs w:val="24"/>
        </w:rPr>
      </w:pPr>
      <w:r>
        <w:rPr>
          <w:rFonts w:hint="eastAsia" w:ascii="宋体" w:hAnsi="宋体" w:eastAsia="宋体" w:cs="宋体"/>
          <w:sz w:val="24"/>
          <w:szCs w:val="24"/>
        </w:rPr>
        <w:t>上海明河投资管理有限公司</w:t>
      </w:r>
    </w:p>
    <w:p w14:paraId="3C22A926">
      <w:pPr>
        <w:rPr>
          <w:rFonts w:hint="eastAsia" w:ascii="宋体" w:hAnsi="宋体" w:eastAsia="宋体" w:cs="宋体"/>
          <w:sz w:val="24"/>
          <w:szCs w:val="24"/>
        </w:rPr>
      </w:pPr>
      <w:r>
        <w:rPr>
          <w:rFonts w:hint="eastAsia" w:ascii="宋体" w:hAnsi="宋体" w:eastAsia="宋体" w:cs="宋体"/>
          <w:sz w:val="24"/>
          <w:szCs w:val="24"/>
        </w:rPr>
        <w:t>上海宁涌富私募基金管理合伙企业(有限合伙)</w:t>
      </w:r>
    </w:p>
    <w:p w14:paraId="27DBF15D">
      <w:pPr>
        <w:rPr>
          <w:rFonts w:hint="eastAsia" w:ascii="宋体" w:hAnsi="宋体" w:eastAsia="宋体" w:cs="宋体"/>
          <w:sz w:val="24"/>
          <w:szCs w:val="24"/>
        </w:rPr>
      </w:pPr>
      <w:r>
        <w:rPr>
          <w:rFonts w:hint="eastAsia" w:ascii="宋体" w:hAnsi="宋体" w:eastAsia="宋体" w:cs="宋体"/>
          <w:sz w:val="24"/>
          <w:szCs w:val="24"/>
        </w:rPr>
        <w:t>上海七叶树资产管理有限公司</w:t>
      </w:r>
    </w:p>
    <w:p w14:paraId="3A7DB918">
      <w:pPr>
        <w:rPr>
          <w:rFonts w:hint="eastAsia" w:ascii="宋体" w:hAnsi="宋体" w:eastAsia="宋体" w:cs="宋体"/>
          <w:sz w:val="24"/>
          <w:szCs w:val="24"/>
        </w:rPr>
      </w:pPr>
      <w:r>
        <w:rPr>
          <w:rFonts w:hint="eastAsia" w:ascii="宋体" w:hAnsi="宋体" w:eastAsia="宋体" w:cs="宋体"/>
          <w:sz w:val="24"/>
          <w:szCs w:val="24"/>
        </w:rPr>
        <w:t>上海钦沐资产管理合伙企业(有限合伙)</w:t>
      </w:r>
    </w:p>
    <w:p w14:paraId="790DCFC9">
      <w:pPr>
        <w:rPr>
          <w:rFonts w:hint="eastAsia" w:ascii="宋体" w:hAnsi="宋体" w:eastAsia="宋体" w:cs="宋体"/>
          <w:sz w:val="24"/>
          <w:szCs w:val="24"/>
        </w:rPr>
      </w:pPr>
      <w:r>
        <w:rPr>
          <w:rFonts w:hint="eastAsia" w:ascii="宋体" w:hAnsi="宋体" w:eastAsia="宋体" w:cs="宋体"/>
          <w:sz w:val="24"/>
          <w:szCs w:val="24"/>
        </w:rPr>
        <w:t>上海申银万国证券研究所有限公司</w:t>
      </w:r>
    </w:p>
    <w:p w14:paraId="2EC06625">
      <w:pPr>
        <w:rPr>
          <w:rFonts w:hint="eastAsia" w:ascii="宋体" w:hAnsi="宋体" w:eastAsia="宋体" w:cs="宋体"/>
          <w:sz w:val="24"/>
          <w:szCs w:val="24"/>
        </w:rPr>
      </w:pPr>
      <w:r>
        <w:rPr>
          <w:rFonts w:hint="eastAsia" w:ascii="宋体" w:hAnsi="宋体" w:eastAsia="宋体" w:cs="宋体"/>
          <w:sz w:val="24"/>
          <w:szCs w:val="24"/>
        </w:rPr>
        <w:t>上海潼骁投资发展中心(有限合伙)</w:t>
      </w:r>
    </w:p>
    <w:p w14:paraId="6A726C6A">
      <w:pPr>
        <w:rPr>
          <w:rFonts w:hint="eastAsia" w:ascii="宋体" w:hAnsi="宋体" w:eastAsia="宋体" w:cs="宋体"/>
          <w:sz w:val="24"/>
          <w:szCs w:val="24"/>
        </w:rPr>
      </w:pPr>
      <w:r>
        <w:rPr>
          <w:rFonts w:hint="eastAsia" w:ascii="宋体" w:hAnsi="宋体" w:eastAsia="宋体" w:cs="宋体"/>
          <w:sz w:val="24"/>
          <w:szCs w:val="24"/>
        </w:rPr>
        <w:t>上海相生资产管理有限公司</w:t>
      </w:r>
    </w:p>
    <w:p w14:paraId="6E296356">
      <w:pPr>
        <w:rPr>
          <w:rFonts w:hint="eastAsia" w:ascii="宋体" w:hAnsi="宋体" w:eastAsia="宋体" w:cs="宋体"/>
          <w:sz w:val="24"/>
          <w:szCs w:val="24"/>
        </w:rPr>
      </w:pPr>
      <w:r>
        <w:rPr>
          <w:rFonts w:hint="eastAsia" w:ascii="宋体" w:hAnsi="宋体" w:eastAsia="宋体" w:cs="宋体"/>
          <w:sz w:val="24"/>
          <w:szCs w:val="24"/>
        </w:rPr>
        <w:t>上海行知创业投资有限公司</w:t>
      </w:r>
    </w:p>
    <w:p w14:paraId="428C3B33">
      <w:pPr>
        <w:rPr>
          <w:rFonts w:hint="eastAsia" w:ascii="宋体" w:hAnsi="宋体" w:eastAsia="宋体" w:cs="宋体"/>
          <w:sz w:val="24"/>
          <w:szCs w:val="24"/>
        </w:rPr>
      </w:pPr>
      <w:r>
        <w:rPr>
          <w:rFonts w:hint="eastAsia" w:ascii="宋体" w:hAnsi="宋体" w:eastAsia="宋体" w:cs="宋体"/>
          <w:sz w:val="24"/>
          <w:szCs w:val="24"/>
        </w:rPr>
        <w:t>上海银叶投资有限公司</w:t>
      </w:r>
    </w:p>
    <w:p w14:paraId="7BD9944E">
      <w:pPr>
        <w:rPr>
          <w:rFonts w:hint="eastAsia" w:ascii="宋体" w:hAnsi="宋体" w:eastAsia="宋体" w:cs="宋体"/>
          <w:sz w:val="24"/>
          <w:szCs w:val="24"/>
        </w:rPr>
      </w:pPr>
      <w:r>
        <w:rPr>
          <w:rFonts w:hint="eastAsia" w:ascii="宋体" w:hAnsi="宋体" w:eastAsia="宋体" w:cs="宋体"/>
          <w:sz w:val="24"/>
          <w:szCs w:val="24"/>
        </w:rPr>
        <w:t>上海涌铧投资管理有限公司</w:t>
      </w:r>
    </w:p>
    <w:p w14:paraId="4C46FCAC">
      <w:pPr>
        <w:rPr>
          <w:rFonts w:hint="eastAsia" w:ascii="宋体" w:hAnsi="宋体" w:eastAsia="宋体" w:cs="宋体"/>
          <w:sz w:val="24"/>
          <w:szCs w:val="24"/>
        </w:rPr>
      </w:pPr>
      <w:r>
        <w:rPr>
          <w:rFonts w:hint="eastAsia" w:ascii="宋体" w:hAnsi="宋体" w:eastAsia="宋体" w:cs="宋体"/>
          <w:sz w:val="24"/>
          <w:szCs w:val="24"/>
        </w:rPr>
        <w:t>上海云门投资管理有限公司</w:t>
      </w:r>
    </w:p>
    <w:p w14:paraId="01B6D6E0">
      <w:pPr>
        <w:rPr>
          <w:rFonts w:hint="eastAsia" w:ascii="宋体" w:hAnsi="宋体" w:eastAsia="宋体" w:cs="宋体"/>
          <w:sz w:val="24"/>
          <w:szCs w:val="24"/>
        </w:rPr>
      </w:pPr>
      <w:r>
        <w:rPr>
          <w:rFonts w:hint="eastAsia" w:ascii="宋体" w:hAnsi="宋体" w:eastAsia="宋体" w:cs="宋体"/>
          <w:sz w:val="24"/>
          <w:szCs w:val="24"/>
        </w:rPr>
        <w:t>上海中域资产管理中心(有限合伙)</w:t>
      </w:r>
    </w:p>
    <w:p w14:paraId="0D72CAA9">
      <w:pPr>
        <w:rPr>
          <w:rFonts w:hint="eastAsia" w:ascii="宋体" w:hAnsi="宋体" w:eastAsia="宋体" w:cs="宋体"/>
          <w:sz w:val="24"/>
          <w:szCs w:val="24"/>
        </w:rPr>
      </w:pPr>
      <w:r>
        <w:rPr>
          <w:rFonts w:hint="eastAsia" w:ascii="宋体" w:hAnsi="宋体" w:eastAsia="宋体" w:cs="宋体"/>
          <w:sz w:val="24"/>
          <w:szCs w:val="24"/>
        </w:rPr>
        <w:t>上海重阳投资管理股份有限公司</w:t>
      </w:r>
    </w:p>
    <w:p w14:paraId="1429BDC9">
      <w:pPr>
        <w:rPr>
          <w:rFonts w:hint="eastAsia" w:ascii="宋体" w:hAnsi="宋体" w:eastAsia="宋体" w:cs="宋体"/>
          <w:sz w:val="24"/>
          <w:szCs w:val="24"/>
        </w:rPr>
      </w:pPr>
      <w:r>
        <w:rPr>
          <w:rFonts w:hint="eastAsia" w:ascii="宋体" w:hAnsi="宋体" w:eastAsia="宋体" w:cs="宋体"/>
          <w:sz w:val="24"/>
          <w:szCs w:val="24"/>
        </w:rPr>
        <w:t>申万菱信基金管理有限公司</w:t>
      </w:r>
    </w:p>
    <w:p w14:paraId="2013DB82">
      <w:pPr>
        <w:rPr>
          <w:rFonts w:hint="eastAsia" w:ascii="宋体" w:hAnsi="宋体" w:eastAsia="宋体" w:cs="宋体"/>
          <w:sz w:val="24"/>
          <w:szCs w:val="24"/>
        </w:rPr>
      </w:pPr>
      <w:r>
        <w:rPr>
          <w:rFonts w:hint="eastAsia" w:ascii="宋体" w:hAnsi="宋体" w:eastAsia="宋体" w:cs="宋体"/>
          <w:sz w:val="24"/>
          <w:szCs w:val="24"/>
        </w:rPr>
        <w:t>深圳宏鼎财富管理有限公司</w:t>
      </w:r>
    </w:p>
    <w:p w14:paraId="4CC5DD13">
      <w:pPr>
        <w:rPr>
          <w:rFonts w:hint="eastAsia" w:ascii="宋体" w:hAnsi="宋体" w:eastAsia="宋体" w:cs="宋体"/>
          <w:sz w:val="24"/>
          <w:szCs w:val="24"/>
        </w:rPr>
      </w:pPr>
      <w:r>
        <w:rPr>
          <w:rFonts w:hint="eastAsia" w:ascii="宋体" w:hAnsi="宋体" w:eastAsia="宋体" w:cs="宋体"/>
          <w:sz w:val="24"/>
          <w:szCs w:val="24"/>
        </w:rPr>
        <w:t>深圳前海君安资产管理有限公司</w:t>
      </w:r>
    </w:p>
    <w:p w14:paraId="27E5A337">
      <w:pPr>
        <w:rPr>
          <w:rFonts w:hint="eastAsia" w:ascii="宋体" w:hAnsi="宋体" w:eastAsia="宋体" w:cs="宋体"/>
          <w:sz w:val="24"/>
          <w:szCs w:val="24"/>
        </w:rPr>
      </w:pPr>
      <w:r>
        <w:rPr>
          <w:rFonts w:hint="eastAsia" w:ascii="宋体" w:hAnsi="宋体" w:eastAsia="宋体" w:cs="宋体"/>
          <w:sz w:val="24"/>
          <w:szCs w:val="24"/>
        </w:rPr>
        <w:t>深圳市国晖投资有限公司</w:t>
      </w:r>
    </w:p>
    <w:p w14:paraId="3A175F8A">
      <w:pPr>
        <w:rPr>
          <w:rFonts w:hint="eastAsia" w:ascii="宋体" w:hAnsi="宋体" w:eastAsia="宋体" w:cs="宋体"/>
          <w:sz w:val="24"/>
          <w:szCs w:val="24"/>
        </w:rPr>
      </w:pPr>
      <w:r>
        <w:rPr>
          <w:rFonts w:hint="eastAsia" w:ascii="宋体" w:hAnsi="宋体" w:eastAsia="宋体" w:cs="宋体"/>
          <w:sz w:val="24"/>
          <w:szCs w:val="24"/>
        </w:rPr>
        <w:t>深圳市金之灏基金管理有限公司</w:t>
      </w:r>
    </w:p>
    <w:p w14:paraId="56F32A26">
      <w:pPr>
        <w:rPr>
          <w:rFonts w:hint="eastAsia" w:ascii="宋体" w:hAnsi="宋体" w:eastAsia="宋体" w:cs="宋体"/>
          <w:sz w:val="24"/>
          <w:szCs w:val="24"/>
        </w:rPr>
      </w:pPr>
      <w:r>
        <w:rPr>
          <w:rFonts w:hint="eastAsia" w:ascii="宋体" w:hAnsi="宋体" w:eastAsia="宋体" w:cs="宋体"/>
          <w:sz w:val="24"/>
          <w:szCs w:val="24"/>
        </w:rPr>
        <w:t>深圳市鲲鹏恒隆投资有限公司</w:t>
      </w:r>
    </w:p>
    <w:p w14:paraId="0D5B2C0F">
      <w:pPr>
        <w:rPr>
          <w:rFonts w:hint="eastAsia" w:ascii="宋体" w:hAnsi="宋体" w:eastAsia="宋体" w:cs="宋体"/>
          <w:sz w:val="24"/>
          <w:szCs w:val="24"/>
        </w:rPr>
      </w:pPr>
      <w:r>
        <w:rPr>
          <w:rFonts w:hint="eastAsia" w:ascii="宋体" w:hAnsi="宋体" w:eastAsia="宋体" w:cs="宋体"/>
          <w:sz w:val="24"/>
          <w:szCs w:val="24"/>
        </w:rPr>
        <w:t>深圳市珞瑜私募证券基金管理有限公司</w:t>
      </w:r>
    </w:p>
    <w:p w14:paraId="7AE9DE9B">
      <w:pPr>
        <w:rPr>
          <w:rFonts w:hint="eastAsia" w:ascii="宋体" w:hAnsi="宋体" w:eastAsia="宋体" w:cs="宋体"/>
          <w:sz w:val="24"/>
          <w:szCs w:val="24"/>
        </w:rPr>
      </w:pPr>
      <w:r>
        <w:rPr>
          <w:rFonts w:hint="eastAsia" w:ascii="宋体" w:hAnsi="宋体" w:eastAsia="宋体" w:cs="宋体"/>
          <w:sz w:val="24"/>
          <w:szCs w:val="24"/>
        </w:rPr>
        <w:t>深圳市尚诚资产管理有限责任公司</w:t>
      </w:r>
    </w:p>
    <w:p w14:paraId="54F5A49A">
      <w:pPr>
        <w:rPr>
          <w:rFonts w:hint="eastAsia" w:ascii="宋体" w:hAnsi="宋体" w:eastAsia="宋体" w:cs="宋体"/>
          <w:sz w:val="24"/>
          <w:szCs w:val="24"/>
        </w:rPr>
      </w:pPr>
      <w:r>
        <w:rPr>
          <w:rFonts w:hint="eastAsia" w:ascii="宋体" w:hAnsi="宋体" w:eastAsia="宋体" w:cs="宋体"/>
          <w:sz w:val="24"/>
          <w:szCs w:val="24"/>
        </w:rPr>
        <w:t>深圳拓森投资控股有限公司</w:t>
      </w:r>
    </w:p>
    <w:p w14:paraId="6EF62A8C">
      <w:pPr>
        <w:rPr>
          <w:rFonts w:hint="eastAsia" w:ascii="宋体" w:hAnsi="宋体" w:eastAsia="宋体" w:cs="宋体"/>
          <w:sz w:val="24"/>
          <w:szCs w:val="24"/>
        </w:rPr>
      </w:pPr>
      <w:r>
        <w:rPr>
          <w:rFonts w:hint="eastAsia" w:ascii="宋体" w:hAnsi="宋体" w:eastAsia="宋体" w:cs="宋体"/>
          <w:sz w:val="24"/>
          <w:szCs w:val="24"/>
        </w:rPr>
        <w:t>深圳熙山资本管理有限公司</w:t>
      </w:r>
    </w:p>
    <w:p w14:paraId="695D69CC">
      <w:pPr>
        <w:rPr>
          <w:rFonts w:hint="eastAsia" w:ascii="宋体" w:hAnsi="宋体" w:eastAsia="宋体" w:cs="宋体"/>
          <w:sz w:val="24"/>
          <w:szCs w:val="24"/>
        </w:rPr>
      </w:pPr>
      <w:r>
        <w:rPr>
          <w:rFonts w:hint="eastAsia" w:ascii="宋体" w:hAnsi="宋体" w:eastAsia="宋体" w:cs="宋体"/>
          <w:sz w:val="24"/>
          <w:szCs w:val="24"/>
        </w:rPr>
        <w:t>盛博香港有限公司</w:t>
      </w:r>
    </w:p>
    <w:p w14:paraId="25082BB2">
      <w:pPr>
        <w:rPr>
          <w:rFonts w:hint="eastAsia" w:ascii="宋体" w:hAnsi="宋体" w:eastAsia="宋体" w:cs="宋体"/>
          <w:sz w:val="24"/>
          <w:szCs w:val="24"/>
        </w:rPr>
      </w:pPr>
      <w:r>
        <w:rPr>
          <w:rFonts w:hint="eastAsia" w:ascii="宋体" w:hAnsi="宋体" w:eastAsia="宋体" w:cs="宋体"/>
          <w:sz w:val="24"/>
          <w:szCs w:val="24"/>
        </w:rPr>
        <w:t>狮城产业投资咨询(上海)有限公司</w:t>
      </w:r>
    </w:p>
    <w:p w14:paraId="7EF44E49">
      <w:pPr>
        <w:rPr>
          <w:rFonts w:hint="eastAsia" w:ascii="宋体" w:hAnsi="宋体" w:eastAsia="宋体" w:cs="宋体"/>
          <w:sz w:val="24"/>
          <w:szCs w:val="24"/>
        </w:rPr>
      </w:pPr>
      <w:r>
        <w:rPr>
          <w:rFonts w:hint="eastAsia" w:ascii="宋体" w:hAnsi="宋体" w:eastAsia="宋体" w:cs="宋体"/>
          <w:sz w:val="24"/>
          <w:szCs w:val="24"/>
        </w:rPr>
        <w:t>苏州君榕资产管理有限公司</w:t>
      </w:r>
    </w:p>
    <w:p w14:paraId="0B31FC41">
      <w:pPr>
        <w:rPr>
          <w:rFonts w:hint="eastAsia" w:ascii="宋体" w:hAnsi="宋体" w:eastAsia="宋体" w:cs="宋体"/>
          <w:sz w:val="24"/>
          <w:szCs w:val="24"/>
        </w:rPr>
      </w:pPr>
      <w:r>
        <w:rPr>
          <w:rFonts w:hint="eastAsia" w:ascii="宋体" w:hAnsi="宋体" w:eastAsia="宋体" w:cs="宋体"/>
          <w:sz w:val="24"/>
          <w:szCs w:val="24"/>
        </w:rPr>
        <w:t>太平基金管理有限公司</w:t>
      </w:r>
    </w:p>
    <w:p w14:paraId="62ABAE65">
      <w:pPr>
        <w:rPr>
          <w:rFonts w:hint="eastAsia" w:ascii="宋体" w:hAnsi="宋体" w:eastAsia="宋体" w:cs="宋体"/>
          <w:sz w:val="24"/>
          <w:szCs w:val="24"/>
        </w:rPr>
      </w:pPr>
      <w:r>
        <w:rPr>
          <w:rFonts w:hint="eastAsia" w:ascii="宋体" w:hAnsi="宋体" w:eastAsia="宋体" w:cs="宋体"/>
          <w:sz w:val="24"/>
          <w:szCs w:val="24"/>
        </w:rPr>
        <w:t>太平资产管理有限公司</w:t>
      </w:r>
    </w:p>
    <w:p w14:paraId="336B7323">
      <w:pPr>
        <w:rPr>
          <w:rFonts w:hint="eastAsia" w:ascii="宋体" w:hAnsi="宋体" w:eastAsia="宋体" w:cs="宋体"/>
          <w:sz w:val="24"/>
          <w:szCs w:val="24"/>
        </w:rPr>
      </w:pPr>
      <w:r>
        <w:rPr>
          <w:rFonts w:hint="eastAsia" w:ascii="宋体" w:hAnsi="宋体" w:eastAsia="宋体" w:cs="宋体"/>
          <w:sz w:val="24"/>
          <w:szCs w:val="24"/>
        </w:rPr>
        <w:t>天风(上海)证券资产管理有限公司</w:t>
      </w:r>
    </w:p>
    <w:p w14:paraId="52499886">
      <w:pPr>
        <w:rPr>
          <w:rFonts w:hint="eastAsia" w:ascii="宋体" w:hAnsi="宋体" w:eastAsia="宋体" w:cs="宋体"/>
          <w:sz w:val="24"/>
          <w:szCs w:val="24"/>
        </w:rPr>
      </w:pPr>
      <w:r>
        <w:rPr>
          <w:rFonts w:hint="eastAsia" w:ascii="宋体" w:hAnsi="宋体" w:eastAsia="宋体" w:cs="宋体"/>
          <w:sz w:val="24"/>
          <w:szCs w:val="24"/>
        </w:rPr>
        <w:t>天瓴(北京)投资管理有限公司</w:t>
      </w:r>
    </w:p>
    <w:p w14:paraId="521FB7D3">
      <w:pPr>
        <w:rPr>
          <w:rFonts w:hint="eastAsia" w:ascii="宋体" w:hAnsi="宋体" w:eastAsia="宋体" w:cs="宋体"/>
          <w:sz w:val="24"/>
          <w:szCs w:val="24"/>
        </w:rPr>
      </w:pPr>
      <w:r>
        <w:rPr>
          <w:rFonts w:hint="eastAsia" w:ascii="宋体" w:hAnsi="宋体" w:eastAsia="宋体" w:cs="宋体"/>
          <w:sz w:val="24"/>
          <w:szCs w:val="24"/>
        </w:rPr>
        <w:t>天治基金管理有限公司</w:t>
      </w:r>
    </w:p>
    <w:p w14:paraId="52998F1F">
      <w:pPr>
        <w:rPr>
          <w:rFonts w:hint="eastAsia" w:ascii="宋体" w:hAnsi="宋体" w:eastAsia="宋体" w:cs="宋体"/>
          <w:sz w:val="24"/>
          <w:szCs w:val="24"/>
        </w:rPr>
      </w:pPr>
      <w:r>
        <w:rPr>
          <w:rFonts w:hint="eastAsia" w:ascii="宋体" w:hAnsi="宋体" w:eastAsia="宋体" w:cs="宋体"/>
          <w:sz w:val="24"/>
          <w:szCs w:val="24"/>
        </w:rPr>
        <w:t>西安江岳私募基金管理有限公司</w:t>
      </w:r>
    </w:p>
    <w:p w14:paraId="61446D91">
      <w:pPr>
        <w:rPr>
          <w:rFonts w:hint="eastAsia" w:ascii="宋体" w:hAnsi="宋体" w:eastAsia="宋体" w:cs="宋体"/>
          <w:sz w:val="24"/>
          <w:szCs w:val="24"/>
        </w:rPr>
      </w:pPr>
      <w:r>
        <w:rPr>
          <w:rFonts w:hint="eastAsia" w:ascii="宋体" w:hAnsi="宋体" w:eastAsia="宋体" w:cs="宋体"/>
          <w:sz w:val="24"/>
          <w:szCs w:val="24"/>
        </w:rPr>
        <w:t>西部利得基金管理有限公司</w:t>
      </w:r>
    </w:p>
    <w:p w14:paraId="45030BB8">
      <w:pPr>
        <w:rPr>
          <w:rFonts w:hint="eastAsia" w:ascii="宋体" w:hAnsi="宋体" w:eastAsia="宋体" w:cs="宋体"/>
          <w:sz w:val="24"/>
          <w:szCs w:val="24"/>
        </w:rPr>
      </w:pPr>
      <w:r>
        <w:rPr>
          <w:rFonts w:hint="eastAsia" w:ascii="宋体" w:hAnsi="宋体" w:eastAsia="宋体" w:cs="宋体"/>
          <w:sz w:val="24"/>
          <w:szCs w:val="24"/>
        </w:rPr>
        <w:t>兴业证券股份有限公司</w:t>
      </w:r>
    </w:p>
    <w:p w14:paraId="53AA36AD">
      <w:pPr>
        <w:rPr>
          <w:rFonts w:hint="eastAsia" w:ascii="宋体" w:hAnsi="宋体" w:eastAsia="宋体" w:cs="宋体"/>
          <w:sz w:val="24"/>
          <w:szCs w:val="24"/>
        </w:rPr>
      </w:pPr>
      <w:r>
        <w:rPr>
          <w:rFonts w:hint="eastAsia" w:ascii="宋体" w:hAnsi="宋体" w:eastAsia="宋体" w:cs="宋体"/>
          <w:sz w:val="24"/>
          <w:szCs w:val="24"/>
        </w:rPr>
        <w:t>玄卜投资(上海)有限公司</w:t>
      </w:r>
    </w:p>
    <w:p w14:paraId="53423CB2">
      <w:pPr>
        <w:rPr>
          <w:rFonts w:hint="eastAsia" w:ascii="宋体" w:hAnsi="宋体" w:eastAsia="宋体" w:cs="宋体"/>
          <w:sz w:val="24"/>
          <w:szCs w:val="24"/>
        </w:rPr>
      </w:pPr>
      <w:r>
        <w:rPr>
          <w:rFonts w:hint="eastAsia" w:ascii="宋体" w:hAnsi="宋体" w:eastAsia="宋体" w:cs="宋体"/>
          <w:sz w:val="24"/>
          <w:szCs w:val="24"/>
        </w:rPr>
        <w:t>阳光保险集团股份有限公司</w:t>
      </w:r>
    </w:p>
    <w:p w14:paraId="741FDAE9">
      <w:pPr>
        <w:rPr>
          <w:rFonts w:hint="eastAsia" w:ascii="宋体" w:hAnsi="宋体" w:eastAsia="宋体" w:cs="宋体"/>
          <w:sz w:val="24"/>
          <w:szCs w:val="24"/>
        </w:rPr>
      </w:pPr>
      <w:r>
        <w:rPr>
          <w:rFonts w:hint="eastAsia" w:ascii="宋体" w:hAnsi="宋体" w:eastAsia="宋体" w:cs="宋体"/>
          <w:sz w:val="24"/>
          <w:szCs w:val="24"/>
        </w:rPr>
        <w:t>野村东方国际证券有限公司</w:t>
      </w:r>
    </w:p>
    <w:p w14:paraId="2CC2C1F2">
      <w:pPr>
        <w:rPr>
          <w:rFonts w:hint="eastAsia" w:ascii="宋体" w:hAnsi="宋体" w:eastAsia="宋体" w:cs="宋体"/>
          <w:sz w:val="24"/>
          <w:szCs w:val="24"/>
        </w:rPr>
      </w:pPr>
      <w:r>
        <w:rPr>
          <w:rFonts w:hint="eastAsia" w:ascii="宋体" w:hAnsi="宋体" w:eastAsia="宋体" w:cs="宋体"/>
          <w:sz w:val="24"/>
          <w:szCs w:val="24"/>
        </w:rPr>
        <w:t>野村投资管理香港有限公司上海代表处</w:t>
      </w:r>
    </w:p>
    <w:p w14:paraId="649F0715">
      <w:pPr>
        <w:rPr>
          <w:rFonts w:hint="eastAsia" w:ascii="宋体" w:hAnsi="宋体" w:eastAsia="宋体" w:cs="宋体"/>
          <w:sz w:val="24"/>
          <w:szCs w:val="24"/>
        </w:rPr>
      </w:pPr>
      <w:r>
        <w:rPr>
          <w:rFonts w:hint="eastAsia" w:ascii="宋体" w:hAnsi="宋体" w:eastAsia="宋体" w:cs="宋体"/>
          <w:sz w:val="24"/>
          <w:szCs w:val="24"/>
        </w:rPr>
        <w:t>易唯思商务咨询(上海)有限公司</w:t>
      </w:r>
    </w:p>
    <w:p w14:paraId="102AFBA2">
      <w:pPr>
        <w:rPr>
          <w:rFonts w:hint="eastAsia" w:ascii="宋体" w:hAnsi="宋体" w:eastAsia="宋体" w:cs="宋体"/>
          <w:sz w:val="24"/>
          <w:szCs w:val="24"/>
        </w:rPr>
      </w:pPr>
      <w:r>
        <w:rPr>
          <w:rFonts w:hint="eastAsia" w:ascii="宋体" w:hAnsi="宋体" w:eastAsia="宋体" w:cs="宋体"/>
          <w:sz w:val="24"/>
          <w:szCs w:val="24"/>
        </w:rPr>
        <w:t>英大基金管理有限公司</w:t>
      </w:r>
    </w:p>
    <w:p w14:paraId="02846946">
      <w:pPr>
        <w:rPr>
          <w:rFonts w:hint="eastAsia" w:ascii="宋体" w:hAnsi="宋体" w:eastAsia="宋体" w:cs="宋体"/>
          <w:sz w:val="24"/>
          <w:szCs w:val="24"/>
        </w:rPr>
      </w:pPr>
      <w:r>
        <w:rPr>
          <w:rFonts w:hint="eastAsia" w:ascii="宋体" w:hAnsi="宋体" w:eastAsia="宋体" w:cs="宋体"/>
          <w:sz w:val="24"/>
          <w:szCs w:val="24"/>
        </w:rPr>
        <w:t>永赢基金管理有限公司</w:t>
      </w:r>
    </w:p>
    <w:p w14:paraId="5A94A892">
      <w:pPr>
        <w:rPr>
          <w:rFonts w:hint="eastAsia" w:ascii="宋体" w:hAnsi="宋体" w:eastAsia="宋体" w:cs="宋体"/>
          <w:sz w:val="24"/>
          <w:szCs w:val="24"/>
        </w:rPr>
      </w:pPr>
      <w:r>
        <w:rPr>
          <w:rFonts w:hint="eastAsia" w:ascii="宋体" w:hAnsi="宋体" w:eastAsia="宋体" w:cs="宋体"/>
          <w:sz w:val="24"/>
          <w:szCs w:val="24"/>
        </w:rPr>
        <w:t>张家港高竹私募基金管理有限公司</w:t>
      </w:r>
    </w:p>
    <w:p w14:paraId="3FBF4C05">
      <w:pPr>
        <w:rPr>
          <w:rFonts w:hint="eastAsia" w:ascii="宋体" w:hAnsi="宋体" w:eastAsia="宋体" w:cs="宋体"/>
          <w:sz w:val="24"/>
          <w:szCs w:val="24"/>
        </w:rPr>
      </w:pPr>
      <w:r>
        <w:rPr>
          <w:rFonts w:hint="eastAsia" w:ascii="宋体" w:hAnsi="宋体" w:eastAsia="宋体" w:cs="宋体"/>
          <w:sz w:val="24"/>
          <w:szCs w:val="24"/>
        </w:rPr>
        <w:t>长江证券股份有限公司</w:t>
      </w:r>
    </w:p>
    <w:p w14:paraId="52AA2300">
      <w:pPr>
        <w:rPr>
          <w:rFonts w:hint="eastAsia" w:ascii="宋体" w:hAnsi="宋体" w:eastAsia="宋体" w:cs="宋体"/>
          <w:sz w:val="24"/>
          <w:szCs w:val="24"/>
        </w:rPr>
      </w:pPr>
      <w:r>
        <w:rPr>
          <w:rFonts w:hint="eastAsia" w:ascii="宋体" w:hAnsi="宋体" w:eastAsia="宋体" w:cs="宋体"/>
          <w:sz w:val="24"/>
          <w:szCs w:val="24"/>
        </w:rPr>
        <w:t>长盛基金管理有限公司</w:t>
      </w:r>
    </w:p>
    <w:p w14:paraId="5B7CD971">
      <w:pPr>
        <w:rPr>
          <w:rFonts w:hint="eastAsia" w:ascii="宋体" w:hAnsi="宋体" w:eastAsia="宋体" w:cs="宋体"/>
          <w:sz w:val="24"/>
          <w:szCs w:val="24"/>
        </w:rPr>
      </w:pPr>
      <w:r>
        <w:rPr>
          <w:rFonts w:hint="eastAsia" w:ascii="宋体" w:hAnsi="宋体" w:eastAsia="宋体" w:cs="宋体"/>
          <w:sz w:val="24"/>
          <w:szCs w:val="24"/>
        </w:rPr>
        <w:t>浙江象舆行投资管理有限公司</w:t>
      </w:r>
    </w:p>
    <w:p w14:paraId="4953612C">
      <w:pPr>
        <w:rPr>
          <w:rFonts w:hint="eastAsia" w:ascii="宋体" w:hAnsi="宋体" w:eastAsia="宋体" w:cs="宋体"/>
          <w:sz w:val="24"/>
          <w:szCs w:val="24"/>
        </w:rPr>
      </w:pPr>
      <w:r>
        <w:rPr>
          <w:rFonts w:hint="eastAsia" w:ascii="宋体" w:hAnsi="宋体" w:eastAsia="宋体" w:cs="宋体"/>
          <w:sz w:val="24"/>
          <w:szCs w:val="24"/>
        </w:rPr>
        <w:t>浙商证券股份有限公司</w:t>
      </w:r>
    </w:p>
    <w:p w14:paraId="7EF88E34">
      <w:pPr>
        <w:rPr>
          <w:rFonts w:hint="eastAsia" w:ascii="宋体" w:hAnsi="宋体" w:eastAsia="宋体" w:cs="宋体"/>
          <w:sz w:val="24"/>
          <w:szCs w:val="24"/>
        </w:rPr>
      </w:pPr>
      <w:r>
        <w:rPr>
          <w:rFonts w:hint="eastAsia" w:ascii="宋体" w:hAnsi="宋体" w:eastAsia="宋体" w:cs="宋体"/>
          <w:sz w:val="24"/>
          <w:szCs w:val="24"/>
        </w:rPr>
        <w:t>中国国际金融股份有限公司</w:t>
      </w:r>
    </w:p>
    <w:p w14:paraId="2703FB1C">
      <w:pPr>
        <w:rPr>
          <w:rFonts w:hint="eastAsia" w:ascii="宋体" w:hAnsi="宋体" w:eastAsia="宋体" w:cs="宋体"/>
          <w:sz w:val="24"/>
          <w:szCs w:val="24"/>
        </w:rPr>
      </w:pPr>
      <w:r>
        <w:rPr>
          <w:rFonts w:hint="eastAsia" w:ascii="宋体" w:hAnsi="宋体" w:eastAsia="宋体" w:cs="宋体"/>
          <w:sz w:val="24"/>
          <w:szCs w:val="24"/>
        </w:rPr>
        <w:t>中国人寿保险(集团)公司</w:t>
      </w:r>
    </w:p>
    <w:p w14:paraId="4B012845">
      <w:pPr>
        <w:rPr>
          <w:rFonts w:hint="eastAsia" w:ascii="宋体" w:hAnsi="宋体" w:eastAsia="宋体" w:cs="宋体"/>
          <w:sz w:val="24"/>
          <w:szCs w:val="24"/>
        </w:rPr>
      </w:pPr>
      <w:r>
        <w:rPr>
          <w:rFonts w:hint="eastAsia" w:ascii="宋体" w:hAnsi="宋体" w:eastAsia="宋体" w:cs="宋体"/>
          <w:sz w:val="24"/>
          <w:szCs w:val="24"/>
        </w:rPr>
        <w:t>中国银河证券股份有限公司</w:t>
      </w:r>
    </w:p>
    <w:p w14:paraId="7279A320">
      <w:pPr>
        <w:rPr>
          <w:rFonts w:hint="eastAsia" w:ascii="宋体" w:hAnsi="宋体" w:eastAsia="宋体" w:cs="宋体"/>
          <w:sz w:val="24"/>
          <w:szCs w:val="24"/>
        </w:rPr>
      </w:pPr>
      <w:r>
        <w:rPr>
          <w:rFonts w:hint="eastAsia" w:ascii="宋体" w:hAnsi="宋体" w:eastAsia="宋体" w:cs="宋体"/>
          <w:sz w:val="24"/>
          <w:szCs w:val="24"/>
        </w:rPr>
        <w:t>中华联合保险集团股份有限公司</w:t>
      </w:r>
    </w:p>
    <w:p w14:paraId="2C5CA46B">
      <w:pPr>
        <w:rPr>
          <w:rFonts w:hint="eastAsia" w:ascii="宋体" w:hAnsi="宋体" w:eastAsia="宋体" w:cs="宋体"/>
          <w:sz w:val="24"/>
          <w:szCs w:val="24"/>
        </w:rPr>
      </w:pPr>
      <w:r>
        <w:rPr>
          <w:rFonts w:hint="eastAsia" w:ascii="宋体" w:hAnsi="宋体" w:eastAsia="宋体" w:cs="宋体"/>
          <w:sz w:val="24"/>
          <w:szCs w:val="24"/>
        </w:rPr>
        <w:t>中信里昂证券有限公司</w:t>
      </w:r>
    </w:p>
    <w:p w14:paraId="22816EF7">
      <w:pPr>
        <w:rPr>
          <w:rFonts w:hint="eastAsia" w:ascii="宋体" w:hAnsi="宋体" w:eastAsia="宋体" w:cs="宋体"/>
          <w:sz w:val="24"/>
          <w:szCs w:val="24"/>
        </w:rPr>
      </w:pPr>
      <w:r>
        <w:rPr>
          <w:rFonts w:hint="eastAsia" w:ascii="宋体" w:hAnsi="宋体" w:eastAsia="宋体" w:cs="宋体"/>
          <w:sz w:val="24"/>
          <w:szCs w:val="24"/>
        </w:rPr>
        <w:t>中银国际证券股份有限公司</w:t>
      </w:r>
    </w:p>
    <w:p w14:paraId="6C1E9359">
      <w:pPr>
        <w:rPr>
          <w:rFonts w:hint="eastAsia" w:ascii="宋体" w:hAnsi="宋体" w:eastAsia="宋体" w:cs="宋体"/>
          <w:sz w:val="24"/>
          <w:szCs w:val="24"/>
        </w:rPr>
      </w:pPr>
      <w:r>
        <w:rPr>
          <w:rFonts w:hint="eastAsia" w:ascii="宋体" w:hAnsi="宋体" w:eastAsia="宋体" w:cs="宋体"/>
          <w:sz w:val="24"/>
          <w:szCs w:val="24"/>
        </w:rPr>
        <w:t>中邮证券有限责任公司</w:t>
      </w:r>
    </w:p>
    <w:p w14:paraId="1C4D1715">
      <w:pPr>
        <w:rPr>
          <w:rFonts w:hint="eastAsia" w:ascii="宋体" w:hAnsi="宋体" w:eastAsia="宋体" w:cs="宋体"/>
          <w:sz w:val="24"/>
          <w:szCs w:val="24"/>
        </w:rPr>
      </w:pPr>
      <w:r>
        <w:rPr>
          <w:rFonts w:hint="eastAsia" w:ascii="宋体" w:hAnsi="宋体" w:eastAsia="宋体" w:cs="宋体"/>
          <w:sz w:val="24"/>
          <w:szCs w:val="24"/>
        </w:rPr>
        <w:t>钟港资本有限公司</w:t>
      </w:r>
    </w:p>
    <w:p w14:paraId="6B1CFFE9">
      <w:pPr>
        <w:rPr>
          <w:rFonts w:hint="eastAsia" w:ascii="宋体" w:hAnsi="宋体" w:eastAsia="宋体" w:cs="宋体"/>
          <w:sz w:val="24"/>
          <w:szCs w:val="24"/>
        </w:rPr>
      </w:pPr>
      <w:r>
        <w:rPr>
          <w:rFonts w:hint="eastAsia" w:ascii="宋体" w:hAnsi="宋体" w:eastAsia="宋体" w:cs="宋体"/>
          <w:sz w:val="24"/>
          <w:szCs w:val="24"/>
        </w:rPr>
        <w:t>重庆渝汇投资(集团)有限公司</w:t>
      </w:r>
    </w:p>
    <w:p w14:paraId="4B04D8CB">
      <w:pPr>
        <w:rPr>
          <w:rFonts w:hint="eastAsia" w:ascii="宋体" w:hAnsi="宋体" w:eastAsia="宋体" w:cs="宋体"/>
          <w:sz w:val="24"/>
          <w:szCs w:val="24"/>
        </w:rPr>
      </w:pPr>
      <w:r>
        <w:rPr>
          <w:rFonts w:hint="eastAsia" w:ascii="宋体" w:hAnsi="宋体" w:eastAsia="宋体" w:cs="宋体"/>
          <w:sz w:val="24"/>
          <w:szCs w:val="24"/>
        </w:rPr>
        <w:t>朱雀基金管理有限公司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0D4CB">
    <w:pPr>
      <w:widowControl w:val="0"/>
      <w:pBdr>
        <w:bottom w:val="single" w:color="auto" w:sz="6" w:space="1"/>
      </w:pBdr>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drawing>
        <wp:anchor distT="0" distB="0" distL="114300" distR="114300" simplePos="0" relativeHeight="251659264" behindDoc="0" locked="0" layoutInCell="1" allowOverlap="1">
          <wp:simplePos x="0" y="0"/>
          <wp:positionH relativeFrom="column">
            <wp:posOffset>-29845</wp:posOffset>
          </wp:positionH>
          <wp:positionV relativeFrom="paragraph">
            <wp:posOffset>-133350</wp:posOffset>
          </wp:positionV>
          <wp:extent cx="396240" cy="255905"/>
          <wp:effectExtent l="0" t="0" r="3810" b="1079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6416" cy="25581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6C7A52"/>
    <w:multiLevelType w:val="multilevel"/>
    <w:tmpl w:val="3A6C7A5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6931"/>
    <w:rsid w:val="023C3FF3"/>
    <w:rsid w:val="03C711DB"/>
    <w:rsid w:val="0419575F"/>
    <w:rsid w:val="0592279A"/>
    <w:rsid w:val="064B552B"/>
    <w:rsid w:val="067F1F93"/>
    <w:rsid w:val="076C41B2"/>
    <w:rsid w:val="07D133E5"/>
    <w:rsid w:val="09446B81"/>
    <w:rsid w:val="097F7AB0"/>
    <w:rsid w:val="09A530C6"/>
    <w:rsid w:val="0C7D6FB2"/>
    <w:rsid w:val="0E055605"/>
    <w:rsid w:val="0F3B48BC"/>
    <w:rsid w:val="104D5AE4"/>
    <w:rsid w:val="10697CE4"/>
    <w:rsid w:val="12726FFB"/>
    <w:rsid w:val="12A4007A"/>
    <w:rsid w:val="16241C82"/>
    <w:rsid w:val="165A7287"/>
    <w:rsid w:val="17F42D01"/>
    <w:rsid w:val="1C2A57A4"/>
    <w:rsid w:val="1C377FD2"/>
    <w:rsid w:val="210A72CE"/>
    <w:rsid w:val="228B0B9E"/>
    <w:rsid w:val="22A13E30"/>
    <w:rsid w:val="236355D1"/>
    <w:rsid w:val="23A4045B"/>
    <w:rsid w:val="24B96D91"/>
    <w:rsid w:val="25B01401"/>
    <w:rsid w:val="28074EF1"/>
    <w:rsid w:val="28634A6A"/>
    <w:rsid w:val="2A5F1937"/>
    <w:rsid w:val="2CC9724A"/>
    <w:rsid w:val="2CCA3677"/>
    <w:rsid w:val="2ECD782F"/>
    <w:rsid w:val="2F674AAF"/>
    <w:rsid w:val="2F7638BD"/>
    <w:rsid w:val="31820B37"/>
    <w:rsid w:val="329F6492"/>
    <w:rsid w:val="330D72D6"/>
    <w:rsid w:val="35A32913"/>
    <w:rsid w:val="35A56A98"/>
    <w:rsid w:val="35EA0699"/>
    <w:rsid w:val="36A60B4B"/>
    <w:rsid w:val="3A3D6E40"/>
    <w:rsid w:val="3EA3620D"/>
    <w:rsid w:val="3F37136F"/>
    <w:rsid w:val="41AA17E8"/>
    <w:rsid w:val="4231576D"/>
    <w:rsid w:val="43371058"/>
    <w:rsid w:val="434B0BFB"/>
    <w:rsid w:val="550352E0"/>
    <w:rsid w:val="59BA053A"/>
    <w:rsid w:val="5D661C36"/>
    <w:rsid w:val="5E5404D9"/>
    <w:rsid w:val="60C404A7"/>
    <w:rsid w:val="646F15E0"/>
    <w:rsid w:val="64F60B34"/>
    <w:rsid w:val="657F4D52"/>
    <w:rsid w:val="668F26F4"/>
    <w:rsid w:val="68C46197"/>
    <w:rsid w:val="6C2B688D"/>
    <w:rsid w:val="6F796087"/>
    <w:rsid w:val="6F842F17"/>
    <w:rsid w:val="705C0361"/>
    <w:rsid w:val="70A36910"/>
    <w:rsid w:val="74313D6F"/>
    <w:rsid w:val="767273FB"/>
    <w:rsid w:val="76A24B90"/>
    <w:rsid w:val="76BE0ACD"/>
    <w:rsid w:val="78691987"/>
    <w:rsid w:val="78B145D1"/>
    <w:rsid w:val="78B30BC9"/>
    <w:rsid w:val="79362839"/>
    <w:rsid w:val="79B714A3"/>
    <w:rsid w:val="7B841A35"/>
    <w:rsid w:val="7CC62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3483</Words>
  <Characters>3796</Characters>
  <Lines>0</Lines>
  <Paragraphs>0</Paragraphs>
  <TotalTime>0</TotalTime>
  <ScaleCrop>false</ScaleCrop>
  <LinksUpToDate>false</LinksUpToDate>
  <CharactersWithSpaces>3907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2026-07-02T07:40:00Z</dcterms:created>
  <dc:creator>wenwen.yang</dc:creator>
  <cp:lastModifiedBy>杨雯雯</cp:lastModifiedBy>
  <dcterms:modified xsi:type="dcterms:W3CDTF">2026-08-17T14:37:47Z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023FD01CBEBD4432AB3F85E5FE5B61AC_13</vt:lpwstr>
  </property>
  <property fmtid="{D5CDD505-2E9C-101B-9397-08002B2CF9AE}" pid="4" name="KSOTemplateDocerSaveRecord">
    <vt:lpwstr>eyJoZGlkIjoiMmU3YjIyMzM0YWJkNWRmNjY0NmZmNTg1YzU3Y2Y5MWYiLCJ1c2VySWQiOiI0MTM2NDY4ODAifQ==</vt:lpwstr>
  </property>
</Properties>
</file>